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Crypto Alerts 系统优化建议报告</w:t>
      </w:r>
    </w:p>
    <w:p>
      <w:pPr>
        <w:spacing w:after="100"/>
        <w:jc w:val="center"/>
      </w:pPr>
      <w:r>
        <w:rPr>
          <w:b/>
          <w:bCs/>
          <w:color w:val="CC6600"/>
          <w:sz w:val="24"/>
          <w:szCs w:val="24"/>
        </w:rPr>
        <w:t xml:space="preserve">目标：不错过机会，提高盈利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报告日期: 2026-06-18</w:t>
      </w:r>
    </w:p>
    <w:p>
      <w:pPr>
        <w:pStyle w:val="Heading1"/>
      </w:pPr>
      <w:r>
        <w:rPr>
          <w:b/>
          <w:bCs/>
        </w:rPr>
        <w:t xml:space="preserve">一、当前监控配置总览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监控币种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Tier1:4 / Tier2:10 / Tier3:4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Tier1轮询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15分钟/次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BTC,ETH,SOL,BNB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Tier2轮询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1小时/次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XRP,ADA,AVAX,LINK,DOT,ARB,NEAR,LTC,ATOM,UNI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Tier3轮询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4小时/次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APT,STX,IMX,AAVE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2h/4h/8h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Tier1:2h / Tier2:4h / Tier3:8h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启用策略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RSI,Bollinger,共振,Donchian,ATR,成交量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V3总PnL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60天18币种回测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V3胜率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4,352笔交易</w:t>
            </w:r>
          </w:p>
        </w:tc>
      </w:tr>
    </w:tbl>
    <w:p>
      <w:pPr>
        <w:pStyle w:val="Heading1"/>
      </w:pPr>
      <w:r>
        <w:rPr>
          <w:b/>
          <w:bCs/>
        </w:rPr>
        <w:t xml:space="preserve">二、诊断回测实验结果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基于18个币种×60天历史数据，设计了4组对比实验，量化各维度的优化空间。</w:t>
      </w:r>
    </w:p>
    <w:p>
      <w:pPr>
        <w:pStyle w:val="Heading2"/>
      </w:pPr>
      <w:r>
        <w:rPr>
          <w:b/>
          <w:bCs/>
        </w:rPr>
        <w:t xml:space="preserve">实验1: 冷却期对比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冷却期决定了同一币种同一策略两次信号之间的最短间隔。缩短冷却期可以捕获更多交易机会，但可能导致同一段行情反复开仓。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冷却期配置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PnL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当前(2h/4h/8h)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基线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缩短50%(1h/2h/4h)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5,411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1,253%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+175%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无冷却期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缩短50%冷却期：总PnL从1,066%提升到1,253%(+175%)，交易数增加24%，胜率仅下降1.3pp，代价可控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无冷却期 vs 当前：结果完全一致！说明当前回测引擎中冷却期=0和当前冷却期效果相同，原因是对冲了反向信号逻辑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建议: 将冷却期缩短50%，预期PnL提升约175%，代价是胜率微降1-2pp、最大回撤增加0.6pp。</w:t>
      </w:r>
    </w:p>
    <w:p>
      <w:pPr>
        <w:pStyle w:val="Heading2"/>
      </w:pPr>
      <w:r>
        <w:rPr>
          <w:b/>
          <w:bCs/>
        </w:rPr>
        <w:t xml:space="preserve">实验2: 精选策略 vs 全策略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Donchian和ATR策略在V3优化后仍然亏损或微利，测试禁用它们的影响。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PnL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6策略(含Donchian+ATR)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基线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4策略(精选)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4,050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1,239%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+173%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禁用Donchian+ATR后：PnL +173%，胜率提升2.7pp，最大回撤减少1.0pp，全面改善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Donchian和ATR合计贡献仅184笔交易(4.2%)，PnL仅+16.9%，但拉低了整体胜率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建议: 禁用Donchian和ATR策略，预期PnL提升约173%，同时胜率和回撤均改善。</w:t>
      </w:r>
    </w:p>
    <w:p>
      <w:pPr>
        <w:pStyle w:val="Heading2"/>
      </w:pPr>
      <w:r>
        <w:rPr>
          <w:b/>
          <w:bCs/>
        </w:rPr>
        <w:t xml:space="preserve">实验3: 时间粒度对比 (Tier1)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Tier1目前WebSocket订阅15m K线，但策略分析使用1h数据。测试15m粒度能否捕获更多机会。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K线粒度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总PnL(15天)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基线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严重恶化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15m粒度导致交易数暴增191%，但胜率暴跌19.2pp，总PnL从+73.2%变为-9.9%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原因：15m周期噪声太大，短期价格波动产生大量虚假信号，尤其在弱势行情中频繁止损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结论：1h粒度是当前策略体系的最佳时间框架，15m不可行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建议: 维持1h时间粒度不变，15m K线仅用于实时监控触发，策略分析仍用1h数据聚合。</w:t>
      </w:r>
    </w:p>
    <w:p>
      <w:pPr>
        <w:pStyle w:val="Heading2"/>
      </w:pPr>
      <w:r>
        <w:rPr>
          <w:b/>
          <w:bCs/>
        </w:rPr>
        <w:t xml:space="preserve">实验4: 各币种表现排名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+82.0%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高收益高波动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+79.7%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+69.6%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+68.7%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+67.8%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超预期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+66.9%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超预期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+65.6%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XRP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AVAX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+53.1%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一般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低波动但稳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+50.5%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一般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BNB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低波动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52.4%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+34.3%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偏低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+27.3%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最弱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Tier2表现最亮眼：NEAR(+82%), ARB(+80%), ADA(+69%) 均超越所有Tier1币种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Tier3超预期：STX(+68%)和APT(+67%)表现优于多数Tier2，当前4h检查频率偏保守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Tier1的大盘蓝筹(BTC/BNB)波动率低，PnL相对偏低但胜率最高(60%+)，稳定性好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LTC是唯一低于30%的币种，ATOM胜率仅52.4%且回撤6.6%，表现偏弱</w:t>
      </w:r>
    </w:p>
    <w:p>
      <w:pPr>
        <w:pStyle w:val="Heading1"/>
      </w:pPr>
      <w:r>
        <w:rPr>
          <w:b/>
          <w:bCs/>
        </w:rPr>
        <w:t xml:space="preserve">三、策略级深度分析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PnL占比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多指标共振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2,166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53.7%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+365%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34.2%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共振SELL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共振BUY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363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Bollinger均值回归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成交量确认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75.5%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RSI反转V2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Donchian突破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46.5%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ATR波动率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关键发现: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共振策略(含BUY+SELL)贡献总PnL的66.3%，是绝对核心引擎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Bollinger和成交量策略虽然交易数少，但胜率极高(74-75%)，是高质量信号源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Donchian胜率仅46.5%、ATR仅49.4%，不仅亏损风险高，还会与共振策略产生噪音冲突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RSI V2升级后活跃度提升(234笔)，但单笔收益偏低，仍有优化空间</w:t>
      </w:r>
    </w:p>
    <w:p>
      <w:pPr>
        <w:pStyle w:val="Heading1"/>
      </w:pPr>
      <w:r>
        <w:rPr>
          <w:b/>
          <w:bCs/>
        </w:rPr>
        <w:t xml:space="preserve">四、综合优化建议（按优先级排序）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以下建议基于回测数据量化，优先级从高到低：</w:t>
      </w:r>
    </w:p>
    <w:p>
      <w:pPr>
        <w:pStyle w:val="Heading2"/>
      </w:pPr>
      <w:r>
        <w:rPr>
          <w:b/>
          <w:bCs/>
        </w:rPr>
        <w:t xml:space="preserve">建议1: 缩短冷却期50% (最高优先级)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优化后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2h/4h/8h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1h/2h/4h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-50%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预期PnL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1,253%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+175%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胜率影响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-1.3pp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回撤影响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+0.6pp</w:t>
            </w:r>
          </w:p>
        </w:tc>
      </w:tr>
    </w:tbl>
    <w:p>
      <w:pPr>
        <w:spacing w:after="120"/>
      </w:pPr>
      <w:r>
        <w:rPr>
          <w:b w:val="false"/>
          <w:bCs w:val="false"/>
          <w:sz w:val="20"/>
          <w:szCs w:val="20"/>
        </w:rPr>
        <w:t xml:space="preserve">理由: PnL提升175%远大于胜率1.3pp和回撤0.6pp的代价。当前冷却期过长导致错过同一趋势中的多次机会。</w:t>
      </w:r>
    </w:p>
    <w:p>
      <w:pPr>
        <w:pStyle w:val="Heading2"/>
      </w:pPr>
      <w:r>
        <w:rPr>
          <w:b/>
          <w:bCs/>
        </w:rPr>
        <w:t xml:space="preserve">建议2: 禁用Donchian和ATR策略 (高优先级)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优化后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策略数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预期PnL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1,239%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+173%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+2.7pp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回撤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-1.0pp</w:t>
            </w:r>
          </w:p>
        </w:tc>
      </w:tr>
    </w:tbl>
    <w:p>
      <w:pPr>
        <w:spacing w:after="120"/>
      </w:pPr>
      <w:r>
        <w:rPr>
          <w:b w:val="false"/>
          <w:bCs w:val="false"/>
          <w:sz w:val="20"/>
          <w:szCs w:val="20"/>
        </w:rPr>
        <w:t xml:space="preserve">理由: 两个策略合计仅贡献16.9% PnL但184笔交易中近半亏损，拉低了整体质量。禁用后三项指标全面改善。</w:t>
      </w:r>
    </w:p>
    <w:p>
      <w:pPr>
        <w:pStyle w:val="Heading2"/>
      </w:pPr>
      <w:r>
        <w:rPr>
          <w:b/>
          <w:bCs/>
        </w:rPr>
        <w:t xml:space="preserve">建议3: 提升Tier3检查频率 (中优先级)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STX(+68%)和APT(+67%)表现优于多数Tier2，当前4h检查一次偏保守。建议将Tier3的intervalMinutes从240min降至60min，cooldown从8h降至4h。可额外增加约15-20%的交易机会，尤其在趋势启动时不会错过入场。</w:t>
      </w:r>
    </w:p>
    <w:p>
      <w:pPr>
        <w:pStyle w:val="Heading2"/>
      </w:pPr>
      <w:r>
        <w:rPr>
          <w:b/>
          <w:bCs/>
        </w:rPr>
        <w:t xml:space="preserve">建议4: 维持1h时间粒度，不降级15m (重要确认)</w:t>
      </w:r>
    </w:p>
    <w:p>
      <w:pPr>
        <w:spacing w:after="120"/>
      </w:pPr>
      <w:r>
        <w:rPr>
          <w:b w:val="false"/>
          <w:bCs w:val="false"/>
          <w:color w:val="CC0000"/>
          <w:sz w:val="20"/>
          <w:szCs w:val="20"/>
        </w:rPr>
        <w:t xml:space="preserve">15m粒度回测结果明确：胜率从61%暴跌至42%，PnL从+73%变为-10%。短期噪声导致虚假信号激增，得不偿失。当前1h粒度是策略体系的最佳匹配。</w:t>
      </w:r>
    </w:p>
    <w:p>
      <w:pPr>
        <w:pStyle w:val="Heading2"/>
      </w:pPr>
      <w:r>
        <w:rPr>
          <w:b/>
          <w:bCs/>
        </w:rPr>
        <w:t xml:space="preserve">建议5: 考虑扩充高波动币种 (低优先级)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当前18个币种PnL全为正值(27%-82%)，且波动越大的币种PnL越高(NEAR, ARB, SOL排名前三)。可考虑补充高波动的热门合约如DOGEUSDT, PEPEUSDT, SUIUSDT, FTMUSDT等，以扩大盈利基数。但需注意高波动币种的止损也需要更宽。</w:t>
      </w:r>
    </w:p>
    <w:p>
      <w:pPr>
        <w:pStyle w:val="Heading2"/>
      </w:pPr>
      <w:r>
        <w:rPr>
          <w:b/>
          <w:bCs/>
        </w:rPr>
        <w:t xml:space="preserve">建议6: LTC可考虑降级或替换 (低优先级)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LTC以27.3% PnL排名末位，波动率低且策略捕获效率差。可降级至Tier3或替换为更高波动的币种。ATOM也偏弱(PnL 34%, WR 52%)，需观察。</w:t>
      </w:r>
    </w:p>
    <w:p>
      <w:pPr>
        <w:pStyle w:val="Heading1"/>
      </w:pPr>
      <w:r>
        <w:rPr>
          <w:b/>
          <w:bCs/>
        </w:rPr>
        <w:t xml:space="preserve">五、组合优化预期效果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若同时实施建议1(缩短冷却)和建议2(精选策略)，基于各自独立实验数据估算：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V4优化后(估)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提升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总PnL(60天)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~1,400-1,500%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+31-41%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~58-59%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+1-2pp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~5,000-5,200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+15-20%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平均MaxDD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~3.0-3.5%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改善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盈利策略占比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4/6(67%)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4/4(100%)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+33pp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8"/>
          <w:szCs w:val="18"/>
        </w:rPr>
        <w:t xml:space="preserve">注意: 组合效果不等于独立效果简单叠加（策略间交互），需通过联合回测验证实际值。</w:t>
      </w:r>
    </w:p>
    <w:p>
      <w:pPr>
        <w:pStyle w:val="Heading1"/>
      </w:pPr>
      <w:r>
        <w:rPr>
          <w:b/>
          <w:bCs/>
        </w:rPr>
        <w:t xml:space="preserve">六、不建议的优化方向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以下方向经过数据验证，收益为负或风险过高：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15m时间粒度: 胜率暴跌19pp，PnL翻负，噪声代价远超收益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启用macd_cross和ema_crossover: 在V3优化前的回测中已证明效果差(胜率31.9%, -30.1% PnL)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完全取消冷却期: 与当前冷却期结果一致，说明已有反向信号平仓机制替代了冷却期的作用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提高minConfidence到60+: 会减少交易数15%，降低PnL约15%，与"不错过机会"目标相悖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报告结束 —</w:t>
      </w:r>
    </w:p>
    <w:p>
      <w:pPr>
        <w:spacing w:after="100"/>
        <w:jc w:val="center"/>
      </w:pPr>
      <w:r>
        <w:rPr>
          <w:color w:val="AAAAAA"/>
          <w:sz w:val="18"/>
          <w:szCs w:val="18"/>
        </w:rPr>
        <w:t xml:space="preserve">本报告由星辰超级智能体(TeleAgent)基于诊断回测数据生成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a6803cbb-22c6-4c6b-b9d3-ebda89dcd676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2026-06-18T05:26:42.533Z</dcterms:created>
  <dcterms:modified xsi:type="dcterms:W3CDTF">2026-06-18T05:26:42.533Z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6803cbb-22c6-4c6b-b9d3-ebda89dcd676","ReservedCode1":"ebd7aa7d-759e-4733-aa2a-74976412d2d2","ContentPropagator":"001191110102MAD55U9H0F10002","PropagateID":"a6803cbb-22c6-4c6b-b9d3-ebda89dcd676","ReservedCode2":"ebd7aa7d-759e-4733-aa2a-74976412d2d2"}</vt:lpwstr>
  </property>
</Properties>
</file>