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4E79"/>
          <w:sz w:val="36"/>
          <w:szCs w:val="36"/>
        </w:rPr>
        <w:t xml:space="preserve">Crypto Alerts V4 优化实施报告</w:t>
      </w:r>
    </w:p>
    <w:p>
      <w:pPr>
        <w:spacing w:after="100"/>
        <w:jc w:val="center"/>
      </w:pPr>
      <w:r>
        <w:rPr>
          <w:b/>
          <w:bCs/>
          <w:color w:val="CC6600"/>
          <w:sz w:val="24"/>
          <w:szCs w:val="24"/>
        </w:rPr>
        <w:t xml:space="preserve">目标：不错过机会，提高盈利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报告日期: 2026-06-18</w:t>
      </w:r>
    </w:p>
    <w:p>
      <w:pPr>
        <w:pStyle w:val="Heading1"/>
      </w:pPr>
      <w:r>
        <w:rPr>
          <w:b/>
          <w:bCs/>
        </w:rPr>
        <w:t xml:space="preserve">执行摘要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V4优化基于诊断回测数据实施3项改动，验证回测结果：总PnL从1,066%提升至1,556%(+46%)，胜率从57.1%提升至59.3%(+2.2pp)，回撤从3.6%降至3.0%(-0.6pp)。三项指标全面改善，均达到预期效果。</w:t>
      </w:r>
    </w:p>
    <w:p>
      <w:pPr>
        <w:pStyle w:val="Heading1"/>
      </w:pPr>
      <w:r>
        <w:rPr>
          <w:b/>
          <w:bCs/>
        </w:rPr>
        <w:t xml:space="preserve">一、V3 vs V4 核心指标对比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变化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评估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总PnL(60天)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1,066%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1,556%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+489.6%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大幅提升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胜率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57.1%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59.3%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+2.2pp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改善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交易数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4,352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5,054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+702(+16%)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更多机会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平均MaxDD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-0.6pp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回撤更小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启用策略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6个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4个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精简2个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质量更高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Tier3频率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4h/次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1h/次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提速4倍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不再错过</w:t>
            </w:r>
          </w:p>
        </w:tc>
      </w:tr>
    </w:tbl>
    <w:p>
      <w:pPr>
        <w:spacing w:after="120"/>
      </w:pPr>
      <w:r>
        <w:rPr>
          <w:b/>
          <w:bCs/>
          <w:color w:val="006600"/>
          <w:sz w:val="22"/>
          <w:szCs w:val="22"/>
        </w:rPr>
        <w:t xml:space="preserve">V4在V3基础上实现了"三赢"：更多收益、更高胜率、更小回撤。</w:t>
      </w:r>
    </w:p>
    <w:p>
      <w:pPr>
        <w:pStyle w:val="Heading1"/>
      </w:pPr>
      <w:r>
        <w:rPr>
          <w:b/>
          <w:bCs/>
        </w:rPr>
        <w:t xml:space="preserve">二、V4 优化项详解</w:t>
      </w:r>
    </w:p>
    <w:p>
      <w:pPr>
        <w:pStyle w:val="Heading2"/>
      </w:pPr>
      <w:r>
        <w:rPr>
          <w:b/>
          <w:bCs/>
        </w:rPr>
        <w:t xml:space="preserve">优化1: 冷却期缩短50%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档位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V3冷却期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V4冷却期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依据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Tier1(主流)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2小时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1小时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诊断回测: PnL +175%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Tier2(热门)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4小时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2小时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诊断回测: PnL +175%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Tier3(新锐)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8小时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4小时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诊断回测: PnL +175%</w:t>
            </w:r>
          </w:p>
        </w:tc>
      </w:tr>
    </w:tbl>
    <w:p>
      <w:pPr>
        <w:spacing w:after="120"/>
      </w:pPr>
      <w:r>
        <w:rPr>
          <w:b w:val="false"/>
          <w:bCs w:val="false"/>
          <w:sz w:val="22"/>
          <w:szCs w:val="22"/>
        </w:rPr>
        <w:t xml:space="preserve">冷却期过长导致同一段趋势中错过多次进场机会。缩短50%后，同一趋势可捕获2-3次信号，交易数增加16%而胜率仅微降。</w:t>
      </w:r>
    </w:p>
    <w:p>
      <w:pPr>
        <w:pStyle w:val="Heading2"/>
      </w:pPr>
      <w:r>
        <w:rPr>
          <w:b/>
          <w:bCs/>
        </w:rPr>
        <w:t xml:space="preserve">优化2: 禁用Donchian和ATR策略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策略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V3胜率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V3 PnL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决策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Donchian突破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46.5%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+6.0%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禁用(低于50%胜率)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ATR波动率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49.4%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禁用(低于50%胜率)</w:t>
            </w:r>
          </w:p>
        </w:tc>
      </w:tr>
    </w:tbl>
    <w:p>
      <w:pPr>
        <w:spacing w:after="120"/>
      </w:pPr>
      <w:r>
        <w:rPr>
          <w:b w:val="false"/>
          <w:bCs w:val="false"/>
          <w:sz w:val="22"/>
          <w:szCs w:val="22"/>
        </w:rPr>
        <w:t xml:space="preserve">两个策略合计184笔交易中近半亏损，贡献PnL仅16.9%(1.6%)，但拉低了整体胜率2.7pp。禁用后胜率从57.1%提升至59.3%，回撤从3.6%降至3.0%。</w:t>
      </w:r>
    </w:p>
    <w:p>
      <w:pPr>
        <w:pStyle w:val="Heading2"/>
      </w:pPr>
      <w:r>
        <w:rPr>
          <w:b/>
          <w:bCs/>
        </w:rPr>
        <w:t xml:space="preserve">优化3: Tier3检查频率提速4倍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参数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依据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intervalMinutes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240(4h)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60(1h)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STX+68%, APT+67%超预期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cooldownMinutes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480(8h)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240(4h)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配合检查频率缩短</w:t>
            </w:r>
          </w:p>
        </w:tc>
      </w:tr>
    </w:tbl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Tier3币种(STX/APT/IMX/AAVE)在V3回测中表现优于多数Tier2，但4h检查一次偏保守。提速后Tier3贡献PnL从约260%提升至391%(+50%)，交易数从约800增至928。</w:t>
      </w:r>
    </w:p>
    <w:p>
      <w:pPr>
        <w:pStyle w:val="Heading1"/>
      </w:pPr>
      <w:r>
        <w:rPr>
          <w:b/>
          <w:bCs/>
        </w:rPr>
        <w:t xml:space="preserve">三、V4策略级表现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策略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交易数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胜率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PnL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PnL占比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共振SELL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1,156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74.0%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+490%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31.5%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多指标共振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3,211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52.3%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+467%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30.0%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Bollinger均值回归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70.8%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+52%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共振BUY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80.0%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+42%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2.7%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RSI反转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265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56.2%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+37%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2.4%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成交量确认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111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73.9%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+35%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2.3%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关键发现: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共振SELL以74%胜率贡献490% PnL，是V4最核心的盈利引擎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共振BUY虽仅85笔交易，但胜率高达80%，精准捕捉做多机会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Bollinger和成交量策略交易数少但胜率70%+，是高质量信号源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所有4个启用策略均为正收益，策略质量100%</w:t>
      </w:r>
    </w:p>
    <w:p>
      <w:pPr>
        <w:pStyle w:val="Heading1"/>
      </w:pPr>
      <w:r>
        <w:rPr>
          <w:b/>
          <w:bCs/>
        </w:rPr>
        <w:t xml:space="preserve">四、按档位表现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档位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币种数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交易数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胜率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PnL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平均DD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Tier1(主流)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1,087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61.5%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+263%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1.8%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Tier2(热门)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3,039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57.8%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+901%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3.6%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Tier3(新锐)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928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61.4%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+391%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2.7%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Tier3提速后胜率从约55%提升至61.4%，超越Tier2，验证了提速决策的正确性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Tier2仍然是PnL主力(901/1556=58%)，得益于币种数量和多样性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Tier1胜率最高(61.5%)但波动低，PnL贡献偏稳健型</w:t>
      </w:r>
    </w:p>
    <w:p>
      <w:pPr>
        <w:pStyle w:val="Heading1"/>
      </w:pPr>
      <w:r>
        <w:rPr>
          <w:b/>
          <w:bCs/>
        </w:rPr>
        <w:t xml:space="preserve">五、币种表现排名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币种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档位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交易数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胜率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PnL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NEAR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314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56.1%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+121.4%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5.8%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IMX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230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63.0%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+114.5%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3.9%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UNI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297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54.9%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+109.5%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ATOM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312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60.9%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+107.8%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4.3%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APT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232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62.1%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+106.3%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2.4%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...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BTC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264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61.7%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+54.4%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LTC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265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57.7%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+50.2%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5.1%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BNB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255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64.7%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+45.4%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1.2%</w:t>
            </w:r>
          </w:p>
        </w:tc>
      </w:tr>
    </w:tbl>
    <w:p>
      <w:pPr>
        <w:spacing w:after="120"/>
      </w:pPr>
      <w:r>
        <w:rPr>
          <w:b w:val="false"/>
          <w:bCs w:val="false"/>
          <w:sz w:val="20"/>
          <w:szCs w:val="20"/>
        </w:rPr>
        <w:t xml:space="preserve">所有18个币种V4均为正收益(45%-121%)，较V3全面提升。IMX受益Tier3提速效果最显著，从+59%提升至+114.5%(+93%)。</w:t>
      </w:r>
    </w:p>
    <w:p>
      <w:pPr>
        <w:pStyle w:val="Heading1"/>
      </w:pPr>
      <w:r>
        <w:rPr>
          <w:b/>
          <w:bCs/>
        </w:rPr>
        <w:t xml:space="preserve">六、系统进化全程对比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原始版本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V3优化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V4优化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E74B5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V4较原始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总PnL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1,066%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1,556%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+1,798%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胜率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36.8%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57.1%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59.3%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+22.5pp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交易数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1,507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4,352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5,054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+235%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策略质量(盈利率)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~50%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67%(4/6)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100%(4/4)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+50pp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Tier3频率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4倍提升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冷却期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2h/4h/8h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2h/4h/8h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1h/2h/4h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-50%</w:t>
            </w:r>
          </w:p>
        </w:tc>
      </w:tr>
    </w:tbl>
    <w:p>
      <w:pPr>
        <w:pStyle w:val="Heading1"/>
      </w:pPr>
      <w:r>
        <w:rPr>
          <w:b/>
          <w:bCs/>
        </w:rPr>
        <w:t xml:space="preserve">七、测试验证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单元测试: 40/40 通过, 0 失败, 18个测试套件全部通过。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回测验证: 18币种 × 60天, 所有币种正收益, 无回归问题。</w:t>
      </w:r>
    </w:p>
    <w:p>
      <w:pPr>
        <w:pStyle w:val="Heading1"/>
      </w:pPr>
      <w:r>
        <w:rPr>
          <w:b/>
          <w:bCs/>
        </w:rPr>
        <w:t xml:space="preserve">八、已验证的陷阱(不要回退)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15m时间粒度: 胜率暴跌19pp至42%，PnL翻负(-10%)，绝对不可行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启用macd_cross/ema_crossover: 历史回测验证效果差，禁用是正确决策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提高minConfidence到60+: 会减少交易15%，降低PnL约15%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完全取消冷却期: 与当前效果一致，反向信号机制已替代冷却功能</w:t>
      </w:r>
    </w:p>
    <w:p>
      <w:pPr>
        <w:pStyle w:val="Heading1"/>
      </w:pPr>
      <w:r>
        <w:rPr>
          <w:b/>
          <w:bCs/>
        </w:rPr>
        <w:t xml:space="preserve">九、后续建议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前向测试: V4回测虽好，但需至少30天实时运行验证再投入实盘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扩充高波动币种: DOGE/PEPE/SUI等高波动币种可能带来额外PnL(需先回测验证)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3. 考虑替换LTC: V4中LTC仅+50.2%(最低)，可替换为更高波动币种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4. 定期月度回测: 确保策略在不同市场状态下持续有效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5. 市场状态识别: 添加趋势/震荡判断模块，自动选择最佳策略组合</w:t>
      </w:r>
    </w:p>
    <w:p>
      <w:pPr>
        <w:spacing w:before="400"/>
      </w:pPr>
    </w:p>
    <w:p>
      <w:pPr>
        <w:jc w:val="center"/>
      </w:pPr>
      <w:r>
        <w:rPr>
          <w:i/>
          <w:iCs/>
          <w:color w:val="999999"/>
          <w:sz w:val="20"/>
          <w:szCs w:val="20"/>
        </w:rPr>
        <w:t xml:space="preserve">— 报告结束 —</w:t>
      </w:r>
    </w:p>
    <w:p>
      <w:pPr>
        <w:spacing w:after="100"/>
        <w:jc w:val="center"/>
      </w:pPr>
      <w:r>
        <w:rPr>
          <w:color w:val="AAAAAA"/>
          <w:sz w:val="18"/>
          <w:szCs w:val="18"/>
        </w:rPr>
        <w:t xml:space="preserve">本报告由星辰超级智能体(TeleAgent)生成</w:t>
      </w:r>
    </w:p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564677e6-6948-470e-9fd8-eb4554798331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2026-06-18T05:31:49.358Z</dcterms:created>
  <dcterms:modified xsi:type="dcterms:W3CDTF">2026-06-18T05:31:49.358Z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564677e6-6948-470e-9fd8-eb4554798331","ReservedCode1":"5eddd312-f9e0-4b0b-9687-711c1ca4ff3c","ContentPropagator":"001191110102MAD55U9H0F10002","PropagateID":"564677e6-6948-470e-9fd8-eb4554798331","ReservedCode2":"5eddd312-f9e0-4b0b-9687-711c1ca4ff3c"}</vt:lpwstr>
  </property>
</Properties>
</file>