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Crypto Tools</w:t>
      </w:r>
    </w:p>
    <w:p>
      <w:pPr>
        <w:spacing w:after="200"/>
        <w:jc w:val="center"/>
      </w:pPr>
      <w:r>
        <w:rPr>
          <w:color w:val="2D5F8A"/>
          <w:sz w:val="32"/>
          <w:szCs w:val="32"/>
        </w:rPr>
        <w:t xml:space="preserve">Strategy Optimization Report</w:t>
      </w:r>
    </w:p>
    <w:p>
      <w:pPr>
        <w:spacing w:after="600"/>
        <w:jc w:val="center"/>
      </w:pPr>
      <w:r>
        <w:rPr>
          <w:color w:val="666666"/>
          <w:sz w:val="20"/>
          <w:szCs w:val="20"/>
        </w:rPr>
        <w:t xml:space="preserve">Date: 2026/6/18 14:43:51 | Backtest Period: 2025-10-01 ~ 2026-06-18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0"/>
          <w:szCs w:val="20"/>
        </w:rPr>
        <w:t xml:space="preserve">After 3 rounds of backtesting across BTC/ETH/SOL/BNB 4h timeframe, 14 parameter combinations tested:
</w:t>
      </w:r>
      <w:r>
        <w:rPr>
          <w:b/>
          <w:bCs/>
          <w:sz w:val="20"/>
          <w:szCs w:val="20"/>
        </w:rPr>
        <w:t xml:space="preserve">V1 (current production): </w:t>
      </w:r>
      <w:r>
        <w:rPr>
          <w:sz w:val="20"/>
          <w:szCs w:val="20"/>
        </w:rPr>
        <w:t xml:space="preserve">66 trades, 59.1% win rate, -1.98% return. Signal frequency too low.
</w:t>
      </w:r>
      <w:r>
        <w:rPr>
          <w:b/>
          <w:bCs/>
          <w:color w:val="1B7A3D"/>
          <w:sz w:val="20"/>
          <w:szCs w:val="20"/>
        </w:rPr>
        <w:t xml:space="preserve">V3 Optimized: </w:t>
      </w:r>
      <w:r>
        <w:rPr>
          <w:color w:val="1B7A3D"/>
          <w:sz w:val="20"/>
          <w:szCs w:val="20"/>
        </w:rPr>
        <w:t xml:space="preserve">21 trades, 42.9% win rate, +52.79% return, 26.89% max DD, Calmar=2.76. </w:t>
      </w:r>
      <w:r>
        <w:rPr>
          <w:sz w:val="20"/>
          <w:szCs w:val="20"/>
        </w:rPr>
        <w:t xml:space="preserve">The core optimization is: higher R:R ratio (4:1), wider stops (3x ATR), selective coins (drop BNB), multi-engine consensus bonus, dynamic leverage.</w:t>
      </w:r>
    </w:p>
    <w:p>
      <w:r>
        <w:br w:type="page"/>
      </w:r>
    </w:p>
    <w:p>
      <w:pPr>
        <w:pStyle w:val="Heading1"/>
      </w:pPr>
      <w:r>
        <w:t xml:space="preserve">V1 Strategy Diagnosis</w:t>
      </w:r>
    </w:p>
    <w:p>
      <w:pPr>
        <w:pStyle w:val="Heading2"/>
      </w:pPr>
      <w:r>
        <w:t xml:space="preserve">V1 Performance (8 months, 4 coins x 2 timeframes)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1600"/>
        <w:gridCol w:w="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BTC_4h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ETH_4h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SOL_4h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BNB_4h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Trades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Win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75%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33%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33%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Return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+2.88%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-8.16%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-8.00%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-0.54%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-3.46%</w:t>
            </w:r>
          </w:p>
        </w:tc>
      </w:tr>
    </w:tbl>
    <w:p>
      <w:pPr>
        <w:pStyle w:val="Heading2"/>
      </w:pPr>
      <w:r>
        <w:t xml:space="preserve">5 Core Problems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Signal frequency too low: 14 trades in 8 months across 8 pairs = 1.75 trades/pair. Most time idle.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ATR SL multiplier (1.5x) too tight: Gets stopped out by normal volatility before trend develops.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ATR TP multiplier (3x) insufficient R:R: With ~35% win rate, need at least 3:1 to break even after commissions.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BNB drags portfolio: -48% in V8 test, consistently worst performer across all configs.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Confidence threshold (0.55) excessive: V1 minEngineCount=1 already allows single-engine signals, but 0.55 cuts most of them out.</w:t>
      </w:r>
    </w:p>
    <w:p>
      <w:r>
        <w:br w:type="page"/>
      </w:r>
    </w:p>
    <w:p>
      <w:pPr>
        <w:pStyle w:val="Heading1"/>
      </w:pPr>
      <w:r>
        <w:t xml:space="preserve">Optimization Comparison (4h Timeframe)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000"/>
        <w:gridCol w:w="1200"/>
        <w:gridCol w:w="1200"/>
        <w:gridCol w:w="900"/>
        <w:gridCol w:w="9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MaxDD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V1: Original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-3.46%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9.73%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V2: Lower Threshold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35%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-58%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91%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A: BTC+ETH+SOL TP8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+39.72%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C: SL3+TP12 Conf0.4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43%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+52.79%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E: BTC Only TP15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60%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+49.89%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9%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7.84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F: GridBoost TP10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44%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+36.19%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18%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Recommended: Strategy C (SL3+TP12)</w:t>
      </w:r>
    </w:p>
    <w:p>
      <w:pPr>
        <w:spacing w:after="200"/>
      </w:pPr>
      <w:r>
        <w:rPr>
          <w:sz w:val="20"/>
          <w:szCs w:val="20"/>
        </w:rPr>
        <w:t xml:space="preserve">This is the recommended strategy balancing profitability, drawdown, and trade frequency.</w:t>
      </w:r>
    </w:p>
    <w:p>
      <w:pPr>
        <w:pStyle w:val="Heading2"/>
      </w:pPr>
      <w:r>
        <w:t xml:space="preserve">Parameter Changes vs V1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8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 (Current)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 (Optimized)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ATR SL Multiplier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3.0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ATR TP Multiplier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12.0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+300%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R:R Ratio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2:1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4:1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Min Confidence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0.40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-27%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Cooldown (bars)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 (4h=64h)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(4h=4h)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-94%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Trend Weight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0.45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-25%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MM Weight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0.25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+67%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Grid Weight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0.30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+20%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Multi-engine Bonus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+0.20 confidence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Dynamic Leverage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 2-3x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1x/3x/5x by conf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Coins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BTC+ETH+SOL+BNB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BTC+ETH+SOL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Drop BNB</w:t>
            </w:r>
          </w:p>
        </w:tc>
      </w:tr>
    </w:tbl>
    <w:p>
      <w:pPr>
        <w:pStyle w:val="Heading2"/>
      </w:pPr>
      <w:r>
        <w:t xml:space="preserve">Per-Coin Performance (Strategy C)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1200"/>
        <w:gridCol w:w="1200"/>
        <w:gridCol w:w="1000"/>
        <w:gridCol w:w="1000"/>
        <w:gridCol w:w="1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MaxDD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Sharpe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Bars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BTC/USDT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57%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+34.65%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5.23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ETH/USDT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+41.48%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4.46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4.60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SOL/USDT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+82.26%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16%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5.12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6.04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Why These Changes Work</w:t>
      </w:r>
    </w:p>
    <w:p>
      <w:pPr>
        <w:pStyle w:val="Heading2"/>
      </w:pPr>
      <w:r>
        <w:t xml:space="preserve">1. Wide Stop Loss (3x ATR) + High Take Profit (12x ATR)</w:t>
      </w:r>
    </w:p>
    <w:p>
      <w:pPr>
        <w:spacing w:after="200"/>
      </w:pPr>
      <w:r>
        <w:t xml:space="preserve">The single biggest factor. V1's 1.5x ATR stop gets hit by normal 4h volatility. Data shows winning trades need 5-15 bars to develop. 3x ATR gives room to breathe, while 12x TP captures the full trend move. Win rate drops from 59% to 43%, but R:R jumps from 2:1 to 4:1. Math: 43% * 4 - 57% * 1 = +0.58x per trade (positive expectancy).</w:t>
      </w:r>
    </w:p>
    <w:p>
      <w:pPr>
        <w:pStyle w:val="Heading2"/>
      </w:pPr>
      <w:r>
        <w:t xml:space="preserve">2. Lower Confidence Threshold (0.55 -&gt; 0.40)</w:t>
      </w:r>
    </w:p>
    <w:p>
      <w:pPr>
        <w:spacing w:after="200"/>
      </w:pPr>
      <w:r>
        <w:t xml:space="preserve">V1 generates only 14 trades in 8 months. At 0.40 threshold with multi-engine bonus, we get 21 trades. Not too many (like V2's 2240), but enough to capture opportunities. The key insight: combine lower entry threshold with wider stops as a safety mechanism.</w:t>
      </w:r>
    </w:p>
    <w:p>
      <w:pPr>
        <w:pStyle w:val="Heading2"/>
      </w:pPr>
      <w:r>
        <w:t xml:space="preserve">3. Multi-Engine Consensus Bonus</w:t>
      </w:r>
    </w:p>
    <w:p>
      <w:pPr>
        <w:spacing w:after="200"/>
      </w:pPr>
      <w:r>
        <w:t xml:space="preserve">When 2+ engines agree on direction, add +0.20 confidence bonus. This rewards consensus without requiring it (single high-conviction engine can still generate signals). In backtesting, consensus signals had 15-20% higher win rates.</w:t>
      </w:r>
    </w:p>
    <w:p>
      <w:pPr>
        <w:pStyle w:val="Heading2"/>
      </w:pPr>
      <w:r>
        <w:t xml:space="preserve">4. Dynamic Leverage</w:t>
      </w:r>
    </w:p>
    <w:p>
      <w:pPr>
        <w:spacing w:after="200"/>
      </w:pPr>
      <w:r>
        <w:t xml:space="preserve">Low confidence (&lt; 0.50) = 1x, Medium (0.50-0.69) = 3x, High (&gt; 0.70) = 5x. This limits risk on marginal signals while amplifying high-confidence ones. Reduces max drawdown from 38% to 27% compared to fixed leverage.</w:t>
      </w:r>
    </w:p>
    <w:p>
      <w:pPr>
        <w:pStyle w:val="Heading2"/>
      </w:pPr>
      <w:r>
        <w:t xml:space="preserve">5. Drop BNB</w:t>
      </w:r>
    </w:p>
    <w:p>
      <w:pPr>
        <w:spacing w:after="200"/>
      </w:pPr>
      <w:r>
        <w:t xml:space="preserve">BNB consistently loses across ALL 14 configurations tested. It tends to range-bound movements that trigger false signals. BNB also has lower funding rate volatility, making the MM engine less effective. Removing BNB improved portfolio return by ~30%.</w:t>
      </w:r>
    </w:p>
    <w:p>
      <w:pPr>
        <w:pStyle w:val="Heading1"/>
      </w:pPr>
      <w:r>
        <w:t xml:space="preserve">Action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Update strategy_configs in Supabase: weights to trend:0.45/mm:0.25/grid:0.30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Update trend engine params: atr_sl_multiplier=3.0, atr_tp_multiplier=12.0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Add multi-engine consensus bonus logic in aggregator.ts (+0.20 when 2+ engines agree)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Add dynamic leverage in aggregator.ts (1x/3x/5x based on confidence)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Lower MIN_CONFIDENCE from 0.55 to 0.40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Lower SIGNAL_COOLDOWN_HOURS from 4 to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Remove BNB/USDT from watchlist or add per-symbol confidence override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Add V3 backtest metrics to monitoring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Run forward test on testnet for 2 weeks before production deployment</w:t>
      </w:r>
    </w:p>
    <w:p>
      <w:pPr>
        <w:pStyle w:val="Heading1"/>
      </w:pPr>
      <w:r>
        <w:t xml:space="preserve">Risk Warnings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66666"/>
          <w:sz w:val="20"/>
          <w:szCs w:val="20"/>
        </w:rPr>
        <w:t xml:space="preserve">Backtesting results may not predict future performance (curve fitting risk)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66666"/>
          <w:sz w:val="20"/>
          <w:szCs w:val="20"/>
        </w:rPr>
        <w:t xml:space="preserve">21 trades in 8 months provides limited statistical significance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66666"/>
          <w:sz w:val="20"/>
          <w:szCs w:val="20"/>
        </w:rPr>
        <w:t xml:space="preserve">4:1 R:R requires patience: average holding period is several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66666"/>
          <w:sz w:val="20"/>
          <w:szCs w:val="20"/>
        </w:rPr>
        <w:t xml:space="preserve">Max drawdown of 27% means a $10K account could temporarily fall to $7.3K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66666"/>
          <w:sz w:val="20"/>
          <w:szCs w:val="20"/>
        </w:rPr>
        <w:t xml:space="preserve">Always use proper position sizing (max 2% risk per trade recommended)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66666"/>
          <w:sz w:val="20"/>
          <w:szCs w:val="20"/>
        </w:rPr>
        <w:t xml:space="preserve">Forward testing on testnet is mandatory before real capital deployment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9990f399-9673-449d-84d4-168f21a4de29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Crypto Tools - Strategy Optimization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1C3A5E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C3A5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2026-06-18T06:43:51.305Z</dcterms:created>
  <dcterms:modified xsi:type="dcterms:W3CDTF">2026-06-18T06:43:51.306Z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9990f399-9673-449d-84d4-168f21a4de29","ReservedCode1":"01ae2c60-744a-4832-a0b1-30dffddd649b","ContentPropagator":"001191110102MAD55U9H0F10002","PropagateID":"9990f399-9673-449d-84d4-168f21a4de29","ReservedCode2":"01ae2c60-744a-4832-a0b1-30dffddd649b"}</vt:lpwstr>
  </property>
</Properties>
</file>