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Crypto Tools V3 策略优化实施报告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2026-06-18 | 最终版本</w:t>
      </w:r>
    </w:p>
    <w:p>
      <w:pPr>
        <w:pStyle w:val="Heading1"/>
      </w:pPr>
      <w:r>
        <w:t xml:space="preserve">1. 实施概述</w:t>
      </w:r>
    </w:p>
    <w:p>
      <w:pPr>
        <w:spacing w:after="120"/>
      </w:pPr>
      <w:r>
        <w:t xml:space="preserve">基于三轮历史回测（14种策略配置、6个月实盘数据），V3优化方案已完成全部代码实施。核心改进：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宽止损+高止盈</w:t>
      </w:r>
      <w:r>
        <w:t xml:space="preserve">：ATR止损从1.5x放宽到3.0x，止盈从3.0x提升到12.0x，盈亏比从2:1提升到4:1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动态杠杆</w:t>
      </w:r>
      <w:r>
        <w:t xml:space="preserve">：根据置信度自动调整（&gt;=70% → 5x，&gt;=50% → 3x，&lt;50% → 1x），降低回撤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降低入场门槛</w:t>
      </w:r>
      <w:r>
        <w:t xml:space="preserve">：MIN_CONFIDENCE从0.55降至0.40，冷却期从4小时缩短至1小时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移除BNB</w:t>
      </w:r>
      <w:r>
        <w:t xml:space="preserve">：所有14种配置中BNB均亏损，从监控列表中剔除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权重再平衡</w:t>
      </w:r>
      <w:r>
        <w:t xml:space="preserve">：trend 0.60→0.45, mm 0.15→0.25, grid 0.25→0.30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多引擎共识加分</w:t>
      </w:r>
      <w:r>
        <w:t xml:space="preserve">：2+引擎方向一致时+0.20置信度奖励</w:t>
      </w:r>
    </w:p>
    <w:p>
      <w:pPr>
        <w:pStyle w:val="Heading1"/>
      </w:pPr>
      <w:r>
        <w:t xml:space="preserve">2. V1 vs V3 对比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2800"/>
        <w:gridCol w:w="28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V1 (原版)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V3 (优化)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变化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总收益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-1.98%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+52.79%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+54.77%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胜率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59.1%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42.9%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-16.2%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盈亏比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1.5:1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4:1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+166%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交易次数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-68%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最大回撤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26.89%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可控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Calmar比率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2.76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优秀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利润因子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3.70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优秀</w:t>
            </w:r>
          </w:p>
        </w:tc>
      </w:tr>
    </w:tbl>
    <w:p>
      <w:pPr>
        <w:spacing w:after="120" w:before="80"/>
      </w:pPr>
      <w:r>
        <w:rPr>
          <w:i/>
          <w:iCs/>
          <w:color w:val="888888"/>
          <w:sz w:val="18"/>
          <w:szCs w:val="18"/>
        </w:rPr>
        <w:t xml:space="preserve">注：V3数据来自Strategy C (SL3.0+TP12+Conf0.40) 6个月回测，仅BTC+ETH+SOL</w:t>
      </w:r>
    </w:p>
    <w:p>
      <w:pPr>
        <w:pStyle w:val="Heading1"/>
      </w:pPr>
      <w:r>
        <w:t xml:space="preserve">3. 代码变更清单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变更内容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src/engines/trend.ts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默认参数: sl_mult 1.5→3.0, tp_mult 3.0→12.0, leverage 3→5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src/engines/aggregator.ts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多引擎共识加分 +0.20 (2+引擎一致时)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src/engines/aggregator.ts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动态杠杆: confidence&gt;=70%→5x, &gt;=50%→3x, &lt;50%→1x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src/engines/aggregator.ts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minConfidenceForFinal: 0.35→0.30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src/runner/index.ts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MIN_CONFIDENCE: 0.55→0.40, COOLDOWN: 4h→1h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src/runner/index.ts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Fallback权重: 0.60/0.15/0.25→0.45/0.25/0.30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src/runner/index.ts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Fallback参数: sl_mult 1.5→3.0, tp_mult 3.0→12.0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src/runner/index.ts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Fallback监控列表: 移除BNB/USDT, 增加SOL/4h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supabase/.../001_initial.sql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权重: 0.60/0.15/0.25→0.45/0.25/0.30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supabase/.../001_initial.sql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趋势参数: sl_mult 1.5→3.0, tp_mult 3.0→12.0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supabase/.../001_initial.sql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监控列表: 移除BNB/USDT, 增加SOL/4h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src/test-mock.ts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权重和参数同步更新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已完成</w:t>
            </w:r>
          </w:p>
        </w:tc>
      </w:tr>
    </w:tbl>
    <w:p>
      <w:pPr>
        <w:pStyle w:val="Heading1"/>
      </w:pPr>
      <w:r>
        <w:t xml:space="preserve">4. 验证结果</w:t>
      </w:r>
    </w:p>
    <w:p>
      <w:pPr>
        <w:pStyle w:val="Heading2"/>
      </w:pPr>
      <w:r>
        <w:t xml:space="preserve">4.1 TypeScript类型检查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npx tsc --noEmit</w:t>
      </w:r>
      <w:r>
        <w:t xml:space="preserve"> — 零错误通过</w:t>
      </w:r>
    </w:p>
    <w:p>
      <w:pPr>
        <w:pStyle w:val="Heading2"/>
      </w:pPr>
      <w:r>
        <w:t xml:space="preserve">4.2 Mock E2E回归测试</w:t>
      </w:r>
    </w:p>
    <w:p>
      <w:pPr>
        <w:spacing w:after="120"/>
      </w:pPr>
      <w:r>
        <w:t xml:space="preserve">3个测试场景全部通过，引擎流水线（指标计算 → 引擎评估 → 多引擎融合 → 信号生成）正常运行。</w:t>
      </w:r>
    </w:p>
    <w:p>
      <w:pPr>
        <w:pStyle w:val="Heading1"/>
      </w:pPr>
      <w:r>
        <w:t xml:space="preserve">5. 风险提示与后续建议</w:t>
      </w:r>
    </w:p>
    <w:p>
      <w:pPr>
        <w:pStyle w:val="Heading2"/>
      </w:pPr>
      <w:r>
        <w:t xml:space="preserve">5.1 已知风险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回撤偏大</w:t>
      </w:r>
      <w:r>
        <w:t xml:space="preserve">：V3最大回撤26.89%，宽止损意味着单笔亏损较大，需严格仓位管理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信号频率低</w:t>
      </w:r>
      <w:r>
        <w:t xml:space="preserve">：仅21笔/6月，可能出现长时间无信号的情况，需耐心等待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过度拟合风险</w:t>
      </w:r>
      <w:r>
        <w:t xml:space="preserve">：参数基于历史数据优化，未来表现可能偏离回测结果</w:t>
      </w:r>
    </w:p>
    <w:p>
      <w:pPr>
        <w:pStyle w:val="Heading2"/>
      </w:pPr>
      <w:r>
        <w:t xml:space="preserve">5.2 后续优化方向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增加交易对</w:t>
      </w:r>
      <w:r>
        <w:t xml:space="preserve">：验证DOGE/AVAX等币种是否适用当前参数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自适应止损</w:t>
      </w:r>
      <w:r>
        <w:t xml:space="preserve">：根据波动率动态调整止损倍数（高波动时段更宽，低波动时段更紧）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信号分级通知</w:t>
      </w:r>
      <w:r>
        <w:t xml:space="preserve">：高置信度信号(&gt;=70%)推送Gmail，中低置信度仅记录DB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实时P&amp;L追踪</w:t>
      </w:r>
      <w:r>
        <w:t xml:space="preserve">：入库后跟踪每笔信号的实际盈亏，用于策略校准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paper trading验证</w:t>
      </w:r>
      <w:r>
        <w:t xml:space="preserve">：上线前建议2-4周模拟交易，确认实盘表现与回测一致</w:t>
      </w:r>
    </w:p>
    <w:p>
      <w:pPr>
        <w:pStyle w:val="Heading1"/>
      </w:pPr>
      <w:r>
        <w:t xml:space="preserve">6. 部署检查清单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Supabase数据库</w:t>
      </w:r>
      <w:r>
        <w:t xml:space="preserve">：执行新migration更新权重、参数和监控列表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环境变量</w:t>
      </w:r>
      <w:r>
        <w:t xml:space="preserve">：设置 MIN_CONFIDENCE=0.40, SIGNAL_COOLDOWN_HOURS=1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Vercel部署</w:t>
      </w:r>
      <w:r>
        <w:t xml:space="preserve">：git push触发自动部署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上线观察</w:t>
      </w:r>
      <w:r>
        <w:t xml:space="preserve">：前7天密切监控信号质量和通知稳定性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5b1c2cc9-b1de-4431-9c15-9c244ca0a856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Crypto Tools V3 Optimization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1B3A5C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6B9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2026-06-18T07:02:34.595Z</dcterms:created>
  <dcterms:modified xsi:type="dcterms:W3CDTF">2026-06-18T07:02:34.598Z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5b1c2cc9-b1de-4431-9c15-9c244ca0a856","ReservedCode1":"85b6d8b2-90d6-4565-a370-8fe53e09f23f","ContentPropagator":"001191110102MAD55U9H0F10002","PropagateID":"5b1c2cc9-b1de-4431-9c15-9c244ca0a856","ReservedCode2":"85b6d8b2-90d6-4565-a370-8fe53e09f23f"}</vt:lpwstr>
  </property>
</Properties>
</file>