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2E"/>
          <w:sz w:val="44"/>
          <w:szCs w:val="44"/>
        </w:rPr>
        <w:t xml:space="preserve">Crypto Signal Alert</w:t>
      </w:r>
    </w:p>
    <w:p>
      <w:pPr>
        <w:spacing w:after="60"/>
        <w:jc w:val="center"/>
      </w:pPr>
      <w:r>
        <w:rPr>
          <w:b/>
          <w:bCs/>
          <w:color w:val="333366"/>
          <w:sz w:val="32"/>
          <w:szCs w:val="32"/>
        </w:rPr>
        <w:t xml:space="preserve">Strategy Backtest &amp; Optimization Report</w:t>
      </w:r>
    </w:p>
    <w:p>
      <w:pPr>
        <w:spacing w:after="200"/>
        <w:jc w:val="center"/>
      </w:pPr>
      <w:r>
        <w:rPr>
          <w:color w:val="888888"/>
          <w:sz w:val="20"/>
          <w:szCs w:val="20"/>
        </w:rPr>
        <w:t xml:space="preserve">2026-06-17 | 4H Timeframe | 8 Months Historical Data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核心发现: </w:t>
      </w:r>
      <w:r>
        <w:t xml:space="preserve">当前默认配置在8个月回测中产生0笔交易——融合阈值过严导致系统完全失效。</w:t>
      </w:r>
    </w:p>
    <w:p>
      <w:pPr>
        <w:spacing w:after="120"/>
      </w:pPr>
      <w:r>
        <w:rPr>
          <w:b/>
          <w:bCs/>
        </w:rPr>
        <w:t xml:space="preserve">优化结果: </w:t>
      </w:r>
      <w:r>
        <w:rPr>
          <w:b/>
          <w:bCs/>
          <w:color w:val="008800"/>
        </w:rPr>
        <w:t xml:space="preserve">趋势优先单引擎模式</w:t>
      </w:r>
      <w:r>
        <w:t xml:space="preserve"> 在BTC上实现+32.82%累计收益(44笔交易, 43%胜率)，ETH +30.63%，SOL +25.06%，XRP +25.13%。</w:t>
      </w:r>
    </w:p>
    <w:p>
      <w:pPr>
        <w:spacing w:after="120"/>
      </w:pPr>
      <w:r>
        <w:rPr>
          <w:b/>
          <w:bCs/>
        </w:rPr>
        <w:t xml:space="preserve">关键改动: </w:t>
      </w:r>
      <w:r>
        <w:t xml:space="preserve">minEngineCount 2→1, minConfidenceForFinal 0.55→0.35, 趋势引擎权重 0.4→0.6, 做市引擎funding_rate_threshold 0.0003→0.0001。</w:t>
      </w:r>
    </w:p>
    <w:p>
      <w:pPr>
        <w:pStyle w:val="Heading1"/>
      </w:pPr>
      <w:r>
        <w:t xml:space="preserve">2. Problem Diagnosis</w:t>
      </w:r>
    </w:p>
    <w:p>
      <w:pPr>
        <w:pStyle w:val="Heading2"/>
      </w:pPr>
      <w:r>
        <w:t xml:space="preserve">2.1 引擎信号诊断 (BTC/USDT 4H, 20点抽样)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信号次数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方向分布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诊断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趋势引擎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t xml:space="preserve">188次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85多/103空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最活跃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做市引擎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t xml:space="preserve">0次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完全哑火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网格引擎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t xml:space="preserve">104次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多空各半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与趋势常分歧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2引擎一致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t xml:space="preserve">0/20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几乎不发生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根因分析</w:t>
      </w:r>
    </w:p>
    <w:p>
      <w:pPr>
        <w:spacing w:after="120"/>
      </w:pPr>
      <w:r>
        <w:rPr>
          <w:b/>
          <w:bCs/>
        </w:rPr>
        <w:t xml:space="preserve">问题1: 融合阈值过严</w:t>
      </w:r>
      <w:r>
        <w:t xml:space="preserve"> — minEngineCount=2 + minConfidenceForFinal=0.55 要求至少2个引擎一致且置信度≥0.55。但在当前震荡行情中，趋势引擎(看方向)和网格引擎(看均值回归)几乎永远分歧。</w:t>
      </w:r>
    </w:p>
    <w:p>
      <w:pPr>
        <w:spacing w:after="120"/>
      </w:pPr>
      <w:r>
        <w:rPr>
          <w:b/>
          <w:bCs/>
        </w:rPr>
        <w:t xml:space="preserve">问题2: 做市引擎完全哑火</w:t>
      </w:r>
      <w:r>
        <w:t xml:space="preserve"> — funding_rate_threshold=0.0003(0.03%)过高。过去8个月，BTC资金费率几乎从未超过±0.03%，导致做市引擎0信号输出，无法参与融合投票。</w:t>
      </w:r>
    </w:p>
    <w:p>
      <w:pPr>
        <w:spacing w:after="120"/>
      </w:pPr>
      <w:r>
        <w:rPr>
          <w:b/>
          <w:bCs/>
        </w:rPr>
        <w:t xml:space="preserve">问题3: 引擎设计哲学冲突</w:t>
      </w:r>
      <w:r>
        <w:t xml:space="preserve"> — 趋势引擎是动量型(追涨杀跌)，网格引擎是均值回归型(低买高卖)。两者在震荡市中方向相反是常态而非异常，强制2引擎一致等于永远不交易。</w:t>
      </w:r>
    </w:p>
    <w:p>
      <w:pPr>
        <w:pStyle w:val="Heading1"/>
      </w:pPr>
      <w:r>
        <w:t xml:space="preserve">3. Backtest Results</w:t>
      </w:r>
    </w:p>
    <w:p>
      <w:pPr>
        <w:pStyle w:val="Heading2"/>
      </w:pPr>
      <w:r>
        <w:t xml:space="preserve">3.1 优化前后对比 (4H, 2025.10-2026.06)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000"/>
        <w:gridCol w:w="1000"/>
        <w:gridCol w:w="800"/>
        <w:gridCol w:w="800"/>
        <w:gridCol w:w="1100"/>
        <w:gridCol w:w="11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MaxDD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MaxDD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r/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/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BTC/USDT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800"/>
              </w:rPr>
              <w:t xml:space="preserve">+32.82%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-14.11%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800"/>
              </w:rPr>
              <w:t xml:space="preserve">+30.63%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-23.69%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800"/>
              </w:rPr>
              <w:t xml:space="preserve">+25.06%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-13.68%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BNB/USDT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-5.09%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-17.36%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DOGE/USDT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-20.75%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-30.75%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XRP/USDT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800"/>
              </w:rPr>
              <w:t xml:space="preserve">+25.13%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-12.02%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ADA/USDT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-16.93%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-34.48%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AVAX/USDT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-0.00%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800"/>
              </w:rPr>
              <w:t xml:space="preserve">+4.07%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-28.15%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优化后盈亏特征</w:t>
      </w:r>
    </w:p>
    <w:p>
      <w:pPr>
        <w:spacing w:after="120"/>
      </w:pPr>
      <w:r>
        <w:rPr>
          <w:b/>
          <w:bCs/>
        </w:rPr>
        <w:t xml:space="preserve">盈利币种: </w:t>
      </w:r>
      <w:r>
        <w:rPr>
          <w:b/>
          <w:bCs/>
          <w:color w:val="008800"/>
        </w:rPr>
        <w:t xml:space="preserve">BTC +32.82%</w:t>
      </w:r>
      <w:r>
        <w:t xml:space="preserve"> (44笔, 43%胜率, 平均盈+4.22%/亏-1.98%), </w:t>
      </w:r>
      <w:r>
        <w:rPr>
          <w:b/>
          <w:bCs/>
          <w:color w:val="008800"/>
        </w:rPr>
        <w:t xml:space="preserve">ETH +30.63%</w:t>
      </w:r>
      <w:r>
        <w:t xml:space="preserve"> (31笔, 48%胜率), </w:t>
      </w:r>
      <w:r>
        <w:rPr>
          <w:b/>
          <w:bCs/>
          <w:color w:val="008800"/>
        </w:rPr>
        <w:t xml:space="preserve">SOL +25.06%</w:t>
      </w:r>
      <w:r>
        <w:t xml:space="preserve">, </w:t>
      </w:r>
      <w:r>
        <w:rPr>
          <w:b/>
          <w:bCs/>
          <w:color w:val="008800"/>
        </w:rPr>
        <w:t xml:space="preserve">XRP +25.13%</w:t>
      </w:r>
      <w:r>
        <w:t xml:space="preserve">, </w:t>
      </w:r>
      <w:r>
        <w:rPr>
          <w:b/>
          <w:bCs/>
          <w:color w:val="008800"/>
        </w:rPr>
        <w:t xml:space="preserve">AVAX +4.07%</w:t>
      </w:r>
    </w:p>
    <w:p>
      <w:pPr>
        <w:spacing w:after="120"/>
      </w:pPr>
      <w:r>
        <w:rPr>
          <w:b/>
          <w:bCs/>
        </w:rPr>
        <w:t xml:space="preserve">亏损币种: </w:t>
      </w:r>
      <w:r>
        <w:rPr>
          <w:b/>
          <w:bCs/>
          <w:color w:val="CC0000"/>
        </w:rPr>
        <w:t xml:space="preserve">DOGE -20.75%</w:t>
      </w:r>
      <w:r>
        <w:t xml:space="preserve"> (23%胜率, 震荡Meme币不适合趋势策略), </w:t>
      </w:r>
      <w:r>
        <w:rPr>
          <w:b/>
          <w:bCs/>
          <w:color w:val="CC0000"/>
        </w:rPr>
        <w:t xml:space="preserve">ADA -16.93%</w:t>
      </w:r>
      <w:r>
        <w:t xml:space="preserve">, </w:t>
      </w:r>
      <w:r>
        <w:rPr>
          <w:b/>
          <w:bCs/>
          <w:color w:val="CC0000"/>
        </w:rPr>
        <w:t xml:space="preserve">BNB -5.09%</w:t>
      </w:r>
    </w:p>
    <w:p>
      <w:pPr>
        <w:spacing w:after="120"/>
      </w:pPr>
      <w:r>
        <w:rPr>
          <w:b/>
          <w:bCs/>
        </w:rPr>
        <w:t xml:space="preserve">建议: </w:t>
      </w:r>
      <w:r>
        <w:t xml:space="preserve">可考虑将DOGE/ADA从监控列表移除或降低其仓位权重。BTC/ETH/SOL/XRP是趋势策略的最佳标的。</w:t>
      </w:r>
    </w:p>
    <w:p>
      <w:pPr>
        <w:pStyle w:val="Heading1"/>
      </w:pPr>
      <w:r>
        <w:t xml:space="preserve">4. Optimization Details</w:t>
      </w:r>
    </w:p>
    <w:p>
      <w:pPr>
        <w:pStyle w:val="Heading2"/>
      </w:pPr>
      <w:r>
        <w:t xml:space="preserve">4.1 参数网格搜索</w:t>
      </w:r>
    </w:p>
    <w:p>
      <w:pPr>
        <w:spacing w:after="120"/>
      </w:pPr>
      <w:r>
        <w:t xml:space="preserve">在BTC/USDT 4H上测试了36种参数组合(6种引擎参数 × 6种融合模式)，评估指标: 收益 - 2×回撤 + 0.3×夏普。</w:t>
      </w:r>
    </w:p>
    <w:p>
      <w:pPr>
        <w:spacing w:after="120"/>
      </w:pPr>
      <w:r>
        <w:rPr>
          <w:b/>
          <w:bCs/>
        </w:rPr>
        <w:t xml:space="preserve">最优组合: </w:t>
      </w:r>
      <w:r>
        <w:t xml:space="preserve">趋势优先1引擎模式 (trend weight=0.6, mm=0.15, grid=0.25, minEngineCount=1, minConfidence=0.35)。相比默认配置，该组合在保留风险控制的同时最大化了交易机会。</w:t>
      </w:r>
    </w:p>
    <w:p>
      <w:pPr>
        <w:pStyle w:val="Heading2"/>
      </w:pPr>
      <w:r>
        <w:t xml:space="preserve">4.2 代码变更清单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aggregator.ts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minEngineCount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允许单引擎入场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aggregator.ts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minConfidenceForFinal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0.55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0.35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降低融合阈值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aggregator.ts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minWeightedConfidence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0.20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降低加权置信度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market-making.ts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funding_rate_threshold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0.0003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0.0001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放宽资金费率触发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trend 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0.6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趋势引擎权重提升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mm 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0.15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做市引擎权重降低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grid 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008800"/>
                <w:sz w:val="18"/>
                <w:szCs w:val="18"/>
              </w:rPr>
              <w:t xml:space="preserve">0.25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网格引擎权重微降</w:t>
            </w:r>
          </w:p>
        </w:tc>
      </w:tr>
    </w:tbl>
    <w:p>
      <w:pPr>
        <w:pStyle w:val="Heading1"/>
      </w:pPr>
      <w:r>
        <w:t xml:space="preserve">5. Risk Analysis &amp; Further Improvements</w:t>
      </w:r>
    </w:p>
    <w:p>
      <w:pPr>
        <w:pStyle w:val="Heading2"/>
      </w:pPr>
      <w:r>
        <w:t xml:space="preserve">5.1 当前风险</w:t>
      </w:r>
    </w:p>
    <w:p>
      <w:pPr>
        <w:spacing w:after="120"/>
      </w:pPr>
      <w:r>
        <w:rPr>
          <w:b/>
          <w:bCs/>
        </w:rPr>
        <w:t xml:space="preserve">1. 回撤风险: </w:t>
      </w:r>
      <w:r>
        <w:t xml:space="preserve">ETH最大回撤-23.69%，ADA -34.48%。建议单币种仓位不超过总资金的10%，总杠杆≤2x。</w:t>
      </w:r>
    </w:p>
    <w:p>
      <w:pPr>
        <w:spacing w:after="120"/>
      </w:pPr>
      <w:r>
        <w:rPr>
          <w:b/>
          <w:bCs/>
        </w:rPr>
        <w:t xml:space="preserve">2. 震荡市风险: </w:t>
      </w:r>
      <w:r>
        <w:t xml:space="preserve">趋势策略在横盘震荡中会频繁止损。BNB/DOGE/ADA的23-32%胜率就是典型表现。可考虑增加ADX趋势强度过滤。</w:t>
      </w:r>
    </w:p>
    <w:p>
      <w:pPr>
        <w:spacing w:after="120"/>
      </w:pPr>
      <w:r>
        <w:rPr>
          <w:b/>
          <w:bCs/>
        </w:rPr>
        <w:t xml:space="preserve">3. 假信号风险: </w:t>
      </w:r>
      <w:r>
        <w:t xml:space="preserve">单引擎模式下没有了多引擎交叉验证，假信号可能更多。43%胜率意味着57%的交易是亏损的，需要严格的资金管理。</w:t>
      </w:r>
    </w:p>
    <w:p>
      <w:pPr>
        <w:pStyle w:val="Heading2"/>
      </w:pPr>
      <w:r>
        <w:t xml:space="preserve">5.2 进一步优化方向</w:t>
      </w:r>
    </w:p>
    <w:p>
      <w:pPr>
        <w:spacing w:after="120"/>
      </w:pPr>
      <w:r>
        <w:rPr>
          <w:b/>
          <w:bCs/>
        </w:rPr>
        <w:t xml:space="preserve">1. ADX趋势强度过滤: </w:t>
      </w:r>
      <w:r>
        <w:t xml:space="preserve">在趋势引擎中加入ADX指标，当ADX&lt;20(无趋势)时拒绝信号，可减少震荡市的假信号。</w:t>
      </w:r>
    </w:p>
    <w:p>
      <w:pPr>
        <w:spacing w:after="120"/>
      </w:pPr>
      <w:r>
        <w:rPr>
          <w:b/>
          <w:bCs/>
        </w:rPr>
        <w:t xml:space="preserve">2. 动态权重调整: </w:t>
      </w:r>
      <w:r>
        <w:t xml:space="preserve">根据近期各引擎表现动态调整权重。趋势市中提高趋势权重，震荡市中提高网格权重。</w:t>
      </w:r>
    </w:p>
    <w:p>
      <w:pPr>
        <w:spacing w:after="120"/>
      </w:pPr>
      <w:r>
        <w:rPr>
          <w:b/>
          <w:bCs/>
        </w:rPr>
        <w:t xml:space="preserve">3. 币种筛选: </w:t>
      </w:r>
      <w:r>
        <w:t xml:space="preserve">从17个监控币种中剔除DOGE/ADA等不适配趋势策略的币种，聚焦BTC/ETH/SOL/XRP等高流动性品种。</w:t>
      </w:r>
    </w:p>
    <w:p>
      <w:pPr>
        <w:spacing w:after="120"/>
      </w:pPr>
      <w:r>
        <w:rPr>
          <w:b/>
          <w:bCs/>
        </w:rPr>
        <w:t xml:space="preserve">4. 多时间框架确认: </w:t>
      </w:r>
      <w:r>
        <w:t xml:space="preserve">要求4H和1D时间框架方向一致才入场，减少逆势交易。</w:t>
      </w:r>
    </w:p>
    <w:p>
      <w:pPr>
        <w:spacing w:after="120"/>
      </w:pPr>
      <w:r>
        <w:rPr>
          <w:b/>
          <w:bCs/>
        </w:rPr>
        <w:t xml:space="preserve">5. 仓位管理优化: </w:t>
      </w:r>
      <w:r>
        <w:t xml:space="preserve">根据置信度动态调仓: conf&gt;0.6→满仓, 0.4-0.6→半仓, &lt;0.4→轻仓。避免所有信号等量下注。</w:t>
      </w:r>
    </w:p>
    <w:p>
      <w:pPr>
        <w:pStyle w:val="Heading1"/>
      </w:pPr>
      <w:r>
        <w:t xml:space="preserve">6. Conclusion</w:t>
      </w:r>
    </w:p>
    <w:p>
      <w:pPr>
        <w:spacing w:after="120"/>
      </w:pPr>
      <w:r>
        <w:t xml:space="preserve">本次回测揭示了当前策略配置的根本问题——融合阈值过严导致系统完全失效。优化后的趋势优先单引擎模式在主流币种上展现了可观的盈利能力，但需要注意：</w:t>
      </w:r>
    </w:p>
    <w:p>
      <w:pPr>
        <w:spacing w:after="120"/>
      </w:pPr>
      <w:r>
        <w:rPr>
          <w:i/>
          <w:iCs/>
        </w:rPr>
        <w:t xml:space="preserve">1. 回测收益不代表未来表现，需持续监控实盘效果</w:t>
      </w:r>
    </w:p>
    <w:p>
      <w:pPr>
        <w:spacing w:after="120"/>
      </w:pPr>
      <w:r>
        <w:rPr>
          <w:i/>
          <w:iCs/>
        </w:rPr>
        <w:t xml:space="preserve">2. 43%胜率意味着需要严格止损和资金管理才能长期盈利</w:t>
      </w:r>
    </w:p>
    <w:p>
      <w:pPr>
        <w:spacing w:after="120"/>
      </w:pPr>
      <w:r>
        <w:rPr>
          <w:i/>
          <w:iCs/>
        </w:rPr>
        <w:t xml:space="preserve">3. 建议先用小仓位验证1-2周，确认优化后配置在实盘中的表现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优化后配置已更新至代码和数据库，重启local-runner即可生效。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2026-06-17T07:32:04.005Z</dcterms:created>
  <dcterms:modified xsi:type="dcterms:W3CDTF">2026-06-17T07:32:04.006Z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