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Vision AI System</w:t>
      </w:r>
    </w:p>
    <w:p>
      <w:pPr>
        <w:jc w:val="center"/>
      </w:pPr>
      <w:r>
        <w:rPr>
          <w:b/>
          <w:color w:val="2563EB"/>
          <w:sz w:val="32"/>
        </w:rPr>
        <w:t>User Manual and Configuration Guide</w:t>
      </w:r>
    </w:p>
    <w:p>
      <w:pPr>
        <w:jc w:val="center"/>
      </w:pPr>
      <w:r>
        <w:rPr>
          <w:color w:val="64748B"/>
          <w:sz w:val="20"/>
        </w:rPr>
        <w:t>Walk-in Greeting AI MVP - 2026-07-04</w:t>
      </w:r>
    </w:p>
    <w:p>
      <w:r>
        <w:t>This document explains how to deploy, configure, and operate the Vision AI System MVP. The first module, Walk-in Greeting AI, connects to CCTV/IP cameras, detects faces, recognizes registered staff or customers, and creates real-time greeting events. Screenshot examples use demo data from the MVP interface.</w:t>
      </w:r>
    </w:p>
    <w:p>
      <w:pPr>
        <w:jc w:val="center"/>
      </w:pPr>
      <w:r>
        <w:drawing>
          <wp:inline xmlns:a="http://schemas.openxmlformats.org/drawingml/2006/main" xmlns:pic="http://schemas.openxmlformats.org/drawingml/2006/picture">
            <wp:extent cx="6217920" cy="431800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6217920" cy="4318000"/>
                    </a:xfrm>
                    <a:prstGeom prst="rect"/>
                  </pic:spPr>
                </pic:pic>
              </a:graphicData>
            </a:graphic>
          </wp:inline>
        </w:drawing>
      </w:r>
    </w:p>
    <w:p>
      <w:pPr>
        <w:jc w:val="center"/>
      </w:pPr>
      <w:r>
        <w:rPr>
          <w:i/>
          <w:color w:val="64748B"/>
          <w:sz w:val="18"/>
        </w:rPr>
        <w:t>Figure 1 - Dashboard showing real-time walk-in statistics and camera health.</w:t>
      </w:r>
    </w:p>
    <w:p>
      <w:pPr>
        <w:pStyle w:val="Heading1"/>
      </w:pPr>
      <w:r>
        <w:t>Contents</w:t>
      </w:r>
    </w:p>
    <w:p>
      <w:pPr>
        <w:pStyle w:val="ListBullet"/>
      </w:pPr>
      <w:r>
        <w:t>Deployment quick start</w:t>
      </w:r>
    </w:p>
    <w:p>
      <w:pPr>
        <w:pStyle w:val="ListBullet"/>
      </w:pPr>
      <w:r>
        <w:t>First login and user roles</w:t>
      </w:r>
    </w:p>
    <w:p>
      <w:pPr>
        <w:pStyle w:val="ListBullet"/>
      </w:pPr>
      <w:r>
        <w:t>Camera configuration</w:t>
      </w:r>
    </w:p>
    <w:p>
      <w:pPr>
        <w:pStyle w:val="ListBullet"/>
      </w:pPr>
      <w:r>
        <w:t>Person registration and face enrollment</w:t>
      </w:r>
    </w:p>
    <w:p>
      <w:pPr>
        <w:pStyle w:val="ListBullet"/>
      </w:pPr>
      <w:r>
        <w:t>Live monitoring and detection history</w:t>
      </w:r>
    </w:p>
    <w:p>
      <w:pPr>
        <w:pStyle w:val="ListBullet"/>
      </w:pPr>
      <w:r>
        <w:t>AI settings, greeting templates, privacy, backup, and troubleshooting</w:t>
      </w:r>
    </w:p>
    <w:p>
      <w:pPr>
        <w:pStyle w:val="Heading1"/>
      </w:pPr>
      <w:r>
        <w:t>1. System overview</w:t>
      </w:r>
    </w:p>
    <w:p>
      <w:r>
        <w:t>The application is a modular Vision AI platform. The current MVP focuses on the Walk-in Greeting AI module. Future modules can be added for PPE detection, queue counting, intrusion detection, attendance, people counting, vehicle plate recognition, or branch analytics.</w:t>
      </w:r>
    </w:p>
    <w:tbl>
      <w:tblPr>
        <w:tblStyle w:val="TableGrid"/>
        <w:tblW w:type="auto" w:w="0"/>
        <w:jc w:val="center"/>
        <w:tblLook w:firstColumn="1" w:firstRow="1" w:lastColumn="0" w:lastRow="0" w:noHBand="0" w:noVBand="1" w:val="04A0"/>
      </w:tblPr>
      <w:tblGrid>
        <w:gridCol w:w="5184"/>
        <w:gridCol w:w="5184"/>
      </w:tblGrid>
      <w:tr>
        <w:tc>
          <w:tcPr>
            <w:tcW w:type="dxa" w:w="2016"/>
            <w:shd w:fill="0F172A"/>
            <w:vAlign w:val="center"/>
          </w:tcPr>
          <w:p>
            <w:r/>
            <w:r>
              <w:rPr>
                <w:b/>
                <w:color w:val="FFFFFF"/>
              </w:rPr>
              <w:t>Service</w:t>
            </w:r>
          </w:p>
        </w:tc>
        <w:tc>
          <w:tcPr>
            <w:tcW w:type="dxa" w:w="7776"/>
            <w:shd w:fill="0F172A"/>
            <w:vAlign w:val="center"/>
          </w:tcPr>
          <w:p>
            <w:r/>
            <w:r>
              <w:rPr>
                <w:b/>
                <w:color w:val="FFFFFF"/>
              </w:rPr>
              <w:t>Purpose</w:t>
            </w:r>
          </w:p>
        </w:tc>
      </w:tr>
      <w:tr>
        <w:tc>
          <w:tcPr>
            <w:tcW w:type="dxa" w:w="2016"/>
            <w:vAlign w:val="top"/>
          </w:tcPr>
          <w:p>
            <w:r/>
            <w:r>
              <w:rPr>
                <w:b w:val="0"/>
              </w:rPr>
              <w:t>frontend/</w:t>
            </w:r>
          </w:p>
        </w:tc>
        <w:tc>
          <w:tcPr>
            <w:tcW w:type="dxa" w:w="7776"/>
            <w:vAlign w:val="top"/>
          </w:tcPr>
          <w:p>
            <w:r/>
            <w:r>
              <w:rPr>
                <w:b w:val="0"/>
              </w:rPr>
              <w:t>Nuxt web UI for dashboard, cameras, persons, settings, users, and logs.</w:t>
            </w:r>
          </w:p>
        </w:tc>
      </w:tr>
      <w:tr>
        <w:tc>
          <w:tcPr>
            <w:tcW w:type="dxa" w:w="2016"/>
            <w:vAlign w:val="top"/>
          </w:tcPr>
          <w:p>
            <w:r/>
            <w:r>
              <w:rPr>
                <w:b w:val="0"/>
              </w:rPr>
              <w:t>backend/</w:t>
            </w:r>
          </w:p>
        </w:tc>
        <w:tc>
          <w:tcPr>
            <w:tcW w:type="dxa" w:w="7776"/>
            <w:vAlign w:val="top"/>
          </w:tcPr>
          <w:p>
            <w:r/>
            <w:r>
              <w:rPr>
                <w:b w:val="0"/>
              </w:rPr>
              <w:t>FastAPI API for authentication, role access, database, events, and dashboard SSE.</w:t>
            </w:r>
          </w:p>
        </w:tc>
      </w:tr>
      <w:tr>
        <w:tc>
          <w:tcPr>
            <w:tcW w:type="dxa" w:w="2016"/>
            <w:vAlign w:val="top"/>
          </w:tcPr>
          <w:p>
            <w:r/>
            <w:r>
              <w:rPr>
                <w:b w:val="0"/>
              </w:rPr>
              <w:t>ai-service/</w:t>
            </w:r>
          </w:p>
        </w:tc>
        <w:tc>
          <w:tcPr>
            <w:tcW w:type="dxa" w:w="7776"/>
            <w:vAlign w:val="top"/>
          </w:tcPr>
          <w:p>
            <w:r/>
            <w:r>
              <w:rPr>
                <w:b w:val="0"/>
              </w:rPr>
              <w:t>FastAPI AI service for RTSP workers, face detection, embeddings, recognition callbacks, and greeting logic.</w:t>
            </w:r>
          </w:p>
        </w:tc>
      </w:tr>
      <w:tr>
        <w:tc>
          <w:tcPr>
            <w:tcW w:type="dxa" w:w="2016"/>
            <w:vAlign w:val="top"/>
          </w:tcPr>
          <w:p>
            <w:r/>
            <w:r>
              <w:rPr>
                <w:b w:val="0"/>
              </w:rPr>
              <w:t>database/</w:t>
            </w:r>
          </w:p>
        </w:tc>
        <w:tc>
          <w:tcPr>
            <w:tcW w:type="dxa" w:w="7776"/>
            <w:vAlign w:val="top"/>
          </w:tcPr>
          <w:p>
            <w:r/>
            <w:r>
              <w:rPr>
                <w:b w:val="0"/>
              </w:rPr>
              <w:t>PostgreSQL schema with pgvector for vector similarity search.</w:t>
            </w:r>
          </w:p>
        </w:tc>
      </w:tr>
      <w:tr>
        <w:tc>
          <w:tcPr>
            <w:tcW w:type="dxa" w:w="2016"/>
            <w:vAlign w:val="top"/>
          </w:tcPr>
          <w:p>
            <w:r/>
            <w:r>
              <w:rPr>
                <w:b w:val="0"/>
              </w:rPr>
              <w:t>storage/</w:t>
            </w:r>
          </w:p>
        </w:tc>
        <w:tc>
          <w:tcPr>
            <w:tcW w:type="dxa" w:w="7776"/>
            <w:vAlign w:val="top"/>
          </w:tcPr>
          <w:p>
            <w:r/>
            <w:r>
              <w:rPr>
                <w:b w:val="0"/>
              </w:rPr>
              <w:t>Shared local storage for person face images and event snapshots.</w:t>
            </w:r>
          </w:p>
        </w:tc>
      </w:tr>
      <w:tr>
        <w:tc>
          <w:tcPr>
            <w:tcW w:type="dxa" w:w="2016"/>
            <w:vAlign w:val="top"/>
          </w:tcPr>
          <w:p>
            <w:r/>
            <w:r>
              <w:rPr>
                <w:b w:val="0"/>
              </w:rPr>
              <w:t>docker/</w:t>
            </w:r>
          </w:p>
        </w:tc>
        <w:tc>
          <w:tcPr>
            <w:tcW w:type="dxa" w:w="7776"/>
            <w:vAlign w:val="top"/>
          </w:tcPr>
          <w:p>
            <w:r/>
            <w:r>
              <w:rPr>
                <w:b w:val="0"/>
              </w:rPr>
              <w:t>Production-style Docker deployment with nginx, health checks, volumes, scripts, and env template.</w:t>
            </w:r>
          </w:p>
        </w:tc>
      </w:tr>
    </w:tbl>
    <w:p/>
    <w:p>
      <w:pPr>
        <w:pStyle w:val="Heading1"/>
      </w:pPr>
      <w:r>
        <w:t>2. Deployment quick start</w:t>
      </w:r>
    </w:p>
    <w:p>
      <w:pPr>
        <w:pStyle w:val="Heading2"/>
      </w:pPr>
      <w:r>
        <w:t>2.1 Local development stack</w:t>
      </w:r>
    </w:p>
    <w:p>
      <w:r>
        <w:t>Use the root Docker Compose file for a simple local development run.</w:t>
      </w:r>
    </w:p>
    <w:p>
      <w:pPr>
        <w:spacing w:after="80"/>
        <w:shd w:fill="F1F5F9"/>
      </w:pPr>
      <w:r>
        <w:rPr>
          <w:rFonts w:ascii="Consolas" w:hAnsi="Consolas" w:eastAsia="Consolas"/>
          <w:sz w:val="18"/>
        </w:rPr>
        <w:t>cp .env.example .env</w:t>
        <w:br/>
      </w:r>
      <w:r>
        <w:rPr>
          <w:rFonts w:ascii="Consolas" w:hAnsi="Consolas" w:eastAsia="Consolas"/>
          <w:sz w:val="18"/>
        </w:rPr>
        <w:t>docker compose up --build</w:t>
        <w:br/>
      </w:r>
    </w:p>
    <w:tbl>
      <w:tblPr>
        <w:tblStyle w:val="TableGrid"/>
        <w:tblW w:type="auto" w:w="0"/>
        <w:jc w:val="center"/>
        <w:tblLook w:firstColumn="1" w:firstRow="1" w:lastColumn="0" w:lastRow="0" w:noHBand="0" w:noVBand="1" w:val="04A0"/>
      </w:tblPr>
      <w:tblGrid>
        <w:gridCol w:w="5184"/>
        <w:gridCol w:w="5184"/>
      </w:tblGrid>
      <w:tr>
        <w:tc>
          <w:tcPr>
            <w:tcW w:type="dxa" w:w="3312"/>
            <w:shd w:fill="0F172A"/>
            <w:vAlign w:val="center"/>
          </w:tcPr>
          <w:p>
            <w:r/>
            <w:r>
              <w:rPr>
                <w:b/>
                <w:color w:val="FFFFFF"/>
              </w:rPr>
              <w:t>URL</w:t>
            </w:r>
          </w:p>
        </w:tc>
        <w:tc>
          <w:tcPr>
            <w:tcW w:type="dxa" w:w="6480"/>
            <w:shd w:fill="0F172A"/>
            <w:vAlign w:val="center"/>
          </w:tcPr>
          <w:p>
            <w:r/>
            <w:r>
              <w:rPr>
                <w:b/>
                <w:color w:val="FFFFFF"/>
              </w:rPr>
              <w:t>Purpose</w:t>
            </w:r>
          </w:p>
        </w:tc>
      </w:tr>
      <w:tr>
        <w:tc>
          <w:tcPr>
            <w:tcW w:type="dxa" w:w="3312"/>
            <w:vAlign w:val="top"/>
          </w:tcPr>
          <w:p>
            <w:r/>
            <w:r>
              <w:rPr>
                <w:b w:val="0"/>
              </w:rPr>
              <w:t>http://localhost:3000</w:t>
            </w:r>
          </w:p>
        </w:tc>
        <w:tc>
          <w:tcPr>
            <w:tcW w:type="dxa" w:w="6480"/>
            <w:vAlign w:val="top"/>
          </w:tcPr>
          <w:p>
            <w:r/>
            <w:r>
              <w:rPr>
                <w:b w:val="0"/>
              </w:rPr>
              <w:t>Frontend app</w:t>
            </w:r>
          </w:p>
        </w:tc>
      </w:tr>
      <w:tr>
        <w:tc>
          <w:tcPr>
            <w:tcW w:type="dxa" w:w="3312"/>
            <w:vAlign w:val="top"/>
          </w:tcPr>
          <w:p>
            <w:r/>
            <w:r>
              <w:rPr>
                <w:b w:val="0"/>
              </w:rPr>
              <w:t>http://localhost:8000/docs</w:t>
            </w:r>
          </w:p>
        </w:tc>
        <w:tc>
          <w:tcPr>
            <w:tcW w:type="dxa" w:w="6480"/>
            <w:vAlign w:val="top"/>
          </w:tcPr>
          <w:p>
            <w:r/>
            <w:r>
              <w:rPr>
                <w:b w:val="0"/>
              </w:rPr>
              <w:t>Backend API documentation</w:t>
            </w:r>
          </w:p>
        </w:tc>
      </w:tr>
      <w:tr>
        <w:tc>
          <w:tcPr>
            <w:tcW w:type="dxa" w:w="3312"/>
            <w:vAlign w:val="top"/>
          </w:tcPr>
          <w:p>
            <w:r/>
            <w:r>
              <w:rPr>
                <w:b w:val="0"/>
              </w:rPr>
              <w:t>http://localhost:8001/docs</w:t>
            </w:r>
          </w:p>
        </w:tc>
        <w:tc>
          <w:tcPr>
            <w:tcW w:type="dxa" w:w="6480"/>
            <w:vAlign w:val="top"/>
          </w:tcPr>
          <w:p>
            <w:r/>
            <w:r>
              <w:rPr>
                <w:b w:val="0"/>
              </w:rPr>
              <w:t>AI service API documentation</w:t>
            </w:r>
          </w:p>
        </w:tc>
      </w:tr>
    </w:tbl>
    <w:p/>
    <w:p>
      <w:pPr>
        <w:pStyle w:val="Heading2"/>
      </w:pPr>
      <w:r>
        <w:t>2.2 Production-style Docker stack</w:t>
      </w:r>
    </w:p>
    <w:p>
      <w:r>
        <w:t>Use the deployment folder for nginx reverse proxy, health checks, named volumes, and production environment values.</w:t>
      </w:r>
    </w:p>
    <w:p>
      <w:pPr>
        <w:spacing w:after="80"/>
        <w:shd w:fill="F1F5F9"/>
      </w:pPr>
      <w:r>
        <w:rPr>
          <w:rFonts w:ascii="Consolas" w:hAnsi="Consolas" w:eastAsia="Consolas"/>
          <w:sz w:val="18"/>
        </w:rPr>
        <w:t>cp docker/.env.production.example docker/.env.production</w:t>
        <w:br/>
      </w:r>
      <w:r>
        <w:rPr>
          <w:rFonts w:ascii="Consolas" w:hAnsi="Consolas" w:eastAsia="Consolas"/>
          <w:sz w:val="18"/>
        </w:rPr>
        <w:t># edit docker/.env.production and replace all passwords/secrets</w:t>
        <w:br/>
      </w:r>
      <w:r>
        <w:rPr>
          <w:rFonts w:ascii="Consolas" w:hAnsi="Consolas" w:eastAsia="Consolas"/>
          <w:sz w:val="18"/>
        </w:rPr>
        <w:t>docker compose --env-file docker/.env.production -f docker/docker-compose.yml up -d --build</w:t>
        <w:br/>
      </w:r>
    </w:p>
    <w:p>
      <w:pPr>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6217920" cy="3886200"/>
                    </a:xfrm>
                    <a:prstGeom prst="rect"/>
                  </pic:spPr>
                </pic:pic>
              </a:graphicData>
            </a:graphic>
          </wp:inline>
        </w:drawing>
      </w:r>
    </w:p>
    <w:p>
      <w:pPr>
        <w:jc w:val="center"/>
      </w:pPr>
      <w:r>
        <w:rPr>
          <w:i/>
          <w:color w:val="64748B"/>
          <w:sz w:val="18"/>
        </w:rPr>
        <w:t>Figure 2 - Production-style Docker deployment configuration.</w:t>
      </w:r>
    </w:p>
    <w:tbl>
      <w:tblPr>
        <w:tblStyle w:val="TableGrid"/>
        <w:tblW w:type="auto" w:w="0"/>
        <w:jc w:val="center"/>
        <w:tblLook w:firstColumn="1" w:firstRow="1" w:lastColumn="0" w:lastRow="0" w:noHBand="0" w:noVBand="1" w:val="04A0"/>
      </w:tblPr>
      <w:tblGrid>
        <w:gridCol w:w="5184"/>
        <w:gridCol w:w="5184"/>
      </w:tblGrid>
      <w:tr>
        <w:tc>
          <w:tcPr>
            <w:tcW w:type="dxa" w:w="3312"/>
            <w:shd w:fill="0F172A"/>
            <w:vAlign w:val="center"/>
          </w:tcPr>
          <w:p>
            <w:r/>
            <w:r>
              <w:rPr>
                <w:b/>
                <w:color w:val="FFFFFF"/>
              </w:rPr>
              <w:t>Endpoint</w:t>
            </w:r>
          </w:p>
        </w:tc>
        <w:tc>
          <w:tcPr>
            <w:tcW w:type="dxa" w:w="6480"/>
            <w:shd w:fill="0F172A"/>
            <w:vAlign w:val="center"/>
          </w:tcPr>
          <w:p>
            <w:r/>
            <w:r>
              <w:rPr>
                <w:b/>
                <w:color w:val="FFFFFF"/>
              </w:rPr>
              <w:t>Purpose</w:t>
            </w:r>
          </w:p>
        </w:tc>
      </w:tr>
      <w:tr>
        <w:tc>
          <w:tcPr>
            <w:tcW w:type="dxa" w:w="3312"/>
            <w:vAlign w:val="top"/>
          </w:tcPr>
          <w:p>
            <w:r/>
            <w:r>
              <w:rPr>
                <w:b w:val="0"/>
              </w:rPr>
              <w:t>http://localhost</w:t>
            </w:r>
          </w:p>
        </w:tc>
        <w:tc>
          <w:tcPr>
            <w:tcW w:type="dxa" w:w="6480"/>
            <w:vAlign w:val="top"/>
          </w:tcPr>
          <w:p>
            <w:r/>
            <w:r>
              <w:rPr>
                <w:b w:val="0"/>
              </w:rPr>
              <w:t>Main app through nginx</w:t>
            </w:r>
          </w:p>
        </w:tc>
      </w:tr>
      <w:tr>
        <w:tc>
          <w:tcPr>
            <w:tcW w:type="dxa" w:w="3312"/>
            <w:vAlign w:val="top"/>
          </w:tcPr>
          <w:p>
            <w:r/>
            <w:r>
              <w:rPr>
                <w:b w:val="0"/>
              </w:rPr>
              <w:t>http://localhost/api</w:t>
            </w:r>
          </w:p>
        </w:tc>
        <w:tc>
          <w:tcPr>
            <w:tcW w:type="dxa" w:w="6480"/>
            <w:vAlign w:val="top"/>
          </w:tcPr>
          <w:p>
            <w:r/>
            <w:r>
              <w:rPr>
                <w:b w:val="0"/>
              </w:rPr>
              <w:t>Backend API through nginx</w:t>
            </w:r>
          </w:p>
        </w:tc>
      </w:tr>
      <w:tr>
        <w:tc>
          <w:tcPr>
            <w:tcW w:type="dxa" w:w="3312"/>
            <w:vAlign w:val="top"/>
          </w:tcPr>
          <w:p>
            <w:r/>
            <w:r>
              <w:rPr>
                <w:b w:val="0"/>
              </w:rPr>
              <w:t>http://localhost/health</w:t>
            </w:r>
          </w:p>
        </w:tc>
        <w:tc>
          <w:tcPr>
            <w:tcW w:type="dxa" w:w="6480"/>
            <w:vAlign w:val="top"/>
          </w:tcPr>
          <w:p>
            <w:r/>
            <w:r>
              <w:rPr>
                <w:b w:val="0"/>
              </w:rPr>
              <w:t>nginx health endpoint</w:t>
            </w:r>
          </w:p>
        </w:tc>
      </w:tr>
    </w:tbl>
    <w:p/>
    <w:p>
      <w:pPr>
        <w:pStyle w:val="Heading1"/>
      </w:pPr>
      <w:r>
        <w:t>3. First login and roles</w:t>
      </w:r>
    </w:p>
    <w:tbl>
      <w:tblPr>
        <w:tblStyle w:val="TableGrid"/>
        <w:tblW w:type="auto" w:w="0"/>
        <w:jc w:val="center"/>
        <w:tblLook w:firstColumn="1" w:firstRow="1" w:lastColumn="0" w:lastRow="0" w:noHBand="0" w:noVBand="1" w:val="04A0"/>
      </w:tblPr>
      <w:tblGrid>
        <w:gridCol w:w="5184"/>
        <w:gridCol w:w="5184"/>
      </w:tblGrid>
      <w:tr>
        <w:tc>
          <w:tcPr>
            <w:tcW w:type="dxa" w:w="2880"/>
            <w:shd w:fill="0F172A"/>
            <w:vAlign w:val="center"/>
          </w:tcPr>
          <w:p>
            <w:r/>
            <w:r>
              <w:rPr>
                <w:b/>
                <w:color w:val="FFFFFF"/>
              </w:rPr>
              <w:t>Default account</w:t>
            </w:r>
          </w:p>
        </w:tc>
        <w:tc>
          <w:tcPr>
            <w:tcW w:type="dxa" w:w="6912"/>
            <w:shd w:fill="0F172A"/>
            <w:vAlign w:val="center"/>
          </w:tcPr>
          <w:p>
            <w:r/>
            <w:r>
              <w:rPr>
                <w:b/>
                <w:color w:val="FFFFFF"/>
              </w:rPr>
              <w:t>Value</w:t>
            </w:r>
          </w:p>
        </w:tc>
      </w:tr>
      <w:tr>
        <w:tc>
          <w:tcPr>
            <w:tcW w:type="dxa" w:w="2880"/>
            <w:vAlign w:val="top"/>
          </w:tcPr>
          <w:p>
            <w:r/>
            <w:r>
              <w:rPr>
                <w:b w:val="0"/>
              </w:rPr>
              <w:t>Email</w:t>
            </w:r>
          </w:p>
        </w:tc>
        <w:tc>
          <w:tcPr>
            <w:tcW w:type="dxa" w:w="6912"/>
            <w:vAlign w:val="top"/>
          </w:tcPr>
          <w:p>
            <w:r/>
            <w:r>
              <w:rPr>
                <w:b w:val="0"/>
              </w:rPr>
              <w:t>admin@example.com</w:t>
            </w:r>
          </w:p>
        </w:tc>
      </w:tr>
      <w:tr>
        <w:tc>
          <w:tcPr>
            <w:tcW w:type="dxa" w:w="2880"/>
            <w:vAlign w:val="top"/>
          </w:tcPr>
          <w:p>
            <w:r/>
            <w:r>
              <w:rPr>
                <w:b w:val="0"/>
              </w:rPr>
              <w:t>Password</w:t>
            </w:r>
          </w:p>
        </w:tc>
        <w:tc>
          <w:tcPr>
            <w:tcW w:type="dxa" w:w="6912"/>
            <w:vAlign w:val="top"/>
          </w:tcPr>
          <w:p>
            <w:r/>
            <w:r>
              <w:rPr>
                <w:b w:val="0"/>
              </w:rPr>
              <w:t>admin123</w:t>
            </w:r>
          </w:p>
        </w:tc>
      </w:tr>
    </w:tbl>
    <w:p/>
    <w:p>
      <w:r>
        <w:t>Change the default password immediately before any real deployment. Create separate users for managers, operators, and viewers instead of sharing the Admin account.</w:t>
      </w:r>
    </w:p>
    <w:tbl>
      <w:tblPr>
        <w:tblStyle w:val="TableGrid"/>
        <w:tblW w:type="auto" w:w="0"/>
        <w:jc w:val="center"/>
        <w:tblLook w:firstColumn="1" w:firstRow="1" w:lastColumn="0" w:lastRow="0" w:noHBand="0" w:noVBand="1" w:val="04A0"/>
      </w:tblPr>
      <w:tblGrid>
        <w:gridCol w:w="5184"/>
        <w:gridCol w:w="5184"/>
      </w:tblGrid>
      <w:tr>
        <w:tc>
          <w:tcPr>
            <w:tcW w:type="dxa" w:w="1872"/>
            <w:shd w:fill="0F172A"/>
            <w:vAlign w:val="center"/>
          </w:tcPr>
          <w:p>
            <w:r/>
            <w:r>
              <w:rPr>
                <w:b/>
                <w:color w:val="FFFFFF"/>
              </w:rPr>
              <w:t>Role</w:t>
            </w:r>
          </w:p>
        </w:tc>
        <w:tc>
          <w:tcPr>
            <w:tcW w:type="dxa" w:w="7920"/>
            <w:shd w:fill="0F172A"/>
            <w:vAlign w:val="center"/>
          </w:tcPr>
          <w:p>
            <w:r/>
            <w:r>
              <w:rPr>
                <w:b/>
                <w:color w:val="FFFFFF"/>
              </w:rPr>
              <w:t>Recommended access</w:t>
            </w:r>
          </w:p>
        </w:tc>
      </w:tr>
      <w:tr>
        <w:tc>
          <w:tcPr>
            <w:tcW w:type="dxa" w:w="1872"/>
            <w:vAlign w:val="top"/>
          </w:tcPr>
          <w:p>
            <w:r/>
            <w:r>
              <w:rPr>
                <w:b w:val="0"/>
              </w:rPr>
              <w:t>Admin</w:t>
            </w:r>
          </w:p>
        </w:tc>
        <w:tc>
          <w:tcPr>
            <w:tcW w:type="dxa" w:w="7920"/>
            <w:vAlign w:val="top"/>
          </w:tcPr>
          <w:p>
            <w:r/>
            <w:r>
              <w:rPr>
                <w:b w:val="0"/>
              </w:rPr>
              <w:t>Full access to users, roles, cameras, persons, settings, events, and audit logs.</w:t>
            </w:r>
          </w:p>
        </w:tc>
      </w:tr>
      <w:tr>
        <w:tc>
          <w:tcPr>
            <w:tcW w:type="dxa" w:w="1872"/>
            <w:vAlign w:val="top"/>
          </w:tcPr>
          <w:p>
            <w:r/>
            <w:r>
              <w:rPr>
                <w:b w:val="0"/>
              </w:rPr>
              <w:t>Manager</w:t>
            </w:r>
          </w:p>
        </w:tc>
        <w:tc>
          <w:tcPr>
            <w:tcW w:type="dxa" w:w="7920"/>
            <w:vAlign w:val="top"/>
          </w:tcPr>
          <w:p>
            <w:r/>
            <w:r>
              <w:rPr>
                <w:b w:val="0"/>
              </w:rPr>
              <w:t>Dashboard, reports, detection history, and staff/customer profile management.</w:t>
            </w:r>
          </w:p>
        </w:tc>
      </w:tr>
      <w:tr>
        <w:tc>
          <w:tcPr>
            <w:tcW w:type="dxa" w:w="1872"/>
            <w:vAlign w:val="top"/>
          </w:tcPr>
          <w:p>
            <w:r/>
            <w:r>
              <w:rPr>
                <w:b w:val="0"/>
              </w:rPr>
              <w:t>Operator</w:t>
            </w:r>
          </w:p>
        </w:tc>
        <w:tc>
          <w:tcPr>
            <w:tcW w:type="dxa" w:w="7920"/>
            <w:vAlign w:val="top"/>
          </w:tcPr>
          <w:p>
            <w:r/>
            <w:r>
              <w:rPr>
                <w:b w:val="0"/>
              </w:rPr>
              <w:t>Live monitoring, camera operation, and limited person registration if allowed by policy.</w:t>
            </w:r>
          </w:p>
        </w:tc>
      </w:tr>
      <w:tr>
        <w:tc>
          <w:tcPr>
            <w:tcW w:type="dxa" w:w="1872"/>
            <w:vAlign w:val="top"/>
          </w:tcPr>
          <w:p>
            <w:r/>
            <w:r>
              <w:rPr>
                <w:b w:val="0"/>
              </w:rPr>
              <w:t>Viewer</w:t>
            </w:r>
          </w:p>
        </w:tc>
        <w:tc>
          <w:tcPr>
            <w:tcW w:type="dxa" w:w="7920"/>
            <w:vAlign w:val="top"/>
          </w:tcPr>
          <w:p>
            <w:r/>
            <w:r>
              <w:rPr>
                <w:b w:val="0"/>
              </w:rPr>
              <w:t>Read-only access to dashboard and reports.</w:t>
            </w:r>
          </w:p>
        </w:tc>
      </w:tr>
    </w:tbl>
    <w:p/>
    <w:p>
      <w:pPr>
        <w:pStyle w:val="Heading1"/>
      </w:pPr>
      <w:r>
        <w:t>4. Camera configuration</w:t>
      </w:r>
    </w:p>
    <w:p>
      <w:r>
        <w:t>Open Camera Management, enter the camera name, branch, location, and RTSP URL, then add the camera. Start the worker only after the stream has been tested.</w:t>
      </w:r>
    </w:p>
    <w:p>
      <w:pPr>
        <w:spacing w:after="80"/>
        <w:shd w:fill="F1F5F9"/>
      </w:pPr>
      <w:r>
        <w:rPr>
          <w:rFonts w:ascii="Consolas" w:hAnsi="Consolas" w:eastAsia="Consolas"/>
          <w:sz w:val="18"/>
        </w:rPr>
        <w:t>rtsp://username:password@camera-ip:554/stream1</w:t>
        <w:br/>
      </w:r>
      <w:r>
        <w:rPr>
          <w:rFonts w:ascii="Consolas" w:hAnsi="Consolas" w:eastAsia="Consolas"/>
          <w:sz w:val="18"/>
        </w:rPr>
        <w:t>rtsp://username:password@camera-ip:554/h264/ch1/main/av_stream</w:t>
        <w:br/>
      </w:r>
    </w:p>
    <w:p>
      <w:pPr>
        <w:pStyle w:val="ListBullet"/>
      </w:pPr>
      <w:r>
        <w:t>Use wired network where possible for entrance cameras.</w:t>
      </w:r>
    </w:p>
    <w:p>
      <w:pPr>
        <w:pStyle w:val="ListBullet"/>
      </w:pPr>
      <w:r>
        <w:t>Place cameras near face height and avoid strong backlight.</w:t>
      </w:r>
    </w:p>
    <w:p>
      <w:pPr>
        <w:pStyle w:val="ListBullet"/>
      </w:pPr>
      <w:r>
        <w:t>Start with 3-5 AI FPS and tune after measuring CPU/GPU usage.</w:t>
      </w:r>
    </w:p>
    <w:p>
      <w:pPr>
        <w:pStyle w:val="ListBullet"/>
      </w:pPr>
      <w:r>
        <w:t>Keep RTSP credentials private and rotate passwords periodically.</w:t>
      </w:r>
    </w:p>
    <w:p>
      <w:pPr>
        <w:jc w:val="center"/>
      </w:pPr>
      <w:r>
        <w:drawing>
          <wp:inline xmlns:a="http://schemas.openxmlformats.org/drawingml/2006/main" xmlns:pic="http://schemas.openxmlformats.org/drawingml/2006/picture">
            <wp:extent cx="6217920" cy="4318000"/>
            <wp:docPr id="3" name="Picture 3"/>
            <wp:cNvGraphicFramePr>
              <a:graphicFrameLocks noChangeAspect="1"/>
            </wp:cNvGraphicFramePr>
            <a:graphic>
              <a:graphicData uri="http://schemas.openxmlformats.org/drawingml/2006/picture">
                <pic:pic>
                  <pic:nvPicPr>
                    <pic:cNvPr id="0" name="camera-management.png"/>
                    <pic:cNvPicPr/>
                  </pic:nvPicPr>
                  <pic:blipFill>
                    <a:blip r:embed="rId11"/>
                    <a:stretch>
                      <a:fillRect/>
                    </a:stretch>
                  </pic:blipFill>
                  <pic:spPr>
                    <a:xfrm>
                      <a:off x="0" y="0"/>
                      <a:ext cx="6217920" cy="4318000"/>
                    </a:xfrm>
                    <a:prstGeom prst="rect"/>
                  </pic:spPr>
                </pic:pic>
              </a:graphicData>
            </a:graphic>
          </wp:inline>
        </w:drawing>
      </w:r>
    </w:p>
    <w:p>
      <w:pPr>
        <w:jc w:val="center"/>
      </w:pPr>
      <w:r>
        <w:rPr>
          <w:i/>
          <w:color w:val="64748B"/>
          <w:sz w:val="18"/>
        </w:rPr>
        <w:t>Figure 3 - Camera Management page for RTSP camera setup and worker start/stop actions.</w:t>
      </w:r>
    </w:p>
    <w:p>
      <w:pPr>
        <w:pStyle w:val="Heading1"/>
      </w:pPr>
      <w:r>
        <w:t>5. Staff/customer registration and face enrollment</w:t>
      </w:r>
    </w:p>
    <w:p>
      <w:r>
        <w:t>Register each person only after consent is confirmed. Add staff ID, customer ID, branch, gender, department/position, and profile details as applicable. Upload multiple clear images so the AI service can create reliable embeddings.</w:t>
      </w:r>
    </w:p>
    <w:p>
      <w:pPr>
        <w:pStyle w:val="ListNumber"/>
      </w:pPr>
      <w:r>
        <w:t>Open Staff/Customer Database.</w:t>
      </w:r>
    </w:p>
    <w:p>
      <w:pPr>
        <w:pStyle w:val="ListNumber"/>
      </w:pPr>
      <w:r>
        <w:t>Click Add Person and select Staff or Customer.</w:t>
      </w:r>
    </w:p>
    <w:p>
      <w:pPr>
        <w:pStyle w:val="ListNumber"/>
      </w:pPr>
      <w:r>
        <w:t>Enter full name, gender, branch, and optional staff/customer details.</w:t>
      </w:r>
    </w:p>
    <w:p>
      <w:pPr>
        <w:pStyle w:val="ListNumber"/>
      </w:pPr>
      <w:r>
        <w:t>Confirm consent for biometric registration.</w:t>
      </w:r>
    </w:p>
    <w:p>
      <w:pPr>
        <w:pStyle w:val="ListNumber"/>
      </w:pPr>
      <w:r>
        <w:t>Open the profile and upload 3-5 clear face images.</w:t>
      </w:r>
    </w:p>
    <w:p>
      <w:pPr>
        <w:pStyle w:val="ListNumber"/>
      </w:pPr>
      <w:r>
        <w:t>Confirm that embeddings are generated successfully.</w:t>
      </w:r>
    </w:p>
    <w:p>
      <w:pPr>
        <w:jc w:val="center"/>
      </w:pPr>
      <w:r>
        <w:drawing>
          <wp:inline xmlns:a="http://schemas.openxmlformats.org/drawingml/2006/main" xmlns:pic="http://schemas.openxmlformats.org/drawingml/2006/picture">
            <wp:extent cx="6217920" cy="4318000"/>
            <wp:docPr id="4" name="Picture 4"/>
            <wp:cNvGraphicFramePr>
              <a:graphicFrameLocks noChangeAspect="1"/>
            </wp:cNvGraphicFramePr>
            <a:graphic>
              <a:graphicData uri="http://schemas.openxmlformats.org/drawingml/2006/picture">
                <pic:pic>
                  <pic:nvPicPr>
                    <pic:cNvPr id="0" name="staff-customer-database.png"/>
                    <pic:cNvPicPr/>
                  </pic:nvPicPr>
                  <pic:blipFill>
                    <a:blip r:embed="rId12"/>
                    <a:stretch>
                      <a:fillRect/>
                    </a:stretch>
                  </pic:blipFill>
                  <pic:spPr>
                    <a:xfrm>
                      <a:off x="0" y="0"/>
                      <a:ext cx="6217920" cy="4318000"/>
                    </a:xfrm>
                    <a:prstGeom prst="rect"/>
                  </pic:spPr>
                </pic:pic>
              </a:graphicData>
            </a:graphic>
          </wp:inline>
        </w:drawing>
      </w:r>
    </w:p>
    <w:p>
      <w:pPr>
        <w:jc w:val="center"/>
      </w:pPr>
      <w:r>
        <w:rPr>
          <w:i/>
          <w:color w:val="64748B"/>
          <w:sz w:val="18"/>
        </w:rPr>
        <w:t>Figure 4 - Staff/customer database and profile image upload workflow.</w:t>
      </w:r>
    </w:p>
    <w:p>
      <w:pPr>
        <w:pStyle w:val="Heading1"/>
      </w:pPr>
      <w:r>
        <w:t>6. Live monitoring</w:t>
      </w:r>
    </w:p>
    <w:p>
      <w:r>
        <w:t>Use the Live Monitoring page to confirm camera frames, face boxes, recognition labels, and greeting outputs. Known staff/customers are greeted by name. Unknown people use sir/madam/neutral greeting based on gender confidence.</w:t>
      </w:r>
    </w:p>
    <w:p>
      <w:pPr>
        <w:jc w:val="center"/>
      </w:pPr>
      <w:r>
        <w:drawing>
          <wp:inline xmlns:a="http://schemas.openxmlformats.org/drawingml/2006/main" xmlns:pic="http://schemas.openxmlformats.org/drawingml/2006/picture">
            <wp:extent cx="6217920" cy="4318000"/>
            <wp:docPr id="5" name="Picture 5"/>
            <wp:cNvGraphicFramePr>
              <a:graphicFrameLocks noChangeAspect="1"/>
            </wp:cNvGraphicFramePr>
            <a:graphic>
              <a:graphicData uri="http://schemas.openxmlformats.org/drawingml/2006/picture">
                <pic:pic>
                  <pic:nvPicPr>
                    <pic:cNvPr id="0" name="live-monitoring.png"/>
                    <pic:cNvPicPr/>
                  </pic:nvPicPr>
                  <pic:blipFill>
                    <a:blip r:embed="rId13"/>
                    <a:stretch>
                      <a:fillRect/>
                    </a:stretch>
                  </pic:blipFill>
                  <pic:spPr>
                    <a:xfrm>
                      <a:off x="0" y="0"/>
                      <a:ext cx="6217920" cy="4318000"/>
                    </a:xfrm>
                    <a:prstGeom prst="rect"/>
                  </pic:spPr>
                </pic:pic>
              </a:graphicData>
            </a:graphic>
          </wp:inline>
        </w:drawing>
      </w:r>
    </w:p>
    <w:p>
      <w:pPr>
        <w:jc w:val="center"/>
      </w:pPr>
      <w:r>
        <w:rPr>
          <w:i/>
          <w:color w:val="64748B"/>
          <w:sz w:val="18"/>
        </w:rPr>
        <w:t>Figure 5 - Live monitoring with face box, recognition confidence, and greeting output.</w:t>
      </w:r>
    </w:p>
    <w:p>
      <w:pPr>
        <w:pStyle w:val="ListBullet"/>
      </w:pPr>
      <w:r>
        <w:t>Known person greeting example: Good morning, Dara Sok.</w:t>
      </w:r>
    </w:p>
    <w:p>
      <w:pPr>
        <w:pStyle w:val="ListBullet"/>
      </w:pPr>
      <w:r>
        <w:t>Unknown male estimate: Hello sir.</w:t>
      </w:r>
    </w:p>
    <w:p>
      <w:pPr>
        <w:pStyle w:val="ListBullet"/>
      </w:pPr>
      <w:r>
        <w:t>Unknown female estimate: Hello madam.</w:t>
      </w:r>
    </w:p>
    <w:p>
      <w:pPr>
        <w:pStyle w:val="ListBullet"/>
      </w:pPr>
      <w:r>
        <w:t>Low gender confidence: Hello, welcome.</w:t>
      </w:r>
    </w:p>
    <w:p>
      <w:pPr>
        <w:pStyle w:val="ListBullet"/>
      </w:pPr>
      <w:r>
        <w:t>The cooldown setting prevents repeated greeting for the same person within the configured window.</w:t>
      </w:r>
    </w:p>
    <w:p>
      <w:pPr>
        <w:pStyle w:val="Heading1"/>
      </w:pPr>
      <w:r>
        <w:t>7. Detection history and reports</w:t>
      </w:r>
    </w:p>
    <w:p>
      <w:r>
        <w:t>Every detection event stores the timestamp, camera, snapshot, person decision, person type, confidence score, gender estimate for unknown visitors, and greeting message. Use this page for operational review and report export.</w:t>
      </w:r>
    </w:p>
    <w:p>
      <w:pPr>
        <w:jc w:val="center"/>
      </w:pPr>
      <w:r>
        <w:drawing>
          <wp:inline xmlns:a="http://schemas.openxmlformats.org/drawingml/2006/main" xmlns:pic="http://schemas.openxmlformats.org/drawingml/2006/picture">
            <wp:extent cx="6217920" cy="4318000"/>
            <wp:docPr id="6" name="Picture 6"/>
            <wp:cNvGraphicFramePr>
              <a:graphicFrameLocks noChangeAspect="1"/>
            </wp:cNvGraphicFramePr>
            <a:graphic>
              <a:graphicData uri="http://schemas.openxmlformats.org/drawingml/2006/picture">
                <pic:pic>
                  <pic:nvPicPr>
                    <pic:cNvPr id="0" name="detection-history.png"/>
                    <pic:cNvPicPr/>
                  </pic:nvPicPr>
                  <pic:blipFill>
                    <a:blip r:embed="rId14"/>
                    <a:stretch>
                      <a:fillRect/>
                    </a:stretch>
                  </pic:blipFill>
                  <pic:spPr>
                    <a:xfrm>
                      <a:off x="0" y="0"/>
                      <a:ext cx="6217920" cy="4318000"/>
                    </a:xfrm>
                    <a:prstGeom prst="rect"/>
                  </pic:spPr>
                </pic:pic>
              </a:graphicData>
            </a:graphic>
          </wp:inline>
        </w:drawing>
      </w:r>
    </w:p>
    <w:p>
      <w:pPr>
        <w:jc w:val="center"/>
      </w:pPr>
      <w:r>
        <w:rPr>
          <w:i/>
          <w:color w:val="64748B"/>
          <w:sz w:val="18"/>
        </w:rPr>
        <w:t>Figure 6 - Detection History page with snapshots, greeting, type, and confidence.</w:t>
      </w:r>
    </w:p>
    <w:p>
      <w:pPr>
        <w:pStyle w:val="Heading1"/>
      </w:pPr>
      <w:r>
        <w:t>8. AI settings and greeting templates</w:t>
      </w:r>
    </w:p>
    <w:p>
      <w:r>
        <w:t>Settings control recognition behavior and greeting output. Tune carefully using real branch camera footage and enrollment photos before production use.</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0F172A"/>
            <w:vAlign w:val="center"/>
          </w:tcPr>
          <w:p>
            <w:r/>
            <w:r>
              <w:rPr>
                <w:b/>
                <w:color w:val="FFFFFF"/>
              </w:rPr>
              <w:t>Setting</w:t>
            </w:r>
          </w:p>
        </w:tc>
        <w:tc>
          <w:tcPr>
            <w:tcW w:type="dxa" w:w="5472"/>
            <w:shd w:fill="0F172A"/>
            <w:vAlign w:val="center"/>
          </w:tcPr>
          <w:p>
            <w:r/>
            <w:r>
              <w:rPr>
                <w:b/>
                <w:color w:val="FFFFFF"/>
              </w:rPr>
              <w:t>Purpose</w:t>
            </w:r>
          </w:p>
        </w:tc>
        <w:tc>
          <w:tcPr>
            <w:tcW w:type="dxa" w:w="1728"/>
            <w:shd w:fill="0F172A"/>
            <w:vAlign w:val="center"/>
          </w:tcPr>
          <w:p>
            <w:r/>
            <w:r>
              <w:rPr>
                <w:b/>
                <w:color w:val="FFFFFF"/>
              </w:rPr>
              <w:t>Typical value</w:t>
            </w:r>
          </w:p>
        </w:tc>
      </w:tr>
      <w:tr>
        <w:tc>
          <w:tcPr>
            <w:tcW w:type="dxa" w:w="3024"/>
            <w:vAlign w:val="top"/>
          </w:tcPr>
          <w:p>
            <w:r/>
            <w:r>
              <w:rPr>
                <w:b w:val="0"/>
              </w:rPr>
              <w:t>recognition_threshold</w:t>
            </w:r>
          </w:p>
        </w:tc>
        <w:tc>
          <w:tcPr>
            <w:tcW w:type="dxa" w:w="5472"/>
            <w:vAlign w:val="top"/>
          </w:tcPr>
          <w:p>
            <w:r/>
            <w:r>
              <w:rPr>
                <w:b w:val="0"/>
              </w:rPr>
              <w:t>Minimum vector similarity for a known face match.</w:t>
            </w:r>
          </w:p>
        </w:tc>
        <w:tc>
          <w:tcPr>
            <w:tcW w:type="dxa" w:w="1728"/>
            <w:vAlign w:val="top"/>
          </w:tcPr>
          <w:p>
            <w:r/>
            <w:r>
              <w:rPr>
                <w:b w:val="0"/>
              </w:rPr>
              <w:t>0.60-0.70</w:t>
            </w:r>
          </w:p>
        </w:tc>
      </w:tr>
      <w:tr>
        <w:tc>
          <w:tcPr>
            <w:tcW w:type="dxa" w:w="3024"/>
            <w:vAlign w:val="top"/>
          </w:tcPr>
          <w:p>
            <w:r/>
            <w:r>
              <w:rPr>
                <w:b w:val="0"/>
              </w:rPr>
              <w:t>greeting_cooldown_seconds</w:t>
            </w:r>
          </w:p>
        </w:tc>
        <w:tc>
          <w:tcPr>
            <w:tcW w:type="dxa" w:w="5472"/>
            <w:vAlign w:val="top"/>
          </w:tcPr>
          <w:p>
            <w:r/>
            <w:r>
              <w:rPr>
                <w:b w:val="0"/>
              </w:rPr>
              <w:t>Prevents duplicate greeting for the same person.</w:t>
            </w:r>
          </w:p>
        </w:tc>
        <w:tc>
          <w:tcPr>
            <w:tcW w:type="dxa" w:w="1728"/>
            <w:vAlign w:val="top"/>
          </w:tcPr>
          <w:p>
            <w:r/>
            <w:r>
              <w:rPr>
                <w:b w:val="0"/>
              </w:rPr>
              <w:t>300</w:t>
            </w:r>
          </w:p>
        </w:tc>
      </w:tr>
      <w:tr>
        <w:tc>
          <w:tcPr>
            <w:tcW w:type="dxa" w:w="3024"/>
            <w:vAlign w:val="top"/>
          </w:tcPr>
          <w:p>
            <w:r/>
            <w:r>
              <w:rPr>
                <w:b w:val="0"/>
              </w:rPr>
              <w:t>gender_min_confidence</w:t>
            </w:r>
          </w:p>
        </w:tc>
        <w:tc>
          <w:tcPr>
            <w:tcW w:type="dxa" w:w="5472"/>
            <w:vAlign w:val="top"/>
          </w:tcPr>
          <w:p>
            <w:r/>
            <w:r>
              <w:rPr>
                <w:b w:val="0"/>
              </w:rPr>
              <w:t>Uses neutral greeting when gender estimate is below this value.</w:t>
            </w:r>
          </w:p>
        </w:tc>
        <w:tc>
          <w:tcPr>
            <w:tcW w:type="dxa" w:w="1728"/>
            <w:vAlign w:val="top"/>
          </w:tcPr>
          <w:p>
            <w:r/>
            <w:r>
              <w:rPr>
                <w:b w:val="0"/>
              </w:rPr>
              <w:t>0.75</w:t>
            </w:r>
          </w:p>
        </w:tc>
      </w:tr>
      <w:tr>
        <w:tc>
          <w:tcPr>
            <w:tcW w:type="dxa" w:w="3024"/>
            <w:vAlign w:val="top"/>
          </w:tcPr>
          <w:p>
            <w:r/>
            <w:r>
              <w:rPr>
                <w:b w:val="0"/>
              </w:rPr>
              <w:t>process_fps</w:t>
            </w:r>
          </w:p>
        </w:tc>
        <w:tc>
          <w:tcPr>
            <w:tcW w:type="dxa" w:w="5472"/>
            <w:vAlign w:val="top"/>
          </w:tcPr>
          <w:p>
            <w:r/>
            <w:r>
              <w:rPr>
                <w:b w:val="0"/>
              </w:rPr>
              <w:t>Frames per second processed by the AI worker.</w:t>
            </w:r>
          </w:p>
        </w:tc>
        <w:tc>
          <w:tcPr>
            <w:tcW w:type="dxa" w:w="1728"/>
            <w:vAlign w:val="top"/>
          </w:tcPr>
          <w:p>
            <w:r/>
            <w:r>
              <w:rPr>
                <w:b w:val="0"/>
              </w:rPr>
              <w:t>3-8</w:t>
            </w:r>
          </w:p>
        </w:tc>
      </w:tr>
      <w:tr>
        <w:tc>
          <w:tcPr>
            <w:tcW w:type="dxa" w:w="3024"/>
            <w:vAlign w:val="top"/>
          </w:tcPr>
          <w:p>
            <w:r/>
            <w:r>
              <w:rPr>
                <w:b w:val="0"/>
              </w:rPr>
              <w:t>AI_PROVIDER</w:t>
            </w:r>
          </w:p>
        </w:tc>
        <w:tc>
          <w:tcPr>
            <w:tcW w:type="dxa" w:w="5472"/>
            <w:vAlign w:val="top"/>
          </w:tcPr>
          <w:p>
            <w:r/>
            <w:r>
              <w:rPr>
                <w:b w:val="0"/>
              </w:rPr>
              <w:t>opencv_mock for development or insightface for production.</w:t>
            </w:r>
          </w:p>
        </w:tc>
        <w:tc>
          <w:tcPr>
            <w:tcW w:type="dxa" w:w="1728"/>
            <w:vAlign w:val="top"/>
          </w:tcPr>
          <w:p>
            <w:r/>
            <w:r>
              <w:rPr>
                <w:b w:val="0"/>
              </w:rPr>
              <w:t>opencv_mock / insightface</w:t>
            </w:r>
          </w:p>
        </w:tc>
      </w:tr>
    </w:tbl>
    <w:p/>
    <w:p>
      <w:pPr>
        <w:jc w:val="center"/>
      </w:pPr>
      <w:r>
        <w:drawing>
          <wp:inline xmlns:a="http://schemas.openxmlformats.org/drawingml/2006/main" xmlns:pic="http://schemas.openxmlformats.org/drawingml/2006/picture">
            <wp:extent cx="6217920" cy="4318000"/>
            <wp:docPr id="7" name="Picture 7"/>
            <wp:cNvGraphicFramePr>
              <a:graphicFrameLocks noChangeAspect="1"/>
            </wp:cNvGraphicFramePr>
            <a:graphic>
              <a:graphicData uri="http://schemas.openxmlformats.org/drawingml/2006/picture">
                <pic:pic>
                  <pic:nvPicPr>
                    <pic:cNvPr id="0" name="settings.png"/>
                    <pic:cNvPicPr/>
                  </pic:nvPicPr>
                  <pic:blipFill>
                    <a:blip r:embed="rId15"/>
                    <a:stretch>
                      <a:fillRect/>
                    </a:stretch>
                  </pic:blipFill>
                  <pic:spPr>
                    <a:xfrm>
                      <a:off x="0" y="0"/>
                      <a:ext cx="6217920" cy="4318000"/>
                    </a:xfrm>
                    <a:prstGeom prst="rect"/>
                  </pic:spPr>
                </pic:pic>
              </a:graphicData>
            </a:graphic>
          </wp:inline>
        </w:drawing>
      </w:r>
    </w:p>
    <w:p>
      <w:pPr>
        <w:jc w:val="center"/>
      </w:pPr>
      <w:r>
        <w:rPr>
          <w:i/>
          <w:color w:val="64748B"/>
          <w:sz w:val="18"/>
        </w:rPr>
        <w:t>Figure 7 - AI settings and greeting template configuration.</w:t>
      </w:r>
    </w:p>
    <w:p>
      <w:pPr>
        <w:pStyle w:val="Heading1"/>
      </w:pPr>
      <w:r>
        <w:t>9. Environment variables</w:t>
      </w:r>
    </w:p>
    <w:tbl>
      <w:tblPr>
        <w:tblStyle w:val="TableGrid"/>
        <w:tblW w:type="auto" w:w="0"/>
        <w:jc w:val="center"/>
        <w:tblLook w:firstColumn="1" w:firstRow="1" w:lastColumn="0" w:lastRow="0" w:noHBand="0" w:noVBand="1" w:val="04A0"/>
      </w:tblPr>
      <w:tblGrid>
        <w:gridCol w:w="5184"/>
        <w:gridCol w:w="5184"/>
      </w:tblGrid>
      <w:tr>
        <w:tc>
          <w:tcPr>
            <w:tcW w:type="dxa" w:w="3312"/>
            <w:shd w:fill="0F172A"/>
            <w:vAlign w:val="center"/>
          </w:tcPr>
          <w:p>
            <w:r/>
            <w:r>
              <w:rPr>
                <w:b/>
                <w:color w:val="FFFFFF"/>
              </w:rPr>
              <w:t>Variable</w:t>
            </w:r>
          </w:p>
        </w:tc>
        <w:tc>
          <w:tcPr>
            <w:tcW w:type="dxa" w:w="6480"/>
            <w:shd w:fill="0F172A"/>
            <w:vAlign w:val="center"/>
          </w:tcPr>
          <w:p>
            <w:r/>
            <w:r>
              <w:rPr>
                <w:b/>
                <w:color w:val="FFFFFF"/>
              </w:rPr>
              <w:t>Description</w:t>
            </w:r>
          </w:p>
        </w:tc>
      </w:tr>
      <w:tr>
        <w:tc>
          <w:tcPr>
            <w:tcW w:type="dxa" w:w="3312"/>
            <w:vAlign w:val="top"/>
          </w:tcPr>
          <w:p>
            <w:r/>
            <w:r>
              <w:rPr>
                <w:b w:val="0"/>
              </w:rPr>
              <w:t>DATABASE_URL</w:t>
            </w:r>
          </w:p>
        </w:tc>
        <w:tc>
          <w:tcPr>
            <w:tcW w:type="dxa" w:w="6480"/>
            <w:vAlign w:val="top"/>
          </w:tcPr>
          <w:p>
            <w:r/>
            <w:r>
              <w:rPr>
                <w:b w:val="0"/>
              </w:rPr>
              <w:t>PostgreSQL connection string used by the backend.</w:t>
            </w:r>
          </w:p>
        </w:tc>
      </w:tr>
      <w:tr>
        <w:tc>
          <w:tcPr>
            <w:tcW w:type="dxa" w:w="3312"/>
            <w:vAlign w:val="top"/>
          </w:tcPr>
          <w:p>
            <w:r/>
            <w:r>
              <w:rPr>
                <w:b w:val="0"/>
              </w:rPr>
              <w:t>POSTGRES_USER / POSTGRES_PASSWORD / POSTGRES_DB</w:t>
            </w:r>
          </w:p>
        </w:tc>
        <w:tc>
          <w:tcPr>
            <w:tcW w:type="dxa" w:w="6480"/>
            <w:vAlign w:val="top"/>
          </w:tcPr>
          <w:p>
            <w:r/>
            <w:r>
              <w:rPr>
                <w:b w:val="0"/>
              </w:rPr>
              <w:t>Database account and database name for Compose deployment.</w:t>
            </w:r>
          </w:p>
        </w:tc>
      </w:tr>
      <w:tr>
        <w:tc>
          <w:tcPr>
            <w:tcW w:type="dxa" w:w="3312"/>
            <w:vAlign w:val="top"/>
          </w:tcPr>
          <w:p>
            <w:r/>
            <w:r>
              <w:rPr>
                <w:b w:val="0"/>
              </w:rPr>
              <w:t>JWT_SECRET</w:t>
            </w:r>
          </w:p>
        </w:tc>
        <w:tc>
          <w:tcPr>
            <w:tcW w:type="dxa" w:w="6480"/>
            <w:vAlign w:val="top"/>
          </w:tcPr>
          <w:p>
            <w:r/>
            <w:r>
              <w:rPr>
                <w:b w:val="0"/>
              </w:rPr>
              <w:t>Secret used to sign application login tokens. Replace in production.</w:t>
            </w:r>
          </w:p>
        </w:tc>
      </w:tr>
      <w:tr>
        <w:tc>
          <w:tcPr>
            <w:tcW w:type="dxa" w:w="3312"/>
            <w:vAlign w:val="top"/>
          </w:tcPr>
          <w:p>
            <w:r/>
            <w:r>
              <w:rPr>
                <w:b w:val="0"/>
              </w:rPr>
              <w:t>INTERNAL_API_KEY</w:t>
            </w:r>
          </w:p>
        </w:tc>
        <w:tc>
          <w:tcPr>
            <w:tcW w:type="dxa" w:w="6480"/>
            <w:vAlign w:val="top"/>
          </w:tcPr>
          <w:p>
            <w:r/>
            <w:r>
              <w:rPr>
                <w:b w:val="0"/>
              </w:rPr>
              <w:t>Shared secret for backend and AI service internal calls. Replace in production.</w:t>
            </w:r>
          </w:p>
        </w:tc>
      </w:tr>
      <w:tr>
        <w:tc>
          <w:tcPr>
            <w:tcW w:type="dxa" w:w="3312"/>
            <w:vAlign w:val="top"/>
          </w:tcPr>
          <w:p>
            <w:r/>
            <w:r>
              <w:rPr>
                <w:b w:val="0"/>
              </w:rPr>
              <w:t>AI_SERVICE_URL</w:t>
            </w:r>
          </w:p>
        </w:tc>
        <w:tc>
          <w:tcPr>
            <w:tcW w:type="dxa" w:w="6480"/>
            <w:vAlign w:val="top"/>
          </w:tcPr>
          <w:p>
            <w:r/>
            <w:r>
              <w:rPr>
                <w:b w:val="0"/>
              </w:rPr>
              <w:t>Backend URL for calling the AI inference service.</w:t>
            </w:r>
          </w:p>
        </w:tc>
      </w:tr>
      <w:tr>
        <w:tc>
          <w:tcPr>
            <w:tcW w:type="dxa" w:w="3312"/>
            <w:vAlign w:val="top"/>
          </w:tcPr>
          <w:p>
            <w:r/>
            <w:r>
              <w:rPr>
                <w:b w:val="0"/>
              </w:rPr>
              <w:t>BACKEND_URL</w:t>
            </w:r>
          </w:p>
        </w:tc>
        <w:tc>
          <w:tcPr>
            <w:tcW w:type="dxa" w:w="6480"/>
            <w:vAlign w:val="top"/>
          </w:tcPr>
          <w:p>
            <w:r/>
            <w:r>
              <w:rPr>
                <w:b w:val="0"/>
              </w:rPr>
              <w:t>AI service URL for calling backend internal recognition/event APIs.</w:t>
            </w:r>
          </w:p>
        </w:tc>
      </w:tr>
      <w:tr>
        <w:tc>
          <w:tcPr>
            <w:tcW w:type="dxa" w:w="3312"/>
            <w:vAlign w:val="top"/>
          </w:tcPr>
          <w:p>
            <w:r/>
            <w:r>
              <w:rPr>
                <w:b w:val="0"/>
              </w:rPr>
              <w:t>AI_PROVIDER</w:t>
            </w:r>
          </w:p>
        </w:tc>
        <w:tc>
          <w:tcPr>
            <w:tcW w:type="dxa" w:w="6480"/>
            <w:vAlign w:val="top"/>
          </w:tcPr>
          <w:p>
            <w:r/>
            <w:r>
              <w:rPr>
                <w:b w:val="0"/>
              </w:rPr>
              <w:t>opencv_mock for lightweight development or insightface for production recognition.</w:t>
            </w:r>
          </w:p>
        </w:tc>
      </w:tr>
      <w:tr>
        <w:tc>
          <w:tcPr>
            <w:tcW w:type="dxa" w:w="3312"/>
            <w:vAlign w:val="top"/>
          </w:tcPr>
          <w:p>
            <w:r/>
            <w:r>
              <w:rPr>
                <w:b w:val="0"/>
              </w:rPr>
              <w:t>RECOGNITION_THRESHOLD</w:t>
            </w:r>
          </w:p>
        </w:tc>
        <w:tc>
          <w:tcPr>
            <w:tcW w:type="dxa" w:w="6480"/>
            <w:vAlign w:val="top"/>
          </w:tcPr>
          <w:p>
            <w:r/>
            <w:r>
              <w:rPr>
                <w:b w:val="0"/>
              </w:rPr>
              <w:t>Default threshold for face vector similarity match.</w:t>
            </w:r>
          </w:p>
        </w:tc>
      </w:tr>
      <w:tr>
        <w:tc>
          <w:tcPr>
            <w:tcW w:type="dxa" w:w="3312"/>
            <w:vAlign w:val="top"/>
          </w:tcPr>
          <w:p>
            <w:r/>
            <w:r>
              <w:rPr>
                <w:b w:val="0"/>
              </w:rPr>
              <w:t>GREETING_COOLDOWN_SECONDS</w:t>
            </w:r>
          </w:p>
        </w:tc>
        <w:tc>
          <w:tcPr>
            <w:tcW w:type="dxa" w:w="6480"/>
            <w:vAlign w:val="top"/>
          </w:tcPr>
          <w:p>
            <w:r/>
            <w:r>
              <w:rPr>
                <w:b w:val="0"/>
              </w:rPr>
              <w:t>Default greeting repeat cooldown.</w:t>
            </w:r>
          </w:p>
        </w:tc>
      </w:tr>
      <w:tr>
        <w:tc>
          <w:tcPr>
            <w:tcW w:type="dxa" w:w="3312"/>
            <w:vAlign w:val="top"/>
          </w:tcPr>
          <w:p>
            <w:r/>
            <w:r>
              <w:rPr>
                <w:b w:val="0"/>
              </w:rPr>
              <w:t>GENDER_MIN_CONFIDENCE</w:t>
            </w:r>
          </w:p>
        </w:tc>
        <w:tc>
          <w:tcPr>
            <w:tcW w:type="dxa" w:w="6480"/>
            <w:vAlign w:val="top"/>
          </w:tcPr>
          <w:p>
            <w:r/>
            <w:r>
              <w:rPr>
                <w:b w:val="0"/>
              </w:rPr>
              <w:t>Minimum gender confidence for sir/madam greeting.</w:t>
            </w:r>
          </w:p>
        </w:tc>
      </w:tr>
      <w:tr>
        <w:tc>
          <w:tcPr>
            <w:tcW w:type="dxa" w:w="3312"/>
            <w:vAlign w:val="top"/>
          </w:tcPr>
          <w:p>
            <w:r/>
            <w:r>
              <w:rPr>
                <w:b w:val="0"/>
              </w:rPr>
              <w:t>STORAGE_DIR</w:t>
            </w:r>
          </w:p>
        </w:tc>
        <w:tc>
          <w:tcPr>
            <w:tcW w:type="dxa" w:w="6480"/>
            <w:vAlign w:val="top"/>
          </w:tcPr>
          <w:p>
            <w:r/>
            <w:r>
              <w:rPr>
                <w:b w:val="0"/>
              </w:rPr>
              <w:t>Shared storage path for face images and snapshots.</w:t>
            </w:r>
          </w:p>
        </w:tc>
      </w:tr>
    </w:tbl>
    <w:p/>
    <w:p>
      <w:pPr>
        <w:pStyle w:val="Heading1"/>
      </w:pPr>
      <w:r>
        <w:t>10. Privacy and security checklist</w:t>
      </w:r>
    </w:p>
    <w:p>
      <w:pPr>
        <w:pStyle w:val="ListBullet"/>
      </w:pPr>
      <w:r>
        <w:t>Collect and record consent before registering face data.</w:t>
      </w:r>
    </w:p>
    <w:p>
      <w:pPr>
        <w:pStyle w:val="ListBullet"/>
      </w:pPr>
      <w:r>
        <w:t>Post signage that AI CCTV detection is active.</w:t>
      </w:r>
    </w:p>
    <w:p>
      <w:pPr>
        <w:pStyle w:val="ListBullet"/>
      </w:pPr>
      <w:r>
        <w:t>Use HTTPS in production.</w:t>
      </w:r>
    </w:p>
    <w:p>
      <w:pPr>
        <w:pStyle w:val="ListBullet"/>
      </w:pPr>
      <w:r>
        <w:t>Replace all default secrets and passwords.</w:t>
      </w:r>
    </w:p>
    <w:p>
      <w:pPr>
        <w:pStyle w:val="ListBullet"/>
      </w:pPr>
      <w:r>
        <w:t>Restrict access by role and review user permissions regularly.</w:t>
      </w:r>
    </w:p>
    <w:p>
      <w:pPr>
        <w:pStyle w:val="ListBullet"/>
      </w:pPr>
      <w:r>
        <w:t>Protect storage paths and avoid public image URLs.</w:t>
      </w:r>
    </w:p>
    <w:p>
      <w:pPr>
        <w:pStyle w:val="ListBullet"/>
      </w:pPr>
      <w:r>
        <w:t>Define retention policy for event snapshots and logs.</w:t>
      </w:r>
    </w:p>
    <w:p>
      <w:pPr>
        <w:pStyle w:val="ListBullet"/>
      </w:pPr>
      <w:r>
        <w:t>Delete face images and embeddings when required by policy or user request.</w:t>
      </w:r>
    </w:p>
    <w:p>
      <w:pPr>
        <w:pStyle w:val="ListBullet"/>
      </w:pPr>
      <w:r>
        <w:t>Review local law and compliance requirements before production use.</w:t>
      </w:r>
    </w:p>
    <w:p>
      <w:pPr>
        <w:pStyle w:val="Heading1"/>
      </w:pPr>
      <w:r>
        <w:t>11. Backup and restore</w:t>
      </w:r>
    </w:p>
    <w:p>
      <w:r>
        <w:t>Use the included deployment scripts for PostgreSQL backup and restore.</w:t>
      </w:r>
    </w:p>
    <w:p>
      <w:pPr>
        <w:spacing w:after="80"/>
        <w:shd w:fill="F1F5F9"/>
      </w:pPr>
      <w:r>
        <w:rPr>
          <w:rFonts w:ascii="Consolas" w:hAnsi="Consolas" w:eastAsia="Consolas"/>
          <w:sz w:val="18"/>
        </w:rPr>
        <w:t># Backup</w:t>
        <w:br/>
      </w:r>
      <w:r>
        <w:rPr>
          <w:rFonts w:ascii="Consolas" w:hAnsi="Consolas" w:eastAsia="Consolas"/>
          <w:sz w:val="18"/>
        </w:rPr>
        <w:t>bash docker/scripts/backup-postgres.sh</w:t>
        <w:br/>
      </w:r>
      <w:r>
        <w:rPr>
          <w:rFonts w:ascii="Consolas" w:hAnsi="Consolas" w:eastAsia="Consolas"/>
          <w:sz w:val="18"/>
        </w:rPr>
        <w:br/>
      </w:r>
      <w:r>
        <w:rPr>
          <w:rFonts w:ascii="Consolas" w:hAnsi="Consolas" w:eastAsia="Consolas"/>
          <w:sz w:val="18"/>
        </w:rPr>
        <w:t># Restore</w:t>
        <w:br/>
      </w:r>
      <w:r>
        <w:rPr>
          <w:rFonts w:ascii="Consolas" w:hAnsi="Consolas" w:eastAsia="Consolas"/>
          <w:sz w:val="18"/>
        </w:rPr>
        <w:t>bash docker/scripts/restore-postgres.sh backups/your-backup.sql</w:t>
        <w:br/>
      </w:r>
    </w:p>
    <w:p>
      <w:pPr>
        <w:pStyle w:val="Heading1"/>
      </w:pPr>
      <w:r>
        <w:t>12. Troubleshooting</w:t>
      </w:r>
    </w:p>
    <w:tbl>
      <w:tblPr>
        <w:tblStyle w:val="TableGrid"/>
        <w:tblW w:type="auto" w:w="0"/>
        <w:jc w:val="center"/>
        <w:tblLook w:firstColumn="1" w:firstRow="1" w:lastColumn="0" w:lastRow="0" w:noHBand="0" w:noVBand="1" w:val="04A0"/>
      </w:tblPr>
      <w:tblGrid>
        <w:gridCol w:w="5184"/>
        <w:gridCol w:w="5184"/>
      </w:tblGrid>
      <w:tr>
        <w:tc>
          <w:tcPr>
            <w:tcW w:type="dxa" w:w="3024"/>
            <w:shd w:fill="0F172A"/>
            <w:vAlign w:val="center"/>
          </w:tcPr>
          <w:p>
            <w:r/>
            <w:r>
              <w:rPr>
                <w:b/>
                <w:color w:val="FFFFFF"/>
              </w:rPr>
              <w:t>Problem</w:t>
            </w:r>
          </w:p>
        </w:tc>
        <w:tc>
          <w:tcPr>
            <w:tcW w:type="dxa" w:w="6768"/>
            <w:shd w:fill="0F172A"/>
            <w:vAlign w:val="center"/>
          </w:tcPr>
          <w:p>
            <w:r/>
            <w:r>
              <w:rPr>
                <w:b/>
                <w:color w:val="FFFFFF"/>
              </w:rPr>
              <w:t>What to check</w:t>
            </w:r>
          </w:p>
        </w:tc>
      </w:tr>
      <w:tr>
        <w:tc>
          <w:tcPr>
            <w:tcW w:type="dxa" w:w="3024"/>
            <w:vAlign w:val="top"/>
          </w:tcPr>
          <w:p>
            <w:r/>
            <w:r>
              <w:rPr>
                <w:b w:val="0"/>
              </w:rPr>
              <w:t>Camera does not start</w:t>
            </w:r>
          </w:p>
        </w:tc>
        <w:tc>
          <w:tcPr>
            <w:tcW w:type="dxa" w:w="6768"/>
            <w:vAlign w:val="top"/>
          </w:tcPr>
          <w:p>
            <w:r/>
            <w:r>
              <w:rPr>
                <w:b w:val="0"/>
              </w:rPr>
              <w:t>RTSP URL, camera credentials, firewall, network route, and AI-service logs.</w:t>
            </w:r>
          </w:p>
        </w:tc>
      </w:tr>
      <w:tr>
        <w:tc>
          <w:tcPr>
            <w:tcW w:type="dxa" w:w="3024"/>
            <w:vAlign w:val="top"/>
          </w:tcPr>
          <w:p>
            <w:r/>
            <w:r>
              <w:rPr>
                <w:b w:val="0"/>
              </w:rPr>
              <w:t>No detections</w:t>
            </w:r>
          </w:p>
        </w:tc>
        <w:tc>
          <w:tcPr>
            <w:tcW w:type="dxa" w:w="6768"/>
            <w:vAlign w:val="top"/>
          </w:tcPr>
          <w:p>
            <w:r/>
            <w:r>
              <w:rPr>
                <w:b w:val="0"/>
              </w:rPr>
              <w:t>Camera angle, lighting, process FPS, face size in frame, and worker status.</w:t>
            </w:r>
          </w:p>
        </w:tc>
      </w:tr>
      <w:tr>
        <w:tc>
          <w:tcPr>
            <w:tcW w:type="dxa" w:w="3024"/>
            <w:vAlign w:val="top"/>
          </w:tcPr>
          <w:p>
            <w:r/>
            <w:r>
              <w:rPr>
                <w:b w:val="0"/>
              </w:rPr>
              <w:t>Wrong recognition</w:t>
            </w:r>
          </w:p>
        </w:tc>
        <w:tc>
          <w:tcPr>
            <w:tcW w:type="dxa" w:w="6768"/>
            <w:vAlign w:val="top"/>
          </w:tcPr>
          <w:p>
            <w:r/>
            <w:r>
              <w:rPr>
                <w:b w:val="0"/>
              </w:rPr>
              <w:t>Add better enrollment photos, remove bad images, tune threshold, and verify model provider.</w:t>
            </w:r>
          </w:p>
        </w:tc>
      </w:tr>
      <w:tr>
        <w:tc>
          <w:tcPr>
            <w:tcW w:type="dxa" w:w="3024"/>
            <w:vAlign w:val="top"/>
          </w:tcPr>
          <w:p>
            <w:r/>
            <w:r>
              <w:rPr>
                <w:b w:val="0"/>
              </w:rPr>
              <w:t>Dashboard does not update</w:t>
            </w:r>
          </w:p>
        </w:tc>
        <w:tc>
          <w:tcPr>
            <w:tcW w:type="dxa" w:w="6768"/>
            <w:vAlign w:val="top"/>
          </w:tcPr>
          <w:p>
            <w:r/>
            <w:r>
              <w:rPr>
                <w:b w:val="0"/>
              </w:rPr>
              <w:t>Backend SSE endpoint, nginx proxy config, browser console, and backend logs.</w:t>
            </w:r>
          </w:p>
        </w:tc>
      </w:tr>
      <w:tr>
        <w:tc>
          <w:tcPr>
            <w:tcW w:type="dxa" w:w="3024"/>
            <w:vAlign w:val="top"/>
          </w:tcPr>
          <w:p>
            <w:r/>
            <w:r>
              <w:rPr>
                <w:b w:val="0"/>
              </w:rPr>
              <w:t>Image upload fails</w:t>
            </w:r>
          </w:p>
        </w:tc>
        <w:tc>
          <w:tcPr>
            <w:tcW w:type="dxa" w:w="6768"/>
            <w:vAlign w:val="top"/>
          </w:tcPr>
          <w:p>
            <w:r/>
            <w:r>
              <w:rPr>
                <w:b w:val="0"/>
              </w:rPr>
              <w:t>Storage volume permission, backend file route, AI service health, and internal API key.</w:t>
            </w:r>
          </w:p>
        </w:tc>
      </w:tr>
      <w:tr>
        <w:tc>
          <w:tcPr>
            <w:tcW w:type="dxa" w:w="3024"/>
            <w:vAlign w:val="top"/>
          </w:tcPr>
          <w:p>
            <w:r/>
            <w:r>
              <w:rPr>
                <w:b w:val="0"/>
              </w:rPr>
              <w:t>Docker stack fails</w:t>
            </w:r>
          </w:p>
        </w:tc>
        <w:tc>
          <w:tcPr>
            <w:tcW w:type="dxa" w:w="6768"/>
            <w:vAlign w:val="top"/>
          </w:tcPr>
          <w:p>
            <w:r/>
            <w:r>
              <w:rPr>
                <w:b w:val="0"/>
              </w:rPr>
              <w:t>Run docker compose ps and check logs for postgres, backend, ai-service, frontend, and nginx.</w:t>
            </w:r>
          </w:p>
        </w:tc>
      </w:tr>
    </w:tbl>
    <w:p/>
    <w:p>
      <w:pPr>
        <w:pStyle w:val="Heading1"/>
      </w:pPr>
      <w:r>
        <w:t>13. Important project paths</w:t>
      </w:r>
    </w:p>
    <w:p>
      <w:pPr>
        <w:spacing w:after="80"/>
        <w:shd w:fill="F1F5F9"/>
      </w:pPr>
      <w:r>
        <w:rPr>
          <w:rFonts w:ascii="Consolas" w:hAnsi="Consolas" w:eastAsia="Consolas"/>
          <w:sz w:val="18"/>
        </w:rPr>
        <w:t>docker/docker-compose.yml              Production-style Docker Compose</w:t>
        <w:br/>
      </w:r>
      <w:r>
        <w:rPr>
          <w:rFonts w:ascii="Consolas" w:hAnsi="Consolas" w:eastAsia="Consolas"/>
          <w:sz w:val="18"/>
        </w:rPr>
        <w:t>docker/.env.production.example         Production env template</w:t>
        <w:br/>
      </w:r>
      <w:r>
        <w:rPr>
          <w:rFonts w:ascii="Consolas" w:hAnsi="Consolas" w:eastAsia="Consolas"/>
          <w:sz w:val="18"/>
        </w:rPr>
        <w:t>docker/nginx/nginx.conf                Reverse proxy configuration</w:t>
        <w:br/>
      </w:r>
      <w:r>
        <w:rPr>
          <w:rFonts w:ascii="Consolas" w:hAnsi="Consolas" w:eastAsia="Consolas"/>
          <w:sz w:val="18"/>
        </w:rPr>
        <w:t>database/init.sql                      PostgreSQL and pgvector schema</w:t>
        <w:br/>
      </w:r>
      <w:r>
        <w:rPr>
          <w:rFonts w:ascii="Consolas" w:hAnsi="Consolas" w:eastAsia="Consolas"/>
          <w:sz w:val="18"/>
        </w:rPr>
        <w:t>backend/app/                           FastAPI backend</w:t>
        <w:br/>
      </w:r>
      <w:r>
        <w:rPr>
          <w:rFonts w:ascii="Consolas" w:hAnsi="Consolas" w:eastAsia="Consolas"/>
          <w:sz w:val="18"/>
        </w:rPr>
        <w:t>ai-service/app/                        AI inference service</w:t>
        <w:br/>
      </w:r>
      <w:r>
        <w:rPr>
          <w:rFonts w:ascii="Consolas" w:hAnsi="Consolas" w:eastAsia="Consolas"/>
          <w:sz w:val="18"/>
        </w:rPr>
        <w:t>frontend/app/                          Nuxt frontend</w:t>
        <w:br/>
      </w:r>
      <w:r>
        <w:rPr>
          <w:rFonts w:ascii="Consolas" w:hAnsi="Consolas" w:eastAsia="Consolas"/>
          <w:sz w:val="18"/>
        </w:rPr>
        <w:t>storage/                               Shared local file storage</w:t>
        <w:br/>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AI System - User Manual and Configuration Guide</dc:title>
  <dc:subject>Walk-in Greeting AI MVP user manual and configuration guide</dc:subject>
  <dc:creator>OpenAI</dc:creator>
  <cp:keywords>Vision AI, CCTV, face recognition, user manual, Docker,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