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A.: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TERM very_hot := (45,0) (60,1) (100,1);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TERM maximum := (80,0) (100,1);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Prędkość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66,90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85,70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94,00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Powyższe testy były przeprowadzone przy metodzie wyostrzania COA - Center of Area: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219075</wp:posOffset>
            </wp:positionV>
            <wp:extent cx="1591362" cy="1591362"/>
            <wp:effectExtent b="0" l="0" r="0" t="0"/>
            <wp:wrapNone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362" cy="1591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3448050</wp:posOffset>
            </wp:positionH>
            <wp:positionV relativeFrom="page">
              <wp:posOffset>3185426</wp:posOffset>
            </wp:positionV>
            <wp:extent cx="2571750" cy="1028700"/>
            <wp:effectExtent b="0" l="0" r="0" t="0"/>
            <wp:wrapNone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(dla tego wynik</w:t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przy 7 punkcie</w:t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jest 94%, a nie</w:t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100%. Na innych </w:t>
      </w:r>
    </w:p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punktach też.</w:t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Bierze się </w:t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środek figury)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Teraz zmienimy takie parametry jak metody wyostrzania, ‘AND:’ “AND i OR” , ‘ACT’  aktywacji (implikacja), ‘ACCU’ akumulacji (sumy zbiorów)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Otóż, będziemy zmieniać po kolei: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Zmiana metod agregacji reguł: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Zmiana metod agregacji, w danym zadaniu, nie wpływa na nic, ponieważ definiują one operacje matematyczne które służą do łączenia zmiennych wejściowych w warunkach ‘IF’. Mamy jedną zmienną wejściową, więc testowanie jest nieaktualne.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//AND : MIN;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OR : MAX;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Zmiana metod implikacji (aktywacji):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Jest to najważniejszy parametr służący do formułowania konkluzji reguły (przejście z IF -&gt; THEN). Określa jak reguła wpłynie na wyjściową figure (trójkąt/trapez)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(Mamdani): Tak nazywane “obcięcie”. Górna część oryginalnej figury jest przycięta na poziomie siły reguły. (trapez)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 (Larsen): “Skalowanie”. Wyjściowa figura zachowuje kształt, ale zmniejsza się proporcjonalnie.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Otóż, porównania przy parametrach MIN i PROD (wartość wejściowa temperatury: 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MIN:</w:t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Widzimy jawne “obcięcie” figury na poziomie reguły temperatury. (linia pozioma dodana dla obserwacji)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Widzimy jak utworzony trójką ma górną cześć na poziomie reguły temperatury (linia pozioma dodana dla obserwacji)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Standardowo stosuje się ACT:MIN dla klasycznego kontrolera Mamdani.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ACCU</w:t>
      </w:r>
      <w:r w:rsidDel="00000000" w:rsidR="00000000" w:rsidRPr="00000000">
        <w:rPr>
          <w:rtl w:val="0"/>
        </w:rPr>
        <w:t xml:space="preserve"> (Accumulation/Aggregation - metoda akumulacji):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etap, w którym łączymy wyniki wszystkich reguł w jedną ogólną figure, a następnie przekształcamy ją na liczbę.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MAX: Nakładamy wszystkie kształty jeden na drugi i bierzemy zewnętrzny kontur (najwyższe punkty).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BSUM (Bounded Sum): Sumujemy wartości (np. 0.6 + 0.5 = 1.1, ale “obcinamy” do 1.0)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NSUM(Normalised Sum): Sumujemy stopnie przynależności zbiorów rozymych i dzielimy na współczynnik normalizacyjny </w:t>
      </w:r>
      <w:r w:rsidDel="00000000" w:rsidR="00000000" w:rsidRPr="00000000">
        <w:rPr/>
        <w:drawing>
          <wp:inline distB="114300" distT="114300" distL="114300" distR="114300">
            <wp:extent cx="2162175" cy="190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gdzie x’ reprezentuje wszystkie możliwe elementy w całym uniwersum dyskursu (dla którch zdefiniowane są funkcje przynależności).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Otóż, porównania działania (z implikacją ‘ACT:MIN’):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Warto dodać, że zmienimy wartość wejściową temperatury, ponieważ jeżeli zostawimy </w:t>
        <w:tab/>
        <w:t xml:space="preserve">     T = 28 to różnicy pomiędzy różnymi parametrami metody akumulacji nie będzie widać (nie nakładają się żadne, przynajmniej, 2 warunki). Więc, zmienimy wartość wejściową temperatury na np. T = 12.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MAX: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Widzimy, że reguła 1 “ciągnie” potężniej, a niż reguła 2, więc. Bierzemy po prostu te punkty i nakładamy kształt.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BSUM: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Aktywują się dwie reguły: ‘low’ (niebieski trójkąt) i ‘medium’ (żółty trójkąt). Ponieważ ‘low’ jest zdefiniowana na (0,35) a ‘medium’ na (25,65) to one mają wspólną przestrzeń - (25,35). Widzimy, że na 25 do 35 tworzy się pachołek - effekt BSUM, bo figury się sumują.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Reguła dla zbioru cold: ~0.6 i dla comfortable: ~0.2. W obszarze, gdzie zbiory wynikowe się pokrywają, metody akumulacji sumują wartości: S = 0.6 + 0.2 = 0.8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NSUM:</w:t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Przy wykorzystaniu NSUM nie zobaczymy różnicy, bo nie mamy takiego punktu, aby suma wykonania reguł była większa 1.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Wyjaśnienie różnicy pomiędzy BSUM i NSUM: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Załóżmy, że mamy punkt, w którym dwie reguły są aktywne na (1) 0.8 i (2) 0.7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BSUM: 0.8 + 0.7 = 1.5 -&gt; rezultatem będzie 1.0, bo wykonujemy obcięcie do 1.0 (tak działa BSUM).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NSUM: 0.8 + 0.7 = 1.5 -&gt; kształt pójdzie do góry, wyżej 1.0, bo wysokości sumują się. To będzie świadczyć, że obszar pokrycia stanie bardzo ciężkim i wpłynie na COA (mocno pociągnie na siebie).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Ze względu na to, że suma stopni przynależności nie przekracza wartości 1.0, wykresy wynikowe oraz wartość wyostrzona są dla obu metod identyczne. Różnice byłyby widoczne dopiero w przypadku silniejszego pokrycia reguł, gdy </w:t>
      </w:r>
      <w:r w:rsidDel="00000000" w:rsidR="00000000" w:rsidRPr="00000000">
        <w:rPr/>
        <w:drawing>
          <wp:inline distB="114300" distT="114300" distL="114300" distR="114300">
            <wp:extent cx="219075" cy="1619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/>
        <w:drawing>
          <wp:inline distB="114300" distT="114300" distL="114300" distR="114300">
            <wp:extent cx="209550" cy="14287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&gt; 1.0.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Ostatecznie - analiza metod wyostrzania - (defuzzify):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Dla temperatury wejściowej T=12: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Zbiór wyjściowy ‘low’ zdefiniowany jest jako trójkąt prostokątny malejącty od (0,1) (co można zauważyć na rzutach poprzednio).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 zastosowaniu implikacji (przycięcie na poziomie 0.6), wynikowy zbiór przyjmuje kształt trapezu, którego plaski wierzchołek (maksimum) rozciąga się w przedziale prędkości [0,14] (to będzie pokazane)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LM </w:t>
      </w:r>
      <w:r w:rsidDel="00000000" w:rsidR="00000000" w:rsidRPr="00000000">
        <w:rPr>
          <w:rtl w:val="0"/>
        </w:rPr>
        <w:t xml:space="preserve">(Left Most Maximum): Wskazuje początek płaskiego wierzchołka. Ponieważ  ‘low’ osiąga maksimum przy x=0 -&gt; wynik wynosi 0.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71950" cy="5524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RM</w:t>
      </w:r>
      <w:r w:rsidDel="00000000" w:rsidR="00000000" w:rsidRPr="00000000">
        <w:rPr>
          <w:rtl w:val="0"/>
        </w:rPr>
        <w:t xml:space="preserve">(Right Most Maximum): Wskazuje koniec płaskiego wierzchołka. Obliczeniowo jest to punkt przecięcia prostej spadkowej zbioru z poziomem 0.6 (x=14), więc wynik wynosi 14. Rónanie prostej low: y=1-(x/35). Mamy, że y = 0.6 -&gt; 0.4 = x/35 -&gt; x=14.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33850" cy="5143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COA</w:t>
      </w:r>
      <w:r w:rsidDel="00000000" w:rsidR="00000000" w:rsidRPr="00000000">
        <w:rPr>
          <w:rtl w:val="0"/>
        </w:rPr>
        <w:t xml:space="preserve">(Środek obszaru/Center of Area): Oblicza punkt równowagi dla całej figury (wyżej było przedstawiono). Uwzględniając masę całego trapezu ‘low’ oraz mniejszego zbioru ‘medium’, co powoduje małe przesunięcie w prawą stronę - wynik jest prawdziwy ~18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752475</wp:posOffset>
            </wp:positionV>
            <wp:extent cx="4191000" cy="619125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Ocena działania sterownika: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 podstawie przeprowadzonych symulacji oraz analizy wyników można sformułować następujące wnioski dotyczące działania zaprojektowanego sterownika rozmytego wentylatora: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Poprawność logiczna:</w:t>
      </w:r>
      <w:r w:rsidDel="00000000" w:rsidR="00000000" w:rsidRPr="00000000">
        <w:rPr>
          <w:rtl w:val="0"/>
        </w:rPr>
        <w:t xml:space="preserve"> Sterownik zachowuje się w sposób intuicyjny i zgodny z założeniami projektowymi. Wraz ze wzrostem temperatury wejściowej, prędkość wentylatora rośnie monotonicznie. Zdefiniowane reguły pokrywają cały zakres zmienności sygnału wejściowego, co zapobiega stanom nieustalonym.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Płynność regulacji:</w:t>
      </w:r>
      <w:r w:rsidDel="00000000" w:rsidR="00000000" w:rsidRPr="00000000">
        <w:rPr>
          <w:rtl w:val="0"/>
        </w:rPr>
        <w:t xml:space="preserve"> Dzięki zastosowaniu zbiorów rozmytych o kształtach trójkątnych i trapezowych oraz metody wyostrzania (defuzzyfikacji) </w:t>
      </w:r>
      <w:r w:rsidDel="00000000" w:rsidR="00000000" w:rsidRPr="00000000">
        <w:rPr>
          <w:b w:val="1"/>
          <w:bCs w:val="1"/>
          <w:rtl w:val="0"/>
        </w:rPr>
        <w:t xml:space="preserve">COA (Center of Area)</w:t>
      </w:r>
      <w:r w:rsidDel="00000000" w:rsidR="00000000" w:rsidRPr="00000000">
        <w:rPr>
          <w:rtl w:val="0"/>
        </w:rPr>
        <w:t xml:space="preserve">, przejścia między poszczególnymi poziomami prędkości (np. z ‘</w:t>
      </w:r>
      <w:r w:rsidDel="00000000" w:rsidR="00000000" w:rsidRPr="00000000">
        <w:rPr>
          <w:i w:val="1"/>
          <w:iCs w:val="1"/>
          <w:rtl w:val="0"/>
        </w:rPr>
        <w:t xml:space="preserve">low’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iCs w:val="1"/>
          <w:rtl w:val="0"/>
        </w:rPr>
        <w:t xml:space="preserve">‘medium’</w:t>
      </w:r>
      <w:r w:rsidDel="00000000" w:rsidR="00000000" w:rsidRPr="00000000">
        <w:rPr>
          <w:rtl w:val="0"/>
        </w:rPr>
        <w:t xml:space="preserve">) odbywają się w sposób płynny. Eliminuje to gwałtowne skoki sterowania, które występowałyby w klasycznym sterowaniu dwustawnym (ON/OFF) lub progowym, co jest korzystne dla trwałości silnika wentylatora.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 na krańcach zakresu: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Przy niskich temperaturach:</w:t>
      </w:r>
      <w:r w:rsidDel="00000000" w:rsidR="00000000" w:rsidRPr="00000000">
        <w:rPr>
          <w:rtl w:val="0"/>
        </w:rPr>
        <w:t xml:space="preserve"> Metoda LM (Left Most Maximum) wykazała, że sterownik może żerować obroty, co jest pożądane w celu oszczędzania energii, gdy chłodzenie nie jest wymagane.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Przy maksymalnych temperaturach:</w:t>
      </w:r>
      <w:r w:rsidDel="00000000" w:rsidR="00000000" w:rsidRPr="00000000">
        <w:rPr>
          <w:rtl w:val="0"/>
        </w:rPr>
        <w:t xml:space="preserve"> Zauważono, że metoda COA nie osiąga pełnych 100% wartości wyjściowej (wynik ok. 94% dla T=60°C). Wynika to z geometrycznej natury metody środka ciężkości dla trójkątnych funkcji przynależności. Aby uzyskać pełne 100%, należałoby zmienić kształt zbioru wyjściowego </w:t>
      </w:r>
      <w:r w:rsidDel="00000000" w:rsidR="00000000" w:rsidRPr="00000000">
        <w:rPr>
          <w:i w:val="1"/>
          <w:iCs w:val="1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 na singleton lub zastosować inną metodę wyostrzania (np. RM), jednak COA zapewnia lepszą stabilność w ogólnym rozrachunku.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Wpływ parametrów sterownika:</w:t>
      </w:r>
      <w:r w:rsidDel="00000000" w:rsidR="00000000" w:rsidRPr="00000000">
        <w:rPr>
          <w:rtl w:val="0"/>
        </w:rPr>
        <w:t xml:space="preserve"> Analiza metod akumulacji (BSUM vs MAX) pokazała, że sterownik można dostroić tak, aby był bardziej "czuły" w strefach przejściowych, gdzie aktywne są dwie reguły jednocześnie. Daje to możliwość precyzyjnego dopasowania reakcji układu bez konieczności zmiany samej bazy reguł.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Podsumowanie:</w:t>
      </w:r>
      <w:r w:rsidDel="00000000" w:rsidR="00000000" w:rsidRPr="00000000">
        <w:rPr>
          <w:rtl w:val="0"/>
        </w:rPr>
        <w:t xml:space="preserve"> Zaprojektowany sterownik poprawnie realizuje zadanie chłodzenia, oferując stabilną i płynną charakterystykę sterowania.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KOD FCL OSOBNIE: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FUNCTION_BLOCK FanControl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VAR_INPUT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temperature : REAL;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END_VAR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VAR_OUTPUT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fan_speed : REAL;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END_VAR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FUZZIFY temperature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TERM cold := (0, 1) (10, 1) (15, 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TERM comfortable := (10, 0) (20, 1) (35, 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TERM hot := (30, 0) (40, 1) (50,0);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TERM very_hot := (45,0) (60,1) (100,1);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END_FUZZIFY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DEFUZZIFY fan_speed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TERM low := (0, 1) (35, 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TERM medium := (25, 0) (50, 1) (65, 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TERM high := (50, 0) (75, 1) (85,0);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TERM maximum := (80,0) (100,1);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METHOD : COG;//LM,RM,COA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DEFAULT :=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END_DEFUZZIFY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RULEBLOCK No1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//AND : MIN;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OR : MAX;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ACT : MIN;//PROD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ACCU : MAX;//BSUM,NSUM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RULE 1 : IF temperature IS cold THEN fan_speed IS low;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RULE 2 : IF temperature IS comfortable THEN fan_speed IS medium;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RULE 3 : IF temperature IS hot THEN fan_speed IS high;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RULE 4 : IF temperature IS very_hot THEN fan_speed IS maximum;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END_RULEBLOCK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END_FUNCTION_BLOCK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5.png"/><Relationship Id="rId21" Type="http://schemas.openxmlformats.org/officeDocument/2006/relationships/image" Target="media/image22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.png"/><Relationship Id="rId25" Type="http://schemas.openxmlformats.org/officeDocument/2006/relationships/image" Target="media/image14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23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