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E4F2" w14:textId="77777777" w:rsidR="00B1465D" w:rsidRDefault="00000000">
      <w:pPr>
        <w:spacing w:after="0" w:line="259" w:lineRule="auto"/>
        <w:ind w:left="-1440" w:right="17325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BCDECAB" wp14:editId="55FD5BF3">
            <wp:simplePos x="0" y="0"/>
            <wp:positionH relativeFrom="page">
              <wp:posOffset>243840</wp:posOffset>
            </wp:positionH>
            <wp:positionV relativeFrom="page">
              <wp:posOffset>0</wp:posOffset>
            </wp:positionV>
            <wp:extent cx="11667744" cy="8991600"/>
            <wp:effectExtent l="0" t="0" r="0" b="0"/>
            <wp:wrapTopAndBottom/>
            <wp:docPr id="20406" name="Picture 20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" name="Picture 204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67744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5E791" w14:textId="77777777" w:rsidR="00B1465D" w:rsidRDefault="00B1465D">
      <w:pPr>
        <w:sectPr w:rsidR="00B1465D" w:rsidSect="00151BEE">
          <w:pgSz w:w="18765" w:h="14173" w:orient="landscape"/>
          <w:pgMar w:top="1440" w:right="1440" w:bottom="1440" w:left="1440" w:header="720" w:footer="720" w:gutter="0"/>
          <w:cols w:space="720"/>
        </w:sectPr>
      </w:pPr>
    </w:p>
    <w:p w14:paraId="64515C5F" w14:textId="77777777" w:rsidR="00B1465D" w:rsidRDefault="00000000">
      <w:pPr>
        <w:spacing w:after="0" w:line="259" w:lineRule="auto"/>
        <w:ind w:left="0" w:right="0" w:firstLine="0"/>
        <w:jc w:val="left"/>
      </w:pPr>
      <w:r>
        <w:rPr>
          <w:color w:val="539B9D"/>
          <w:sz w:val="26"/>
        </w:rPr>
        <w:lastRenderedPageBreak/>
        <w:t xml:space="preserve">CALENDÁRIO DE VACINAÇÃO </w:t>
      </w:r>
      <w:proofErr w:type="spellStart"/>
      <w:r>
        <w:rPr>
          <w:color w:val="539B9D"/>
          <w:sz w:val="26"/>
        </w:rPr>
        <w:t>SBIm</w:t>
      </w:r>
      <w:proofErr w:type="spellEnd"/>
      <w:r>
        <w:rPr>
          <w:color w:val="C7332C"/>
          <w:sz w:val="26"/>
        </w:rPr>
        <w:t xml:space="preserve"> CRIANÇA</w:t>
      </w:r>
      <w:r>
        <w:rPr>
          <w:color w:val="539B9D"/>
          <w:sz w:val="26"/>
        </w:rPr>
        <w:t xml:space="preserve"> </w:t>
      </w:r>
      <w:r>
        <w:rPr>
          <w:color w:val="539B9D"/>
          <w:sz w:val="16"/>
        </w:rPr>
        <w:t>[</w:t>
      </w:r>
      <w:r>
        <w:rPr>
          <w:color w:val="539B9D"/>
          <w:sz w:val="26"/>
          <w:vertAlign w:val="subscript"/>
        </w:rPr>
        <w:t>CONTINUAÇÃO]</w:t>
      </w:r>
    </w:p>
    <w:p w14:paraId="20519948" w14:textId="77777777" w:rsidR="00B1465D" w:rsidRDefault="00000000">
      <w:pPr>
        <w:spacing w:after="0" w:line="259" w:lineRule="auto"/>
        <w:ind w:left="0" w:right="0" w:firstLine="0"/>
        <w:jc w:val="left"/>
      </w:pPr>
      <w:r>
        <w:rPr>
          <w:sz w:val="17"/>
        </w:rPr>
        <w:t>Recomendações da Sociedade Brasileira de Imunizações (</w:t>
      </w:r>
      <w:proofErr w:type="spellStart"/>
      <w:r>
        <w:rPr>
          <w:sz w:val="17"/>
        </w:rPr>
        <w:t>SBIm</w:t>
      </w:r>
      <w:proofErr w:type="spellEnd"/>
      <w:r>
        <w:rPr>
          <w:sz w:val="17"/>
        </w:rPr>
        <w:t xml:space="preserve">) – 2026/2027 </w:t>
      </w:r>
    </w:p>
    <w:p w14:paraId="757220CA" w14:textId="77777777" w:rsidR="00B1465D" w:rsidRDefault="00B1465D">
      <w:pPr>
        <w:sectPr w:rsidR="00B1465D" w:rsidSect="00151BEE">
          <w:pgSz w:w="19162" w:h="14173" w:orient="landscape"/>
          <w:pgMar w:top="366" w:right="12074" w:bottom="1440" w:left="397" w:header="720" w:footer="720" w:gutter="0"/>
          <w:cols w:space="720"/>
        </w:sectPr>
      </w:pPr>
    </w:p>
    <w:p w14:paraId="3660EA15" w14:textId="77777777" w:rsidR="00B1465D" w:rsidRDefault="00000000">
      <w:pPr>
        <w:pStyle w:val="Ttulo1"/>
      </w:pPr>
      <w:r>
        <w:t>COMENTÁRIOS</w:t>
      </w:r>
    </w:p>
    <w:p w14:paraId="3F00F57B" w14:textId="77777777" w:rsidR="00B1465D" w:rsidRDefault="00000000">
      <w:pPr>
        <w:numPr>
          <w:ilvl w:val="0"/>
          <w:numId w:val="1"/>
        </w:numPr>
        <w:spacing w:after="111"/>
        <w:ind w:right="46"/>
      </w:pPr>
      <w:r>
        <w:rPr>
          <w:b/>
        </w:rPr>
        <w:t>BCG ID:</w:t>
      </w:r>
      <w:r>
        <w:t xml:space="preserve"> deverá ser aplicada o mais precocemente possível, em recém-nascidos com peso maior ou igual a 2.000 g. Em casos de histórico familiar, suspeita de </w:t>
      </w:r>
      <w:proofErr w:type="spellStart"/>
      <w:r>
        <w:t>imunodeficiência</w:t>
      </w:r>
      <w:proofErr w:type="spellEnd"/>
      <w:r>
        <w:t xml:space="preserve"> ou </w:t>
      </w:r>
      <w:proofErr w:type="spellStart"/>
      <w:r>
        <w:t>RNs</w:t>
      </w:r>
      <w:proofErr w:type="spellEnd"/>
      <w:r>
        <w:t xml:space="preserve"> cujas </w:t>
      </w:r>
      <w:proofErr w:type="spellStart"/>
      <w:r>
        <w:t>mães</w:t>
      </w:r>
      <w:proofErr w:type="spellEnd"/>
      <w:r>
        <w:t xml:space="preserve"> fizeram uso de biológicos durante a </w:t>
      </w:r>
      <w:proofErr w:type="spellStart"/>
      <w:r>
        <w:t>gestação</w:t>
      </w:r>
      <w:proofErr w:type="spellEnd"/>
      <w:r>
        <w:t xml:space="preserve">, a </w:t>
      </w:r>
      <w:proofErr w:type="spellStart"/>
      <w:r>
        <w:t>vacinação</w:t>
      </w:r>
      <w:proofErr w:type="spellEnd"/>
      <w:r>
        <w:t xml:space="preserve"> poderá ser postergada ou contraindicada (consulte os Calendários de </w:t>
      </w:r>
      <w:proofErr w:type="spellStart"/>
      <w:r>
        <w:t>vacinação</w:t>
      </w:r>
      <w:proofErr w:type="spellEnd"/>
      <w:r>
        <w:t xml:space="preserve"> </w:t>
      </w:r>
      <w:proofErr w:type="spellStart"/>
      <w:r>
        <w:t>SBIm</w:t>
      </w:r>
      <w:proofErr w:type="spellEnd"/>
      <w:r>
        <w:t xml:space="preserve"> pacientes especiais). A </w:t>
      </w:r>
      <w:proofErr w:type="spellStart"/>
      <w:r>
        <w:t>revacinação</w:t>
      </w:r>
      <w:proofErr w:type="spellEnd"/>
      <w:r>
        <w:t xml:space="preserve"> com BCG </w:t>
      </w:r>
      <w:proofErr w:type="spellStart"/>
      <w:r>
        <w:t>não</w:t>
      </w:r>
      <w:proofErr w:type="spellEnd"/>
      <w:r>
        <w:t xml:space="preserve"> é recomendada mesmo para crianças que </w:t>
      </w:r>
      <w:proofErr w:type="spellStart"/>
      <w:r>
        <w:t>não</w:t>
      </w:r>
      <w:proofErr w:type="spellEnd"/>
      <w:r>
        <w:t xml:space="preserve"> desenvolveram cicatriz vacinal, pela </w:t>
      </w:r>
      <w:proofErr w:type="spellStart"/>
      <w:r>
        <w:t>ausência</w:t>
      </w:r>
      <w:proofErr w:type="spellEnd"/>
      <w:r>
        <w:t xml:space="preserve"> de </w:t>
      </w:r>
      <w:proofErr w:type="spellStart"/>
      <w:r>
        <w:t>evidências</w:t>
      </w:r>
      <w:proofErr w:type="spellEnd"/>
      <w:r>
        <w:t xml:space="preserve"> de que a </w:t>
      </w:r>
      <w:proofErr w:type="spellStart"/>
      <w:r>
        <w:t>repetição</w:t>
      </w:r>
      <w:proofErr w:type="spellEnd"/>
      <w:r>
        <w:t xml:space="preserve"> traga benefício adicional.</w:t>
      </w:r>
    </w:p>
    <w:p w14:paraId="22D63EF6" w14:textId="77777777" w:rsidR="00B1465D" w:rsidRDefault="00000000">
      <w:pPr>
        <w:spacing w:after="114"/>
        <w:ind w:left="-5" w:right="46"/>
      </w:pPr>
      <w:r>
        <w:t xml:space="preserve">Quando solicitado teste de triagem de erros inatos do sistema imune, adiar </w:t>
      </w:r>
      <w:proofErr w:type="spellStart"/>
      <w:r>
        <w:t>vacinação</w:t>
      </w:r>
      <w:proofErr w:type="spellEnd"/>
      <w:r>
        <w:t xml:space="preserve"> até </w:t>
      </w:r>
      <w:proofErr w:type="spellStart"/>
      <w:r>
        <w:t>avaliação</w:t>
      </w:r>
      <w:proofErr w:type="spellEnd"/>
      <w:r>
        <w:t xml:space="preserve"> do resultado.</w:t>
      </w:r>
    </w:p>
    <w:p w14:paraId="103A1D97" w14:textId="77777777" w:rsidR="00B1465D" w:rsidRDefault="00000000">
      <w:pPr>
        <w:numPr>
          <w:ilvl w:val="0"/>
          <w:numId w:val="1"/>
        </w:numPr>
        <w:spacing w:after="112"/>
        <w:ind w:right="46"/>
      </w:pPr>
      <w:r>
        <w:rPr>
          <w:b/>
        </w:rPr>
        <w:t xml:space="preserve">Hepatite B: </w:t>
      </w:r>
      <w:proofErr w:type="spellStart"/>
      <w:r>
        <w:t>São</w:t>
      </w:r>
      <w:proofErr w:type="spellEnd"/>
      <w:r>
        <w:t xml:space="preserve"> 3 doses no total (0,1 e 6 meses). a) Aplicar a primeira dose nas primeiras 12 horas de vida. b) O esquema de quatro doses pode ser adotado quando é utilizada uma vacina combinada que inclua a vacina hepatite B. c) Se </w:t>
      </w:r>
      <w:proofErr w:type="spellStart"/>
      <w:r>
        <w:t>mãe</w:t>
      </w:r>
      <w:proofErr w:type="spellEnd"/>
      <w:r>
        <w:t xml:space="preserve"> </w:t>
      </w:r>
      <w:proofErr w:type="spellStart"/>
      <w:r>
        <w:t>HBsAg</w:t>
      </w:r>
      <w:proofErr w:type="spellEnd"/>
      <w:r>
        <w:t xml:space="preserve">+, administrar também HBIG o mais precocemente possível (até sete dias após o parto). </w:t>
      </w:r>
    </w:p>
    <w:p w14:paraId="208DE281" w14:textId="77777777" w:rsidR="00B1465D" w:rsidRDefault="00000000">
      <w:pPr>
        <w:numPr>
          <w:ilvl w:val="0"/>
          <w:numId w:val="1"/>
        </w:numPr>
        <w:spacing w:after="118"/>
        <w:ind w:right="46"/>
      </w:pPr>
      <w:r>
        <w:rPr>
          <w:b/>
        </w:rPr>
        <w:t>Vacina rotavírus monovalente:</w:t>
      </w:r>
      <w:r>
        <w:t xml:space="preserve"> duas doses aos 2 e 4 meses de idade. </w:t>
      </w:r>
      <w:r>
        <w:rPr>
          <w:b/>
        </w:rPr>
        <w:t xml:space="preserve">Vacina rotavírus </w:t>
      </w:r>
      <w:proofErr w:type="spellStart"/>
      <w:r>
        <w:rPr>
          <w:b/>
        </w:rPr>
        <w:t>pentavalente</w:t>
      </w:r>
      <w:proofErr w:type="spellEnd"/>
      <w:r>
        <w:t xml:space="preserve">: </w:t>
      </w:r>
      <w:proofErr w:type="spellStart"/>
      <w:r>
        <w:t>três</w:t>
      </w:r>
      <w:proofErr w:type="spellEnd"/>
      <w:r>
        <w:t xml:space="preserve"> doses aos 2, 4 e 6 meses de idade. </w:t>
      </w:r>
      <w:r>
        <w:rPr>
          <w:b/>
        </w:rPr>
        <w:t>Para ambas as vacinas</w:t>
      </w:r>
      <w:r>
        <w:t xml:space="preserve">, a primeira dose pode ser feita a partir de 6 semanas de vida. Em caso de </w:t>
      </w:r>
      <w:proofErr w:type="spellStart"/>
      <w:r>
        <w:t>recuperação</w:t>
      </w:r>
      <w:proofErr w:type="spellEnd"/>
      <w:r>
        <w:t xml:space="preserve"> de esquemas de atraso vacinal, a D1 aplicar no máximo até 11 meses e 29 dias, e a </w:t>
      </w:r>
    </w:p>
    <w:p w14:paraId="7E372EA0" w14:textId="77777777" w:rsidR="00B1465D" w:rsidRDefault="00000000">
      <w:pPr>
        <w:spacing w:after="118"/>
        <w:ind w:left="-5" w:right="46"/>
      </w:pPr>
      <w:r>
        <w:t xml:space="preserve">última dose até 23 meses e 29 dias (uso off </w:t>
      </w:r>
      <w:proofErr w:type="spellStart"/>
      <w:r>
        <w:t>label</w:t>
      </w:r>
      <w:proofErr w:type="spellEnd"/>
      <w:r>
        <w:t xml:space="preserve">). Intervalo mínimo entre doses de 30 dias. Se a criança cuspir, regurgitar ou vomitar após a </w:t>
      </w:r>
      <w:proofErr w:type="spellStart"/>
      <w:r>
        <w:t>vacinação</w:t>
      </w:r>
      <w:proofErr w:type="spellEnd"/>
      <w:r>
        <w:t xml:space="preserve">, </w:t>
      </w:r>
      <w:proofErr w:type="spellStart"/>
      <w:r>
        <w:t>não</w:t>
      </w:r>
      <w:proofErr w:type="spellEnd"/>
      <w:r>
        <w:t xml:space="preserve"> repetir a dose. Se alguma dose na série for RV5 ou desconhecida, aplicar </w:t>
      </w:r>
      <w:proofErr w:type="spellStart"/>
      <w:r>
        <w:t>três</w:t>
      </w:r>
      <w:proofErr w:type="spellEnd"/>
      <w:r>
        <w:t xml:space="preserve"> doses. </w:t>
      </w:r>
      <w:proofErr w:type="spellStart"/>
      <w:r>
        <w:t>Não</w:t>
      </w:r>
      <w:proofErr w:type="spellEnd"/>
      <w:r>
        <w:t xml:space="preserve"> utilizar em crianças hospitalizadas. Em caso de suspeita de </w:t>
      </w:r>
      <w:proofErr w:type="spellStart"/>
      <w:r>
        <w:t>imunodeficiência</w:t>
      </w:r>
      <w:proofErr w:type="spellEnd"/>
      <w:r>
        <w:t xml:space="preserve"> ou </w:t>
      </w:r>
      <w:proofErr w:type="spellStart"/>
      <w:r>
        <w:t>RNs</w:t>
      </w:r>
      <w:proofErr w:type="spellEnd"/>
      <w:r>
        <w:t xml:space="preserve"> cujas </w:t>
      </w:r>
      <w:proofErr w:type="spellStart"/>
      <w:r>
        <w:t>mães</w:t>
      </w:r>
      <w:proofErr w:type="spellEnd"/>
      <w:r>
        <w:t xml:space="preserve"> fizeram uso de biológicos durante a </w:t>
      </w:r>
      <w:proofErr w:type="spellStart"/>
      <w:r>
        <w:t>gestação</w:t>
      </w:r>
      <w:proofErr w:type="spellEnd"/>
      <w:r>
        <w:t xml:space="preserve">, a vacina pode estar contraindicada e seu uso deve ser avaliado pelo médico (consulte os </w:t>
      </w:r>
      <w:r>
        <w:rPr>
          <w:i/>
        </w:rPr>
        <w:t xml:space="preserve">Calendários de vacinação </w:t>
      </w:r>
      <w:proofErr w:type="spellStart"/>
      <w:r>
        <w:rPr>
          <w:i/>
        </w:rPr>
        <w:t>SBIm</w:t>
      </w:r>
      <w:proofErr w:type="spellEnd"/>
      <w:r>
        <w:rPr>
          <w:i/>
        </w:rPr>
        <w:t xml:space="preserve"> pacientes especiais</w:t>
      </w:r>
      <w:r>
        <w:t>).</w:t>
      </w:r>
    </w:p>
    <w:p w14:paraId="2604A012" w14:textId="77777777" w:rsidR="00B1465D" w:rsidRDefault="00000000">
      <w:pPr>
        <w:numPr>
          <w:ilvl w:val="0"/>
          <w:numId w:val="1"/>
        </w:numPr>
        <w:spacing w:after="114"/>
        <w:ind w:right="46"/>
      </w:pPr>
      <w:r>
        <w:rPr>
          <w:b/>
        </w:rPr>
        <w:t>Tríplice bacteriana:</w:t>
      </w:r>
      <w:r>
        <w:t xml:space="preserve"> o uso da </w:t>
      </w:r>
      <w:proofErr w:type="gramStart"/>
      <w:r>
        <w:t>vacina  acelular</w:t>
      </w:r>
      <w:proofErr w:type="gramEnd"/>
      <w:r>
        <w:t xml:space="preserve"> (</w:t>
      </w:r>
      <w:proofErr w:type="spellStart"/>
      <w:r>
        <w:t>DTPa</w:t>
      </w:r>
      <w:proofErr w:type="spellEnd"/>
      <w:r>
        <w:t>) é preferível ao de células inteiras (</w:t>
      </w:r>
      <w:proofErr w:type="spellStart"/>
      <w:r>
        <w:t>DTPw</w:t>
      </w:r>
      <w:proofErr w:type="spellEnd"/>
      <w:r>
        <w:t xml:space="preserve">) pois os eventos adversos associados com a sua </w:t>
      </w:r>
      <w:proofErr w:type="spellStart"/>
      <w:r>
        <w:t>administração</w:t>
      </w:r>
      <w:proofErr w:type="spellEnd"/>
      <w:r>
        <w:t xml:space="preserve"> </w:t>
      </w:r>
      <w:proofErr w:type="spellStart"/>
      <w:r>
        <w:t>são</w:t>
      </w:r>
      <w:proofErr w:type="spellEnd"/>
      <w:r>
        <w:t xml:space="preserve"> menos frequentes e intensos. O reforço dos 4 a 6 anos pode ser feito com </w:t>
      </w:r>
      <w:proofErr w:type="spellStart"/>
      <w:r>
        <w:t>DTPa</w:t>
      </w:r>
      <w:proofErr w:type="spellEnd"/>
      <w:r>
        <w:t xml:space="preserve">-VIP, dTpa-VIP. O reforço seguinte deverá ser feito com a vacina tríplice acelular do tipo adulto (dTpa), cinco anos após, preferencialmente entre 9 e 11 anos. </w:t>
      </w:r>
    </w:p>
    <w:p w14:paraId="1A7D9467" w14:textId="77777777" w:rsidR="00B1465D" w:rsidRDefault="00000000">
      <w:pPr>
        <w:numPr>
          <w:ilvl w:val="0"/>
          <w:numId w:val="1"/>
        </w:numPr>
        <w:spacing w:after="113"/>
        <w:ind w:right="46"/>
      </w:pPr>
      <w:proofErr w:type="spellStart"/>
      <w:r>
        <w:rPr>
          <w:b/>
        </w:rPr>
        <w:t>Hib</w:t>
      </w:r>
      <w:proofErr w:type="spellEnd"/>
      <w:r>
        <w:rPr>
          <w:b/>
        </w:rPr>
        <w:t>:</w:t>
      </w:r>
      <w:r>
        <w:t xml:space="preserve"> recomenda-se o reforço aos 15-18 meses, principalmente quando for utilizada vacina </w:t>
      </w:r>
      <w:proofErr w:type="spellStart"/>
      <w:r>
        <w:t>Hib</w:t>
      </w:r>
      <w:proofErr w:type="spellEnd"/>
      <w:r>
        <w:t xml:space="preserve"> nas formulações combinadas com tríplice bacteriana acelular </w:t>
      </w:r>
      <w:r>
        <w:t>(</w:t>
      </w:r>
      <w:proofErr w:type="spellStart"/>
      <w:r>
        <w:t>DTPa</w:t>
      </w:r>
      <w:proofErr w:type="spellEnd"/>
      <w:r>
        <w:t xml:space="preserve">) na série primária. </w:t>
      </w:r>
      <w:proofErr w:type="spellStart"/>
      <w:r>
        <w:t>Não</w:t>
      </w:r>
      <w:proofErr w:type="spellEnd"/>
      <w:r>
        <w:t xml:space="preserve"> é recomendada </w:t>
      </w:r>
      <w:proofErr w:type="spellStart"/>
      <w:r>
        <w:t>vacinação</w:t>
      </w:r>
      <w:proofErr w:type="spellEnd"/>
      <w:r>
        <w:t xml:space="preserve"> de rotina para crianças saudáveis a partir de 5 anos de idade, independente do passado vacinal. </w:t>
      </w:r>
    </w:p>
    <w:p w14:paraId="5EB3004B" w14:textId="77777777" w:rsidR="00B1465D" w:rsidRDefault="00000000">
      <w:pPr>
        <w:numPr>
          <w:ilvl w:val="0"/>
          <w:numId w:val="1"/>
        </w:numPr>
        <w:spacing w:after="112"/>
        <w:ind w:right="46"/>
      </w:pPr>
      <w:r>
        <w:rPr>
          <w:b/>
        </w:rPr>
        <w:t xml:space="preserve">Poliomielite: </w:t>
      </w:r>
      <w:r>
        <w:t xml:space="preserve">o PNI alterou o esquema da vacina pólio para quatro doses exclusivamente com a vacina inativada (VIP): aos 2, 4, 6 meses e 1 único reforço aos 15 meses de idade. No PNI a VIP poderá ser administrada para crianças menores de 5 anos em atraso com o esquema vacinal. A </w:t>
      </w:r>
      <w:proofErr w:type="spellStart"/>
      <w:r>
        <w:t>SBIm</w:t>
      </w:r>
      <w:proofErr w:type="spellEnd"/>
      <w:r>
        <w:t xml:space="preserve"> continua recomendando o segundo reforço entre 4 e 6 anos de idade, de </w:t>
      </w:r>
      <w:proofErr w:type="spellStart"/>
      <w:r>
        <w:t>preferência</w:t>
      </w:r>
      <w:proofErr w:type="spellEnd"/>
      <w:r>
        <w:t xml:space="preserve"> com a vacina combinada (</w:t>
      </w:r>
      <w:proofErr w:type="spellStart"/>
      <w:r>
        <w:t>DTPa</w:t>
      </w:r>
      <w:proofErr w:type="spellEnd"/>
      <w:r>
        <w:t xml:space="preserve"> + VIP ou dTpa+ VIP). </w:t>
      </w:r>
    </w:p>
    <w:p w14:paraId="141F2506" w14:textId="77777777" w:rsidR="00B1465D" w:rsidRDefault="00000000">
      <w:pPr>
        <w:numPr>
          <w:ilvl w:val="0"/>
          <w:numId w:val="1"/>
        </w:numPr>
        <w:ind w:right="46"/>
      </w:pPr>
      <w:r>
        <w:rPr>
          <w:b/>
        </w:rPr>
        <w:t xml:space="preserve">Pneumocócicas conjugadas: </w:t>
      </w:r>
      <w:r>
        <w:t xml:space="preserve">a </w:t>
      </w:r>
      <w:proofErr w:type="spellStart"/>
      <w:r>
        <w:t>SBIm</w:t>
      </w:r>
      <w:proofErr w:type="spellEnd"/>
      <w:r>
        <w:t xml:space="preserve">, com o intuito de ampliar a </w:t>
      </w:r>
      <w:proofErr w:type="spellStart"/>
      <w:r>
        <w:t>proteção</w:t>
      </w:r>
      <w:proofErr w:type="spellEnd"/>
      <w:r>
        <w:t xml:space="preserve"> para sorotipos adicionais, recomenda no esquema básico e no reforço, preferencialmente, as vacinas VPC20 ou VPC15. Independente da VPC utilizada, sempre no esquema 3+1 para os que iniciam até os 6 meses de idade. </w:t>
      </w:r>
    </w:p>
    <w:p w14:paraId="09DC209D" w14:textId="77777777" w:rsidR="00B1465D" w:rsidRDefault="00000000">
      <w:pPr>
        <w:ind w:left="-5" w:right="46"/>
      </w:pPr>
      <w:r>
        <w:t xml:space="preserve">Crianças menores de 6 anos com esquema completo ou incompleto de VPC10 se </w:t>
      </w:r>
      <w:proofErr w:type="spellStart"/>
      <w:r>
        <w:t>beneficiarão</w:t>
      </w:r>
      <w:proofErr w:type="spellEnd"/>
      <w:r>
        <w:t xml:space="preserve"> com dose(s) adicional(</w:t>
      </w:r>
      <w:proofErr w:type="spellStart"/>
      <w:r>
        <w:t>is</w:t>
      </w:r>
      <w:proofErr w:type="spellEnd"/>
      <w:r>
        <w:t xml:space="preserve">) com as vacinas VPC20 ou VPC15. Para </w:t>
      </w:r>
      <w:proofErr w:type="spellStart"/>
      <w:r>
        <w:t>proteção</w:t>
      </w:r>
      <w:proofErr w:type="spellEnd"/>
      <w:r>
        <w:t xml:space="preserve"> adequada contra os sorotipos adicionais, o esquema deve respeitar as recomendações de bula para a idade de início da </w:t>
      </w:r>
      <w:proofErr w:type="spellStart"/>
      <w:r>
        <w:t>vacinação</w:t>
      </w:r>
      <w:proofErr w:type="spellEnd"/>
      <w:r>
        <w:t xml:space="preserve">. </w:t>
      </w:r>
    </w:p>
    <w:p w14:paraId="5CDBDACF" w14:textId="77777777" w:rsidR="00B1465D" w:rsidRDefault="00000000">
      <w:pPr>
        <w:ind w:left="-5" w:right="46"/>
      </w:pPr>
      <w:r>
        <w:t xml:space="preserve">Crianças saudáveis com esquema completo com a VPC13 </w:t>
      </w:r>
      <w:proofErr w:type="spellStart"/>
      <w:r>
        <w:t>não</w:t>
      </w:r>
      <w:proofErr w:type="spellEnd"/>
      <w:r>
        <w:t xml:space="preserve"> necessitam revacinar com a VPC20 ou VPC15, exceto se forem de maior risco para doença pneumocócica invasiva – DPI, quando está indicada a </w:t>
      </w:r>
      <w:proofErr w:type="spellStart"/>
      <w:r>
        <w:t>complementação</w:t>
      </w:r>
      <w:proofErr w:type="spellEnd"/>
      <w:r>
        <w:t xml:space="preserve"> com a VPC20. </w:t>
      </w:r>
    </w:p>
    <w:p w14:paraId="796624BE" w14:textId="77777777" w:rsidR="00B1465D" w:rsidRDefault="00000000">
      <w:pPr>
        <w:ind w:left="-5" w:right="46"/>
      </w:pPr>
      <w:r>
        <w:t xml:space="preserve">As vacinas VPC20 e VPC15 </w:t>
      </w:r>
      <w:proofErr w:type="spellStart"/>
      <w:r>
        <w:t>são</w:t>
      </w:r>
      <w:proofErr w:type="spellEnd"/>
      <w:r>
        <w:t xml:space="preserve"> intercambiáveis em qualquer momento do esquema vacinal. </w:t>
      </w:r>
    </w:p>
    <w:p w14:paraId="5E9C7C4A" w14:textId="77777777" w:rsidR="00B1465D" w:rsidRDefault="00000000">
      <w:pPr>
        <w:ind w:left="-5" w:right="46"/>
      </w:pPr>
      <w:r>
        <w:t xml:space="preserve">O PNI recomenda esquema 2+1 com a PCV20, em um esquema de </w:t>
      </w:r>
      <w:proofErr w:type="spellStart"/>
      <w:r>
        <w:t>transição</w:t>
      </w:r>
      <w:proofErr w:type="spellEnd"/>
      <w:r>
        <w:t xml:space="preserve">: VPC20 aos 2 meses, VPC10 aos 4 meses e VPC20 aos 12 meses. </w:t>
      </w:r>
    </w:p>
    <w:p w14:paraId="3459190C" w14:textId="77777777" w:rsidR="00B1465D" w:rsidRDefault="00000000">
      <w:pPr>
        <w:spacing w:after="113" w:line="237" w:lineRule="auto"/>
        <w:ind w:left="0" w:right="0" w:firstLine="0"/>
        <w:jc w:val="left"/>
      </w:pPr>
      <w:r>
        <w:t xml:space="preserve">Ver Guia Técnico em: </w:t>
      </w:r>
      <w:r>
        <w:rPr>
          <w:color w:val="405789"/>
          <w:u w:val="single" w:color="405789"/>
        </w:rPr>
        <w:t>https://www.gov.br/saude/ pt-br/centrais-de-conteudo/publicacoes/guias-e-manuais/2026/guia-tecnico-para-introducao-da-vacina-pneumococica-20-valente-conjugada-n o-programa-nacional-de-imunizacoes.pdf</w:t>
      </w:r>
    </w:p>
    <w:p w14:paraId="5922A5FE" w14:textId="77777777" w:rsidR="00B1465D" w:rsidRDefault="00000000">
      <w:pPr>
        <w:numPr>
          <w:ilvl w:val="0"/>
          <w:numId w:val="2"/>
        </w:numPr>
        <w:spacing w:after="113"/>
        <w:ind w:right="46"/>
      </w:pPr>
      <w:r>
        <w:rPr>
          <w:b/>
        </w:rPr>
        <w:t>Meningocócicas conjugadas ACWY/C:</w:t>
      </w:r>
      <w:r>
        <w:t xml:space="preserve">  a </w:t>
      </w:r>
      <w:proofErr w:type="spellStart"/>
      <w:r>
        <w:t>SBIm</w:t>
      </w:r>
      <w:proofErr w:type="spellEnd"/>
      <w:r>
        <w:t xml:space="preserve"> recomenda preferencialmente a vacina </w:t>
      </w:r>
      <w:proofErr w:type="spellStart"/>
      <w:r>
        <w:t>MenACWY</w:t>
      </w:r>
      <w:proofErr w:type="spellEnd"/>
      <w:r>
        <w:t xml:space="preserve"> pela maior </w:t>
      </w:r>
      <w:proofErr w:type="spellStart"/>
      <w:r>
        <w:t>abrangência</w:t>
      </w:r>
      <w:proofErr w:type="spellEnd"/>
      <w:r>
        <w:t xml:space="preserve"> de sorogrupos. O PNI oferece Vacina </w:t>
      </w:r>
      <w:proofErr w:type="spellStart"/>
      <w:r>
        <w:t>menC</w:t>
      </w:r>
      <w:proofErr w:type="spellEnd"/>
      <w:r>
        <w:t xml:space="preserve"> aos 3 e 5 meses e </w:t>
      </w:r>
      <w:proofErr w:type="spellStart"/>
      <w:r>
        <w:t>menACWY</w:t>
      </w:r>
      <w:proofErr w:type="spellEnd"/>
      <w:r>
        <w:t xml:space="preserve"> no reforço aos 12 meses. Diferentes vacinas meningocócicas ACWY </w:t>
      </w:r>
      <w:proofErr w:type="spellStart"/>
      <w:r>
        <w:t>estão</w:t>
      </w:r>
      <w:proofErr w:type="spellEnd"/>
      <w:r>
        <w:t xml:space="preserve"> licenciadas no Brasil e os esquemas e idades de licenciamento variam conforme o fabricante. Crianças vacinadas com </w:t>
      </w:r>
      <w:proofErr w:type="spellStart"/>
      <w:r>
        <w:t>MenC</w:t>
      </w:r>
      <w:proofErr w:type="spellEnd"/>
      <w:r>
        <w:t xml:space="preserve"> podem se beneficiar com o uso da </w:t>
      </w:r>
      <w:proofErr w:type="spellStart"/>
      <w:r>
        <w:t>MenACWY</w:t>
      </w:r>
      <w:proofErr w:type="spellEnd"/>
      <w:r>
        <w:t xml:space="preserve"> e, nesse caso, deve ser respeitado intervalo mínimo de um </w:t>
      </w:r>
      <w:proofErr w:type="spellStart"/>
      <w:r>
        <w:t>mês</w:t>
      </w:r>
      <w:proofErr w:type="spellEnd"/>
      <w:r>
        <w:t xml:space="preserve"> da última dose de </w:t>
      </w:r>
      <w:proofErr w:type="spellStart"/>
      <w:r>
        <w:t>MenC</w:t>
      </w:r>
      <w:proofErr w:type="spellEnd"/>
      <w:r>
        <w:t xml:space="preserve">. Para </w:t>
      </w:r>
      <w:proofErr w:type="spellStart"/>
      <w:r>
        <w:t>proteção</w:t>
      </w:r>
      <w:proofErr w:type="spellEnd"/>
      <w:r>
        <w:t xml:space="preserve"> adequada dos </w:t>
      </w:r>
      <w:proofErr w:type="spellStart"/>
      <w:r>
        <w:t>três</w:t>
      </w:r>
      <w:proofErr w:type="spellEnd"/>
      <w:r>
        <w:t xml:space="preserve"> sorogrupos adicionais, deve-se adotar o esquema recomendado pelo fabricante para a idade do início, independente </w:t>
      </w:r>
      <w:r>
        <w:t xml:space="preserve">da </w:t>
      </w:r>
      <w:proofErr w:type="spellStart"/>
      <w:r>
        <w:t>vacinação</w:t>
      </w:r>
      <w:proofErr w:type="spellEnd"/>
      <w:r>
        <w:t xml:space="preserve"> prévia com </w:t>
      </w:r>
      <w:proofErr w:type="spellStart"/>
      <w:r>
        <w:t>MenC</w:t>
      </w:r>
      <w:proofErr w:type="spellEnd"/>
      <w:r>
        <w:t xml:space="preserve">. A </w:t>
      </w:r>
      <w:proofErr w:type="spellStart"/>
      <w:r>
        <w:t>SBIm</w:t>
      </w:r>
      <w:proofErr w:type="spellEnd"/>
      <w:r>
        <w:t xml:space="preserve"> recomenda um segundo reforço da vacina </w:t>
      </w:r>
      <w:proofErr w:type="spellStart"/>
      <w:r>
        <w:t>MenACWY</w:t>
      </w:r>
      <w:proofErr w:type="spellEnd"/>
      <w:r>
        <w:t xml:space="preserve"> para crianças entre 5-6 anos de idade (ou cinco anos após a última dose) pela </w:t>
      </w:r>
      <w:proofErr w:type="spellStart"/>
      <w:r>
        <w:t>diminuição</w:t>
      </w:r>
      <w:proofErr w:type="spellEnd"/>
      <w:r>
        <w:t xml:space="preserve"> dos títulos de anticorpos protetores observada após esse período com todas as vacinas meningocócicas conjugadas.</w:t>
      </w:r>
    </w:p>
    <w:p w14:paraId="2146E9CD" w14:textId="77777777" w:rsidR="00B1465D" w:rsidRDefault="00000000">
      <w:pPr>
        <w:numPr>
          <w:ilvl w:val="0"/>
          <w:numId w:val="2"/>
        </w:numPr>
        <w:spacing w:after="112"/>
        <w:ind w:right="46"/>
      </w:pPr>
      <w:r>
        <w:rPr>
          <w:b/>
        </w:rPr>
        <w:t xml:space="preserve">Meningocócica B: </w:t>
      </w:r>
      <w:r>
        <w:t xml:space="preserve">pode ser usada a partir de 2 meses de idade, idealmente iniciando com uma dose aos 3 meses, outra aos 5 meses e uma dose de reforço entre 12 e 15 meses (esquema 2+1). Crianças de 12 a 23 meses devem receber duas doses com intervalo de dois meses entre elas com uma dose de reforço entre 12 e 23 meses após esquema primário. A partir dos 24 meses de idade: duas doses com intervalo mínimo de um a dois meses entre elas – </w:t>
      </w:r>
      <w:proofErr w:type="spellStart"/>
      <w:r>
        <w:t>não</w:t>
      </w:r>
      <w:proofErr w:type="spellEnd"/>
      <w:r>
        <w:t xml:space="preserve"> foi estabelecida ainda a necessidade de dose(s) de reforço. Em grupos de alto risco para doença meningocócica, consulte os Calendários de </w:t>
      </w:r>
      <w:proofErr w:type="spellStart"/>
      <w:r>
        <w:t>vacinação</w:t>
      </w:r>
      <w:proofErr w:type="spellEnd"/>
      <w:r>
        <w:t xml:space="preserve"> </w:t>
      </w:r>
      <w:proofErr w:type="spellStart"/>
      <w:r>
        <w:t>SBIm</w:t>
      </w:r>
      <w:proofErr w:type="spellEnd"/>
      <w:r>
        <w:t xml:space="preserve"> pacientes especiais.</w:t>
      </w:r>
    </w:p>
    <w:p w14:paraId="38841FDC" w14:textId="77777777" w:rsidR="00B1465D" w:rsidRDefault="00000000">
      <w:pPr>
        <w:numPr>
          <w:ilvl w:val="0"/>
          <w:numId w:val="2"/>
        </w:numPr>
        <w:spacing w:after="113"/>
        <w:ind w:right="46"/>
      </w:pPr>
      <w:r>
        <w:rPr>
          <w:b/>
        </w:rPr>
        <w:t xml:space="preserve">Influenza: </w:t>
      </w:r>
      <w:r>
        <w:t xml:space="preserve">é recomendada para todas as crianças a partir dos 6 meses de idade. Quando administrada pela primeira vez em crianças menores de 9 anos, aplicar duas doses com intervalo de 30 dias. Em crianças com fatores de risco e em </w:t>
      </w:r>
      <w:proofErr w:type="spellStart"/>
      <w:r>
        <w:t>situação</w:t>
      </w:r>
      <w:proofErr w:type="spellEnd"/>
      <w:r>
        <w:t xml:space="preserve"> epidemiológica que justifique, pode ser considerada uma segunda dose, a partir de </w:t>
      </w:r>
      <w:proofErr w:type="spellStart"/>
      <w:r>
        <w:t>três</w:t>
      </w:r>
      <w:proofErr w:type="spellEnd"/>
      <w:r>
        <w:t xml:space="preserve"> meses após a dose anual. A campanha de </w:t>
      </w:r>
      <w:proofErr w:type="spellStart"/>
      <w:r>
        <w:t>vacinação</w:t>
      </w:r>
      <w:proofErr w:type="spellEnd"/>
      <w:r>
        <w:t xml:space="preserve"> nos Estados da </w:t>
      </w:r>
      <w:proofErr w:type="spellStart"/>
      <w:r>
        <w:t>Região</w:t>
      </w:r>
      <w:proofErr w:type="spellEnd"/>
      <w:r>
        <w:t xml:space="preserve"> Norte tem início antecipado em </w:t>
      </w:r>
      <w:proofErr w:type="spellStart"/>
      <w:r>
        <w:t>relação</w:t>
      </w:r>
      <w:proofErr w:type="spellEnd"/>
      <w:r>
        <w:t xml:space="preserve"> às outras regiões do país (entre novembro e fevereiro), coincidindo com a sazonalidade regional. A vacina utilizada tem a </w:t>
      </w:r>
      <w:proofErr w:type="spellStart"/>
      <w:r>
        <w:t>formulação</w:t>
      </w:r>
      <w:proofErr w:type="spellEnd"/>
      <w:r>
        <w:t xml:space="preserve"> recomendada pela OMS para o Hemisfério Norte (HN). A vacina do Hemisfério Sul poderá ser recomendada como dose extra para crianças em situações de risco ou para brasileiros viajantes internacionais ou com destino aos estados do Norte do país. A efetividade vai depender do match (</w:t>
      </w:r>
      <w:proofErr w:type="spellStart"/>
      <w:r>
        <w:t>combinação</w:t>
      </w:r>
      <w:proofErr w:type="spellEnd"/>
      <w:r>
        <w:t>) com as cepas circulantes quando da dose extra.</w:t>
      </w:r>
    </w:p>
    <w:p w14:paraId="3FC71237" w14:textId="77777777" w:rsidR="00B1465D" w:rsidRDefault="00000000">
      <w:pPr>
        <w:numPr>
          <w:ilvl w:val="0"/>
          <w:numId w:val="2"/>
        </w:numPr>
        <w:spacing w:after="113"/>
        <w:ind w:right="4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BD4E9E" wp14:editId="407DFF55">
                <wp:simplePos x="0" y="0"/>
                <wp:positionH relativeFrom="page">
                  <wp:posOffset>109435</wp:posOffset>
                </wp:positionH>
                <wp:positionV relativeFrom="page">
                  <wp:posOffset>7964227</wp:posOffset>
                </wp:positionV>
                <wp:extent cx="75565" cy="675767"/>
                <wp:effectExtent l="0" t="0" r="0" b="0"/>
                <wp:wrapSquare wrapText="bothSides"/>
                <wp:docPr id="15887" name="Group 15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" cy="675767"/>
                          <a:chOff x="0" y="0"/>
                          <a:chExt cx="75565" cy="675767"/>
                        </a:xfrm>
                      </wpg:grpSpPr>
                      <wps:wsp>
                        <wps:cNvPr id="1697" name="Rectangle 1697"/>
                        <wps:cNvSpPr/>
                        <wps:spPr>
                          <a:xfrm rot="-5399999">
                            <a:off x="-192488" y="383343"/>
                            <a:ext cx="486630" cy="98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C3EC3" w14:textId="77777777" w:rsidR="00B1465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Atualizado</w:t>
                              </w:r>
                              <w:r>
                                <w:rPr>
                                  <w:spacing w:val="-13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em</w:t>
                              </w:r>
                              <w:r>
                                <w:rPr>
                                  <w:spacing w:val="-2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 rot="-5399999">
                            <a:off x="-155818" y="53560"/>
                            <a:ext cx="412141" cy="100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0E1CC" w14:textId="77777777" w:rsidR="00B1465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0"/>
                                </w:rPr>
                                <w:t>17.06.2026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D4E9E" id="Group 15887" o:spid="_x0000_s1026" style="position:absolute;left:0;text-align:left;margin-left:8.6pt;margin-top:627.1pt;width:5.95pt;height:53.2pt;z-index:251659264;mso-position-horizontal-relative:page;mso-position-vertical-relative:page" coordsize="755,6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">
                <v:rect id="Rectangle 1697" o:spid="_x0000_s1027" style="position:absolute;left:-1925;top:3833;width:4866;height:9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" filled="f" stroked="f">
                  <v:textbox inset="0,0,0,0">
                    <w:txbxContent>
                      <w:p w14:paraId="25AC3EC3" w14:textId="77777777" w:rsidR="00B1465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Atualizado</w:t>
                        </w:r>
                        <w:r>
                          <w:rPr>
                            <w:spacing w:val="-139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em</w:t>
                        </w:r>
                        <w:r>
                          <w:rPr>
                            <w:spacing w:val="-2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8" o:spid="_x0000_s1028" style="position:absolute;left:-1557;top:535;width:4120;height:100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" filled="f" stroked="f">
                  <v:textbox inset="0,0,0,0">
                    <w:txbxContent>
                      <w:p w14:paraId="37B0E1CC" w14:textId="77777777" w:rsidR="00B1465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0"/>
                          </w:rPr>
                          <w:t>17.06.2026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Febre amarela: </w:t>
      </w:r>
      <w:r>
        <w:t xml:space="preserve">Duas doses: aos 9 meses e aos 4 anos de idade. </w:t>
      </w:r>
      <w:proofErr w:type="spellStart"/>
      <w:r>
        <w:t>Recomendação</w:t>
      </w:r>
      <w:proofErr w:type="spellEnd"/>
      <w:r>
        <w:t xml:space="preserve"> do PNI: se recebeu a primeira dose antes dos 5 anos de idade, indicada uma segunda dose, independentemente da idade atual; se aplicada a partir dos 5 anos: dose única. </w:t>
      </w:r>
      <w:proofErr w:type="spellStart"/>
      <w:r>
        <w:t>Recomendação</w:t>
      </w:r>
      <w:proofErr w:type="spellEnd"/>
      <w:r>
        <w:t xml:space="preserve"> da </w:t>
      </w:r>
      <w:proofErr w:type="spellStart"/>
      <w:r>
        <w:t>SBIm</w:t>
      </w:r>
      <w:proofErr w:type="spellEnd"/>
      <w:r>
        <w:t xml:space="preserve">: como há possibilidade de falha vacinal mesmo para quem receber a primeira dose a partir dos 5 anos, a </w:t>
      </w:r>
      <w:proofErr w:type="spellStart"/>
      <w:r>
        <w:t>SBIm</w:t>
      </w:r>
      <w:proofErr w:type="spellEnd"/>
      <w:r>
        <w:t xml:space="preserve"> recomenda uma segunda dose 10 anos após. Contraindicada para imunodeprimidos, mas se o risco de adquirir a doença superar os riscos potenciais da </w:t>
      </w:r>
      <w:proofErr w:type="spellStart"/>
      <w:r>
        <w:t>vacinação</w:t>
      </w:r>
      <w:proofErr w:type="spellEnd"/>
      <w:r>
        <w:t xml:space="preserve">, o médico deve avaliar seu uso (consulte os Calendários de </w:t>
      </w:r>
      <w:proofErr w:type="spellStart"/>
      <w:r>
        <w:t>vacinação</w:t>
      </w:r>
      <w:proofErr w:type="spellEnd"/>
      <w:r>
        <w:t xml:space="preserve"> </w:t>
      </w:r>
      <w:proofErr w:type="spellStart"/>
      <w:r>
        <w:t>SBIm</w:t>
      </w:r>
      <w:proofErr w:type="spellEnd"/>
      <w:r>
        <w:t xml:space="preserve"> pacientes especiais). Recomenda-se que crianças menores de 2 anos de idade, sempre que possível, </w:t>
      </w:r>
      <w:proofErr w:type="spellStart"/>
      <w:r>
        <w:t>não</w:t>
      </w:r>
      <w:proofErr w:type="spellEnd"/>
      <w:r>
        <w:t xml:space="preserve"> recebam as vacinas febre amarela e tríplice viral no mesmo dia, </w:t>
      </w:r>
      <w:r>
        <w:t xml:space="preserve">respeitando-se um intervalo de 30 dias entre elas. Essa vacina pode ser exigida para maiores de 9 meses de vida para </w:t>
      </w:r>
      <w:proofErr w:type="spellStart"/>
      <w:r>
        <w:t>emissão</w:t>
      </w:r>
      <w:proofErr w:type="spellEnd"/>
      <w:r>
        <w:t xml:space="preserve"> do CIVP, atendendo </w:t>
      </w:r>
      <w:proofErr w:type="spellStart"/>
      <w:r>
        <w:t>exigências</w:t>
      </w:r>
      <w:proofErr w:type="spellEnd"/>
      <w:r>
        <w:t xml:space="preserve"> sanitárias de alguns destinos internacionais. Neste caso, deve ser aplicada até dez dias antes de viajar. </w:t>
      </w:r>
    </w:p>
    <w:p w14:paraId="531292E8" w14:textId="77777777" w:rsidR="00B1465D" w:rsidRDefault="00000000">
      <w:pPr>
        <w:numPr>
          <w:ilvl w:val="0"/>
          <w:numId w:val="2"/>
        </w:numPr>
        <w:spacing w:after="111"/>
        <w:ind w:right="46"/>
      </w:pPr>
      <w:r>
        <w:rPr>
          <w:b/>
        </w:rPr>
        <w:t xml:space="preserve">Hepatite A: </w:t>
      </w:r>
      <w:r>
        <w:t xml:space="preserve">para crianças a partir de 12 meses de idade </w:t>
      </w:r>
      <w:proofErr w:type="spellStart"/>
      <w:r>
        <w:t>não</w:t>
      </w:r>
      <w:proofErr w:type="spellEnd"/>
      <w:r>
        <w:t xml:space="preserve"> vacinadas para hepatite B no primeiro ano de vida, a vacina combinada hepatites A e B na </w:t>
      </w:r>
      <w:proofErr w:type="spellStart"/>
      <w:r>
        <w:t>formulação</w:t>
      </w:r>
      <w:proofErr w:type="spellEnd"/>
      <w:r>
        <w:t xml:space="preserve"> adulto pode ser considerada para substituir a </w:t>
      </w:r>
      <w:proofErr w:type="spellStart"/>
      <w:r>
        <w:t>vacinação</w:t>
      </w:r>
      <w:proofErr w:type="spellEnd"/>
      <w:r>
        <w:t xml:space="preserve"> isolada (A ou B) com esquema de duas doses (0-6 meses).</w:t>
      </w:r>
    </w:p>
    <w:p w14:paraId="0A9AC0B3" w14:textId="77777777" w:rsidR="00B1465D" w:rsidRDefault="00000000">
      <w:pPr>
        <w:numPr>
          <w:ilvl w:val="0"/>
          <w:numId w:val="2"/>
        </w:numPr>
        <w:spacing w:after="112"/>
        <w:ind w:right="46"/>
      </w:pPr>
      <w:r>
        <w:rPr>
          <w:b/>
        </w:rPr>
        <w:t xml:space="preserve">Sarampo, caxumba e rubéola: </w:t>
      </w:r>
      <w:r>
        <w:t xml:space="preserve">para crianças com esquema completo, </w:t>
      </w:r>
      <w:proofErr w:type="spellStart"/>
      <w:r>
        <w:t>não</w:t>
      </w:r>
      <w:proofErr w:type="spellEnd"/>
      <w:r>
        <w:t xml:space="preserve"> há </w:t>
      </w:r>
      <w:proofErr w:type="spellStart"/>
      <w:r>
        <w:t>evidências</w:t>
      </w:r>
      <w:proofErr w:type="spellEnd"/>
      <w:r>
        <w:t xml:space="preserve"> que justifiquem uma terceira dose como rotina, podendo ser considerada em situações de risco epidemiológico, como surtos de caxumba e/ou sarampo. Em </w:t>
      </w:r>
      <w:proofErr w:type="spellStart"/>
      <w:r>
        <w:t>situação</w:t>
      </w:r>
      <w:proofErr w:type="spellEnd"/>
      <w:r>
        <w:t xml:space="preserve"> de risco para o sarampo – por exemplo, surto ou </w:t>
      </w:r>
      <w:proofErr w:type="spellStart"/>
      <w:r>
        <w:t>exposição</w:t>
      </w:r>
      <w:proofErr w:type="spellEnd"/>
      <w:r>
        <w:t xml:space="preserve"> domiciliar – a primeira dose deve ser aplicada a partir de 6 meses de idade. Nesses casos, a </w:t>
      </w:r>
      <w:proofErr w:type="spellStart"/>
      <w:r>
        <w:t>aplicação</w:t>
      </w:r>
      <w:proofErr w:type="spellEnd"/>
      <w:r>
        <w:t xml:space="preserve"> de mais duas doses após a idade de 1 ano ainda será necessária. Veja considerações sobre o uso da vacina </w:t>
      </w:r>
      <w:proofErr w:type="spellStart"/>
      <w:r>
        <w:t>tetraviral</w:t>
      </w:r>
      <w:proofErr w:type="spellEnd"/>
      <w:r>
        <w:t xml:space="preserve"> (SCRV) no item 15. O uso em imunodeprimidos deve ser avaliado pelo médico (consulte os Calendários de </w:t>
      </w:r>
      <w:proofErr w:type="spellStart"/>
      <w:r>
        <w:t>vacinação</w:t>
      </w:r>
      <w:proofErr w:type="spellEnd"/>
      <w:r>
        <w:t xml:space="preserve"> </w:t>
      </w:r>
      <w:proofErr w:type="spellStart"/>
      <w:r>
        <w:t>SBIm</w:t>
      </w:r>
      <w:proofErr w:type="spellEnd"/>
      <w:r>
        <w:t xml:space="preserve"> pacientes especiais). </w:t>
      </w:r>
    </w:p>
    <w:p w14:paraId="6DDF5483" w14:textId="77777777" w:rsidR="00B1465D" w:rsidRDefault="00000000">
      <w:pPr>
        <w:numPr>
          <w:ilvl w:val="0"/>
          <w:numId w:val="2"/>
        </w:numPr>
        <w:spacing w:after="108"/>
        <w:ind w:right="46"/>
      </w:pPr>
      <w:r>
        <w:rPr>
          <w:b/>
        </w:rPr>
        <w:t xml:space="preserve">Varicela: </w:t>
      </w:r>
      <w:r>
        <w:t xml:space="preserve"> é considerada adequadamente vacinada a criança que tenha recebido duas doses da vacina após 1 ano de idade. Em </w:t>
      </w:r>
      <w:proofErr w:type="spellStart"/>
      <w:r>
        <w:t>situação</w:t>
      </w:r>
      <w:proofErr w:type="spellEnd"/>
      <w:r>
        <w:t xml:space="preserve"> de risco – por exemplo, surto de varicela ou </w:t>
      </w:r>
      <w:proofErr w:type="spellStart"/>
      <w:r>
        <w:t>exposição</w:t>
      </w:r>
      <w:proofErr w:type="spellEnd"/>
      <w:r>
        <w:t xml:space="preserve"> domiciliar – a primeira dose pode ser aplicada a partir de 9 meses de idade. Nesses casos, a </w:t>
      </w:r>
      <w:proofErr w:type="spellStart"/>
      <w:r>
        <w:t>aplicação</w:t>
      </w:r>
      <w:proofErr w:type="spellEnd"/>
      <w:r>
        <w:t xml:space="preserve"> de mais duas doses após a idade de 1 </w:t>
      </w:r>
    </w:p>
    <w:p w14:paraId="2BBA1C5A" w14:textId="77777777" w:rsidR="00B1465D" w:rsidRDefault="00000000">
      <w:pPr>
        <w:spacing w:after="108"/>
        <w:ind w:left="-5" w:right="46"/>
      </w:pPr>
      <w:r>
        <w:t xml:space="preserve">ano ainda será necessária. Veja considerações sobre o uso da vacina </w:t>
      </w:r>
      <w:proofErr w:type="spellStart"/>
      <w:r>
        <w:t>tetraviral</w:t>
      </w:r>
      <w:proofErr w:type="spellEnd"/>
      <w:r>
        <w:t xml:space="preserve"> (SCRV) no item 15. O uso em imunodeprimidos deve ser avaliado pelo </w:t>
      </w:r>
      <w:proofErr w:type="gramStart"/>
      <w:r>
        <w:t>médico  (</w:t>
      </w:r>
      <w:proofErr w:type="gramEnd"/>
      <w:r>
        <w:t xml:space="preserve">consulte os Calendários de </w:t>
      </w:r>
      <w:proofErr w:type="spellStart"/>
      <w:r>
        <w:t>vacinação</w:t>
      </w:r>
      <w:proofErr w:type="spellEnd"/>
      <w:r>
        <w:t xml:space="preserve"> </w:t>
      </w:r>
      <w:proofErr w:type="spellStart"/>
      <w:r>
        <w:t>SBIm</w:t>
      </w:r>
      <w:proofErr w:type="spellEnd"/>
      <w:r>
        <w:t xml:space="preserve"> pacientes especiais).</w:t>
      </w:r>
    </w:p>
    <w:p w14:paraId="1DDE7ECA" w14:textId="77777777" w:rsidR="00B1465D" w:rsidRDefault="00000000">
      <w:pPr>
        <w:numPr>
          <w:ilvl w:val="0"/>
          <w:numId w:val="2"/>
        </w:numPr>
        <w:spacing w:after="112"/>
        <w:ind w:right="46"/>
      </w:pPr>
      <w:proofErr w:type="spellStart"/>
      <w:r>
        <w:rPr>
          <w:b/>
        </w:rPr>
        <w:t>Tetraviral</w:t>
      </w:r>
      <w:proofErr w:type="spellEnd"/>
      <w:r>
        <w:rPr>
          <w:b/>
        </w:rPr>
        <w:t xml:space="preserve"> (SCRV):</w:t>
      </w:r>
      <w:r>
        <w:t xml:space="preserve"> aos 12 meses, na mesma visita, aplicar a primeira dose </w:t>
      </w:r>
      <w:proofErr w:type="gramStart"/>
      <w:r>
        <w:t>da tríplice viral</w:t>
      </w:r>
      <w:proofErr w:type="gramEnd"/>
      <w:r>
        <w:t xml:space="preserve"> e varicela em administrações separadas </w:t>
      </w:r>
      <w:r>
        <w:t xml:space="preserve">(SCR + V) ou com a vacina </w:t>
      </w:r>
      <w:proofErr w:type="spellStart"/>
      <w:r>
        <w:t>tetraviral</w:t>
      </w:r>
      <w:proofErr w:type="spellEnd"/>
      <w:r>
        <w:t xml:space="preserve"> (SCRV). A segunda dose de tríplice viral e varicela, preferencialmente com vacina </w:t>
      </w:r>
      <w:proofErr w:type="spellStart"/>
      <w:r>
        <w:t>tetraviral</w:t>
      </w:r>
      <w:proofErr w:type="spellEnd"/>
      <w:r>
        <w:t xml:space="preserve">, pode ser administrada a partir dos 15 meses de idade, mantendo intervalo de </w:t>
      </w:r>
      <w:proofErr w:type="spellStart"/>
      <w:r>
        <w:t>três</w:t>
      </w:r>
      <w:proofErr w:type="spellEnd"/>
      <w:r>
        <w:t xml:space="preserve"> meses da dose anterior de SCR, V ou SCRV.</w:t>
      </w:r>
    </w:p>
    <w:p w14:paraId="7BB2D9E8" w14:textId="77777777" w:rsidR="00B1465D" w:rsidRDefault="00000000">
      <w:pPr>
        <w:numPr>
          <w:ilvl w:val="0"/>
          <w:numId w:val="2"/>
        </w:numPr>
        <w:spacing w:after="109"/>
        <w:ind w:right="46"/>
      </w:pPr>
      <w:r>
        <w:rPr>
          <w:b/>
        </w:rPr>
        <w:t xml:space="preserve">HPV: </w:t>
      </w:r>
      <w:r>
        <w:t xml:space="preserve">duas vacinas </w:t>
      </w:r>
      <w:proofErr w:type="spellStart"/>
      <w:r>
        <w:t>estão</w:t>
      </w:r>
      <w:proofErr w:type="spellEnd"/>
      <w:r>
        <w:t xml:space="preserve"> disponíveis no Brasil, HPV4 e HPV9. A </w:t>
      </w:r>
      <w:proofErr w:type="spellStart"/>
      <w:r>
        <w:t>SBIm</w:t>
      </w:r>
      <w:proofErr w:type="spellEnd"/>
      <w:r>
        <w:t xml:space="preserve">, com o intuito de ampliar a </w:t>
      </w:r>
      <w:proofErr w:type="spellStart"/>
      <w:r>
        <w:t>proteção</w:t>
      </w:r>
      <w:proofErr w:type="spellEnd"/>
      <w:r>
        <w:t xml:space="preserve"> para os tipos adicionais, recomenda, sempre que possível, o uso preferencial da vacina HPV9 em duas doses, assim como a </w:t>
      </w:r>
      <w:proofErr w:type="spellStart"/>
      <w:r>
        <w:t>revacinação</w:t>
      </w:r>
      <w:proofErr w:type="spellEnd"/>
      <w:r>
        <w:t xml:space="preserve"> daqueles anteriormente vacinados com HPV2 ou HPV4. Na impossibilidade do uso de HPV9, a HPV4 deve ser recomendada e está disponível gratuitamente nas UBS para meninas e meninos de 9 a 14 anos em dose única.</w:t>
      </w:r>
    </w:p>
    <w:p w14:paraId="175E80E9" w14:textId="77777777" w:rsidR="00B1465D" w:rsidRDefault="00000000">
      <w:pPr>
        <w:numPr>
          <w:ilvl w:val="0"/>
          <w:numId w:val="3"/>
        </w:numPr>
        <w:ind w:right="46" w:hanging="170"/>
      </w:pPr>
      <w:proofErr w:type="spellStart"/>
      <w:r>
        <w:t>Não</w:t>
      </w:r>
      <w:proofErr w:type="spellEnd"/>
      <w:r>
        <w:t xml:space="preserve"> vacinados anteriormente: duas doses de HPV9 (0-6 meses); </w:t>
      </w:r>
      <w:proofErr w:type="gramStart"/>
      <w:r>
        <w:t>• Vacinados</w:t>
      </w:r>
      <w:proofErr w:type="gramEnd"/>
      <w:r>
        <w:t xml:space="preserve"> com uma dose de HPV4: </w:t>
      </w:r>
    </w:p>
    <w:p w14:paraId="1F842637" w14:textId="77777777" w:rsidR="00B1465D" w:rsidRDefault="00000000">
      <w:pPr>
        <w:numPr>
          <w:ilvl w:val="0"/>
          <w:numId w:val="3"/>
        </w:numPr>
        <w:ind w:right="46" w:hanging="170"/>
      </w:pPr>
      <w:r>
        <w:t>Duas doses de HPV9 (0-6 meses), respeitando o intervalo de seis meses da 1ª dose de HPV4;</w:t>
      </w:r>
    </w:p>
    <w:p w14:paraId="2BBACEF8" w14:textId="77777777" w:rsidR="00B1465D" w:rsidRDefault="00000000">
      <w:pPr>
        <w:numPr>
          <w:ilvl w:val="0"/>
          <w:numId w:val="3"/>
        </w:numPr>
        <w:ind w:right="46" w:hanging="170"/>
      </w:pPr>
      <w:r>
        <w:t xml:space="preserve">na falta de HPV4, a </w:t>
      </w:r>
      <w:proofErr w:type="spellStart"/>
      <w:r>
        <w:t>aplicação</w:t>
      </w:r>
      <w:proofErr w:type="spellEnd"/>
      <w:r>
        <w:t xml:space="preserve"> de uma dose de HPV9 é segura, no entanto, completa a </w:t>
      </w:r>
      <w:proofErr w:type="spellStart"/>
      <w:r>
        <w:t>proteção</w:t>
      </w:r>
      <w:proofErr w:type="spellEnd"/>
      <w:r>
        <w:t xml:space="preserve"> apenas para os quatro tipos comuns às duas vacinas, desde que respeitado intervalo de seis meses.</w:t>
      </w:r>
    </w:p>
    <w:tbl>
      <w:tblPr>
        <w:tblStyle w:val="TableGrid"/>
        <w:tblpPr w:vertAnchor="text" w:horzAnchor="margin" w:tblpX="9593" w:tblpY="1061"/>
        <w:tblOverlap w:val="never"/>
        <w:tblW w:w="8777" w:type="dxa"/>
        <w:tblInd w:w="0" w:type="dxa"/>
        <w:tblCellMar>
          <w:top w:w="0" w:type="dxa"/>
          <w:left w:w="80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3317"/>
        <w:gridCol w:w="921"/>
        <w:gridCol w:w="921"/>
        <w:gridCol w:w="1020"/>
        <w:gridCol w:w="866"/>
        <w:gridCol w:w="866"/>
        <w:gridCol w:w="866"/>
      </w:tblGrid>
      <w:tr w:rsidR="00B1465D" w14:paraId="3A86AFF5" w14:textId="77777777">
        <w:trPr>
          <w:trHeight w:val="240"/>
        </w:trPr>
        <w:tc>
          <w:tcPr>
            <w:tcW w:w="3317" w:type="dxa"/>
            <w:tcBorders>
              <w:top w:val="single" w:sz="16" w:space="0" w:color="539B9D"/>
              <w:left w:val="single" w:sz="4" w:space="0" w:color="539B9D"/>
              <w:bottom w:val="nil"/>
              <w:right w:val="single" w:sz="4" w:space="0" w:color="88C8C9"/>
            </w:tcBorders>
            <w:shd w:val="clear" w:color="auto" w:fill="539B9D"/>
          </w:tcPr>
          <w:p w14:paraId="38A2C268" w14:textId="77777777" w:rsidR="00B1465D" w:rsidRDefault="00B1465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21" w:type="dxa"/>
            <w:tcBorders>
              <w:top w:val="single" w:sz="16" w:space="0" w:color="539B9D"/>
              <w:left w:val="single" w:sz="4" w:space="0" w:color="88C8C9"/>
              <w:bottom w:val="single" w:sz="4" w:space="0" w:color="88C8C9"/>
              <w:right w:val="nil"/>
            </w:tcBorders>
            <w:shd w:val="clear" w:color="auto" w:fill="539B9D"/>
          </w:tcPr>
          <w:p w14:paraId="5708E01A" w14:textId="77777777" w:rsidR="00B1465D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FFFEFD"/>
                <w:sz w:val="14"/>
              </w:rPr>
              <w:t xml:space="preserve"> </w:t>
            </w:r>
            <w:r>
              <w:rPr>
                <w:b/>
                <w:color w:val="FFFEFD"/>
                <w:sz w:val="14"/>
              </w:rPr>
              <w:tab/>
              <w:t xml:space="preserve"> </w:t>
            </w:r>
          </w:p>
        </w:tc>
        <w:tc>
          <w:tcPr>
            <w:tcW w:w="921" w:type="dxa"/>
            <w:tcBorders>
              <w:top w:val="single" w:sz="16" w:space="0" w:color="539B9D"/>
              <w:left w:val="nil"/>
              <w:bottom w:val="single" w:sz="4" w:space="0" w:color="88C8C9"/>
              <w:right w:val="nil"/>
            </w:tcBorders>
            <w:shd w:val="clear" w:color="auto" w:fill="539B9D"/>
          </w:tcPr>
          <w:p w14:paraId="0A8A3ADD" w14:textId="77777777" w:rsidR="00B1465D" w:rsidRDefault="00000000">
            <w:pPr>
              <w:spacing w:after="0" w:line="259" w:lineRule="auto"/>
              <w:ind w:left="316" w:right="0" w:firstLine="0"/>
              <w:jc w:val="center"/>
            </w:pPr>
            <w:r>
              <w:rPr>
                <w:b/>
                <w:color w:val="FFFEFD"/>
                <w:sz w:val="14"/>
              </w:rPr>
              <w:t xml:space="preserve"> </w:t>
            </w:r>
          </w:p>
        </w:tc>
        <w:tc>
          <w:tcPr>
            <w:tcW w:w="1886" w:type="dxa"/>
            <w:gridSpan w:val="2"/>
            <w:tcBorders>
              <w:top w:val="single" w:sz="16" w:space="0" w:color="539B9D"/>
              <w:left w:val="nil"/>
              <w:bottom w:val="single" w:sz="4" w:space="0" w:color="88C8C9"/>
              <w:right w:val="nil"/>
            </w:tcBorders>
            <w:shd w:val="clear" w:color="auto" w:fill="539B9D"/>
          </w:tcPr>
          <w:p w14:paraId="7400D599" w14:textId="77777777" w:rsidR="00B1465D" w:rsidRDefault="00000000">
            <w:pPr>
              <w:spacing w:after="0" w:line="259" w:lineRule="auto"/>
              <w:ind w:left="72" w:right="0" w:firstLine="0"/>
              <w:jc w:val="center"/>
            </w:pPr>
            <w:r>
              <w:rPr>
                <w:b/>
                <w:color w:val="FFFEFD"/>
                <w:sz w:val="14"/>
              </w:rPr>
              <w:t xml:space="preserve">Composição vacinal </w:t>
            </w:r>
          </w:p>
        </w:tc>
        <w:tc>
          <w:tcPr>
            <w:tcW w:w="866" w:type="dxa"/>
            <w:tcBorders>
              <w:top w:val="single" w:sz="16" w:space="0" w:color="539B9D"/>
              <w:left w:val="nil"/>
              <w:bottom w:val="single" w:sz="4" w:space="0" w:color="88C8C9"/>
              <w:right w:val="nil"/>
            </w:tcBorders>
            <w:shd w:val="clear" w:color="auto" w:fill="539B9D"/>
          </w:tcPr>
          <w:p w14:paraId="5F0F39F4" w14:textId="77777777" w:rsidR="00B1465D" w:rsidRDefault="00B1465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66" w:type="dxa"/>
            <w:tcBorders>
              <w:top w:val="single" w:sz="16" w:space="0" w:color="539B9D"/>
              <w:left w:val="nil"/>
              <w:bottom w:val="single" w:sz="4" w:space="0" w:color="88C8C9"/>
              <w:right w:val="single" w:sz="4" w:space="0" w:color="539B9D"/>
            </w:tcBorders>
            <w:shd w:val="clear" w:color="auto" w:fill="539B9D"/>
          </w:tcPr>
          <w:p w14:paraId="662F2AB8" w14:textId="77777777" w:rsidR="00B1465D" w:rsidRDefault="00B1465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1465D" w14:paraId="6A2A4AC9" w14:textId="77777777">
        <w:trPr>
          <w:trHeight w:val="240"/>
        </w:trPr>
        <w:tc>
          <w:tcPr>
            <w:tcW w:w="3317" w:type="dxa"/>
            <w:tcBorders>
              <w:top w:val="nil"/>
              <w:left w:val="single" w:sz="4" w:space="0" w:color="539B9D"/>
              <w:bottom w:val="single" w:sz="4" w:space="0" w:color="88C8C9"/>
              <w:right w:val="single" w:sz="4" w:space="0" w:color="88C8C9"/>
            </w:tcBorders>
            <w:shd w:val="clear" w:color="auto" w:fill="539B9D"/>
          </w:tcPr>
          <w:p w14:paraId="5C191F0C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FFFEFD"/>
                <w:sz w:val="14"/>
              </w:rPr>
              <w:t xml:space="preserve">Vacinas combinadas </w:t>
            </w:r>
            <w:proofErr w:type="spellStart"/>
            <w:r>
              <w:rPr>
                <w:b/>
                <w:color w:val="FFFEFD"/>
                <w:sz w:val="14"/>
              </w:rPr>
              <w:t>pertussis</w:t>
            </w:r>
            <w:proofErr w:type="spellEnd"/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  <w:shd w:val="clear" w:color="auto" w:fill="C6E3E2"/>
          </w:tcPr>
          <w:p w14:paraId="4AC8EF6B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539B9D"/>
                <w:sz w:val="14"/>
              </w:rPr>
              <w:t>Difteria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  <w:shd w:val="clear" w:color="auto" w:fill="C6E3E2"/>
          </w:tcPr>
          <w:p w14:paraId="1995B078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539B9D"/>
                <w:sz w:val="14"/>
              </w:rPr>
              <w:t>Tétano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  <w:shd w:val="clear" w:color="auto" w:fill="C6E3E2"/>
          </w:tcPr>
          <w:p w14:paraId="1E9FA1D8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539B9D"/>
                <w:sz w:val="14"/>
              </w:rPr>
              <w:t>Coqueluche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  <w:shd w:val="clear" w:color="auto" w:fill="C6E3E2"/>
          </w:tcPr>
          <w:p w14:paraId="6D10A26C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proofErr w:type="spellStart"/>
            <w:r>
              <w:rPr>
                <w:b/>
                <w:color w:val="539B9D"/>
                <w:sz w:val="14"/>
              </w:rPr>
              <w:t>Hib</w:t>
            </w:r>
            <w:proofErr w:type="spellEnd"/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  <w:shd w:val="clear" w:color="auto" w:fill="C6E3E2"/>
          </w:tcPr>
          <w:p w14:paraId="323409F6" w14:textId="77777777" w:rsidR="00B1465D" w:rsidRDefault="00000000">
            <w:pPr>
              <w:spacing w:after="0" w:line="259" w:lineRule="auto"/>
              <w:ind w:left="43" w:right="0" w:firstLine="0"/>
              <w:jc w:val="left"/>
            </w:pPr>
            <w:r>
              <w:rPr>
                <w:b/>
                <w:color w:val="539B9D"/>
                <w:sz w:val="14"/>
              </w:rPr>
              <w:t>Hepatite B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  <w:shd w:val="clear" w:color="auto" w:fill="C6E3E2"/>
          </w:tcPr>
          <w:p w14:paraId="116EFE9B" w14:textId="77777777" w:rsidR="00B1465D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color w:val="539B9D"/>
                <w:sz w:val="14"/>
              </w:rPr>
              <w:t>Poliomielite</w:t>
            </w:r>
          </w:p>
        </w:tc>
      </w:tr>
      <w:tr w:rsidR="00B1465D" w14:paraId="526E8C10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88C8C9"/>
            </w:tcBorders>
          </w:tcPr>
          <w:p w14:paraId="7383EFFC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4"/>
              </w:rPr>
              <w:t>Tríplice bacteriana infantil de células inteiras (</w:t>
            </w:r>
            <w:proofErr w:type="spellStart"/>
            <w:r>
              <w:rPr>
                <w:sz w:val="14"/>
              </w:rPr>
              <w:t>DTPw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279A9720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0A474C6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020BB13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Células inteiras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32B5BE84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015A961D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</w:tcPr>
          <w:p w14:paraId="0B3D86F1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</w:tr>
      <w:tr w:rsidR="00B1465D" w14:paraId="071DCC0C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88C8C9"/>
            </w:tcBorders>
          </w:tcPr>
          <w:p w14:paraId="76003636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4"/>
              </w:rPr>
              <w:t>Pentavalente</w:t>
            </w:r>
            <w:proofErr w:type="spellEnd"/>
            <w:r>
              <w:rPr>
                <w:sz w:val="14"/>
              </w:rPr>
              <w:t xml:space="preserve"> de células inteiras (</w:t>
            </w:r>
            <w:proofErr w:type="spellStart"/>
            <w:r>
              <w:rPr>
                <w:sz w:val="14"/>
              </w:rPr>
              <w:t>DTPw</w:t>
            </w:r>
            <w:proofErr w:type="spellEnd"/>
            <w:r>
              <w:rPr>
                <w:sz w:val="14"/>
              </w:rPr>
              <w:t>-HB-</w:t>
            </w:r>
            <w:proofErr w:type="spellStart"/>
            <w:r>
              <w:rPr>
                <w:sz w:val="14"/>
              </w:rPr>
              <w:t>Hib</w:t>
            </w:r>
            <w:proofErr w:type="spellEnd"/>
            <w:r>
              <w:rPr>
                <w:sz w:val="14"/>
              </w:rPr>
              <w:t xml:space="preserve">) 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012CA976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296DC074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27CD889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Células inteiras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3A8C0687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28E349ED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</w:tcPr>
          <w:p w14:paraId="3297DD9E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</w:tr>
      <w:tr w:rsidR="00B1465D" w14:paraId="0360EE1D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88C8C9"/>
            </w:tcBorders>
          </w:tcPr>
          <w:p w14:paraId="1D298D14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4"/>
              </w:rPr>
              <w:t>Pentavalente</w:t>
            </w:r>
            <w:proofErr w:type="spellEnd"/>
            <w:r>
              <w:rPr>
                <w:sz w:val="14"/>
              </w:rPr>
              <w:t xml:space="preserve"> acelular (</w:t>
            </w:r>
            <w:proofErr w:type="spellStart"/>
            <w:r>
              <w:rPr>
                <w:sz w:val="14"/>
              </w:rPr>
              <w:t>DTPa</w:t>
            </w:r>
            <w:proofErr w:type="spellEnd"/>
            <w:r>
              <w:rPr>
                <w:sz w:val="14"/>
              </w:rPr>
              <w:t>-VIP-</w:t>
            </w:r>
            <w:proofErr w:type="spellStart"/>
            <w:r>
              <w:rPr>
                <w:sz w:val="14"/>
              </w:rPr>
              <w:t>Hib</w:t>
            </w:r>
            <w:proofErr w:type="spellEnd"/>
            <w:r>
              <w:rPr>
                <w:sz w:val="14"/>
              </w:rPr>
              <w:t xml:space="preserve">) 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5E15EBE4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0A076971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5964BED5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Acelular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08F9E6B8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614E58D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</w:tcPr>
          <w:p w14:paraId="1AB741B8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</w:tr>
      <w:tr w:rsidR="00B1465D" w14:paraId="778A2DE1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88C8C9"/>
            </w:tcBorders>
          </w:tcPr>
          <w:p w14:paraId="389B7FD7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4"/>
              </w:rPr>
              <w:t>Hexavalente acelular (</w:t>
            </w:r>
            <w:proofErr w:type="spellStart"/>
            <w:r>
              <w:rPr>
                <w:sz w:val="14"/>
              </w:rPr>
              <w:t>DTPa</w:t>
            </w:r>
            <w:proofErr w:type="spellEnd"/>
            <w:r>
              <w:rPr>
                <w:sz w:val="14"/>
              </w:rPr>
              <w:t>-HB-VIP-</w:t>
            </w:r>
            <w:proofErr w:type="spellStart"/>
            <w:r>
              <w:rPr>
                <w:sz w:val="14"/>
              </w:rPr>
              <w:t>Hib</w:t>
            </w:r>
            <w:proofErr w:type="spellEnd"/>
            <w:r>
              <w:rPr>
                <w:sz w:val="14"/>
              </w:rPr>
              <w:t xml:space="preserve">) 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40842283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282CD967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5B9D07C7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Acelular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32404273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6641F17E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</w:tcPr>
          <w:p w14:paraId="0ADA6610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</w:tr>
      <w:tr w:rsidR="00B1465D" w14:paraId="21E6687C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88C8C9"/>
            </w:tcBorders>
          </w:tcPr>
          <w:p w14:paraId="0B0F082D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4"/>
              </w:rPr>
              <w:t>Tetravalente pediátrica acelular (</w:t>
            </w:r>
            <w:proofErr w:type="spellStart"/>
            <w:r>
              <w:rPr>
                <w:sz w:val="14"/>
              </w:rPr>
              <w:t>DTPa</w:t>
            </w:r>
            <w:proofErr w:type="spellEnd"/>
            <w:r>
              <w:rPr>
                <w:sz w:val="14"/>
              </w:rPr>
              <w:t>-VIP)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5AB96E81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16D121A2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004045D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Acelular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65284CAF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</w:tcPr>
          <w:p w14:paraId="5612BACD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539B9D"/>
            </w:tcBorders>
          </w:tcPr>
          <w:p w14:paraId="27953386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</w:tr>
      <w:tr w:rsidR="00B1465D" w14:paraId="040D16B7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4" w:space="0" w:color="88C8C9"/>
              <w:right w:val="single" w:sz="4" w:space="0" w:color="88C8C9"/>
            </w:tcBorders>
          </w:tcPr>
          <w:p w14:paraId="1F43177E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4"/>
              </w:rPr>
              <w:t>Tríplice bacteriana adulto acelular (dTpa)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6BE90A52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663DEBEA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0906139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14"/>
              </w:rPr>
              <w:t>Acelular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6DEEB327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88C8C9"/>
            </w:tcBorders>
          </w:tcPr>
          <w:p w14:paraId="795BCB49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4" w:space="0" w:color="88C8C9"/>
              <w:right w:val="single" w:sz="4" w:space="0" w:color="539B9D"/>
            </w:tcBorders>
          </w:tcPr>
          <w:p w14:paraId="5192B3EB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14"/>
              </w:rPr>
              <w:t>–</w:t>
            </w:r>
          </w:p>
        </w:tc>
      </w:tr>
      <w:tr w:rsidR="00B1465D" w14:paraId="14389A6F" w14:textId="77777777">
        <w:trPr>
          <w:trHeight w:val="240"/>
        </w:trPr>
        <w:tc>
          <w:tcPr>
            <w:tcW w:w="3317" w:type="dxa"/>
            <w:tcBorders>
              <w:top w:val="single" w:sz="4" w:space="0" w:color="88C8C9"/>
              <w:left w:val="single" w:sz="4" w:space="0" w:color="539B9D"/>
              <w:bottom w:val="single" w:sz="16" w:space="0" w:color="539B9D"/>
              <w:right w:val="single" w:sz="4" w:space="0" w:color="88C8C9"/>
            </w:tcBorders>
          </w:tcPr>
          <w:p w14:paraId="052D23E1" w14:textId="77777777" w:rsidR="00B146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4"/>
              </w:rPr>
              <w:t xml:space="preserve">Tetravalente adulto acelular (dTpa-VIP) 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16" w:space="0" w:color="539B9D"/>
              <w:right w:val="single" w:sz="4" w:space="0" w:color="88C8C9"/>
            </w:tcBorders>
          </w:tcPr>
          <w:p w14:paraId="2FC62776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921" w:type="dxa"/>
            <w:tcBorders>
              <w:top w:val="single" w:sz="4" w:space="0" w:color="88C8C9"/>
              <w:left w:val="single" w:sz="4" w:space="0" w:color="88C8C9"/>
              <w:bottom w:val="single" w:sz="16" w:space="0" w:color="539B9D"/>
              <w:right w:val="single" w:sz="4" w:space="0" w:color="88C8C9"/>
            </w:tcBorders>
          </w:tcPr>
          <w:p w14:paraId="5FE4A099" w14:textId="77777777" w:rsidR="00B1465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  <w:tc>
          <w:tcPr>
            <w:tcW w:w="1020" w:type="dxa"/>
            <w:tcBorders>
              <w:top w:val="single" w:sz="4" w:space="0" w:color="88C8C9"/>
              <w:left w:val="single" w:sz="4" w:space="0" w:color="88C8C9"/>
              <w:bottom w:val="single" w:sz="16" w:space="0" w:color="539B9D"/>
              <w:right w:val="single" w:sz="4" w:space="0" w:color="88C8C9"/>
            </w:tcBorders>
          </w:tcPr>
          <w:p w14:paraId="60F1F967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14"/>
              </w:rPr>
              <w:t>Acelular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16" w:space="0" w:color="539B9D"/>
              <w:right w:val="single" w:sz="4" w:space="0" w:color="88C8C9"/>
            </w:tcBorders>
          </w:tcPr>
          <w:p w14:paraId="3DF9CCDE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16" w:space="0" w:color="539B9D"/>
              <w:right w:val="single" w:sz="4" w:space="0" w:color="88C8C9"/>
            </w:tcBorders>
          </w:tcPr>
          <w:p w14:paraId="3335426E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866" w:type="dxa"/>
            <w:tcBorders>
              <w:top w:val="single" w:sz="4" w:space="0" w:color="88C8C9"/>
              <w:left w:val="single" w:sz="4" w:space="0" w:color="88C8C9"/>
              <w:bottom w:val="single" w:sz="16" w:space="0" w:color="539B9D"/>
              <w:right w:val="single" w:sz="4" w:space="0" w:color="539B9D"/>
            </w:tcBorders>
          </w:tcPr>
          <w:p w14:paraId="1D425160" w14:textId="77777777" w:rsidR="00B1465D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color w:val="009541"/>
                <w:sz w:val="14"/>
              </w:rPr>
              <w:t>x</w:t>
            </w:r>
          </w:p>
        </w:tc>
      </w:tr>
    </w:tbl>
    <w:p w14:paraId="5A893D89" w14:textId="77777777" w:rsidR="00B1465D" w:rsidRDefault="00000000">
      <w:pPr>
        <w:numPr>
          <w:ilvl w:val="0"/>
          <w:numId w:val="3"/>
        </w:numPr>
        <w:ind w:right="46" w:hanging="170"/>
      </w:pPr>
      <w:r>
        <w:t>Completamente vacinados com HPV2 ou HPV4: duas doses (0-6 meses) de HPV9, respeitando intervalo de um ano da última dose de HPV2 ou HPV4.</w:t>
      </w:r>
    </w:p>
    <w:p w14:paraId="5E0A86DC" w14:textId="77777777" w:rsidR="00B1465D" w:rsidRDefault="00000000">
      <w:pPr>
        <w:numPr>
          <w:ilvl w:val="0"/>
          <w:numId w:val="3"/>
        </w:numPr>
        <w:spacing w:after="107" w:line="234" w:lineRule="auto"/>
        <w:ind w:right="46" w:hanging="170"/>
      </w:pPr>
      <w:r>
        <w:t xml:space="preserve">O PNI oferece a </w:t>
      </w:r>
      <w:proofErr w:type="spellStart"/>
      <w:r>
        <w:t>a</w:t>
      </w:r>
      <w:proofErr w:type="spellEnd"/>
      <w:r>
        <w:t xml:space="preserve"> vacina HPV4, além da rotina, para determinadas situações de risco:  </w:t>
      </w:r>
      <w:r>
        <w:rPr>
          <w:color w:val="405789"/>
          <w:u w:val="single" w:color="405789"/>
        </w:rPr>
        <w:t>https:// www.gov.br/saude/pt-br/assuntos/saude-de-a-a-z/h/hpv/publicacoes/esquema-vacinal-hpv</w:t>
      </w:r>
    </w:p>
    <w:p w14:paraId="54E49ACF" w14:textId="77777777" w:rsidR="00B1465D" w:rsidRDefault="00000000">
      <w:pPr>
        <w:numPr>
          <w:ilvl w:val="0"/>
          <w:numId w:val="4"/>
        </w:numPr>
        <w:spacing w:after="111"/>
        <w:ind w:right="46"/>
      </w:pPr>
      <w:r>
        <w:rPr>
          <w:b/>
        </w:rPr>
        <w:t xml:space="preserve">Dengue: </w:t>
      </w:r>
      <w:proofErr w:type="spellStart"/>
      <w:r>
        <w:t>Qdenga</w:t>
      </w:r>
      <w:proofErr w:type="spellEnd"/>
      <w:r>
        <w:rPr>
          <w:sz w:val="13"/>
          <w:vertAlign w:val="superscript"/>
        </w:rPr>
        <w:t>®</w:t>
      </w:r>
      <w:r>
        <w:t xml:space="preserve"> é recomendada independente de contato prévio com o vírus da dengue em crianças a partir de 4 anos de idade, no esquema de duas doses com intervalo de </w:t>
      </w:r>
      <w:proofErr w:type="spellStart"/>
      <w:r>
        <w:t>três</w:t>
      </w:r>
      <w:proofErr w:type="spellEnd"/>
      <w:r>
        <w:t xml:space="preserve"> meses entre elas (0-3 meses). Para crianças imunodeprimidas ver calendários especiais </w:t>
      </w:r>
      <w:proofErr w:type="spellStart"/>
      <w:r>
        <w:t>SBIm</w:t>
      </w:r>
      <w:proofErr w:type="spellEnd"/>
      <w:proofErr w:type="gramStart"/>
      <w:r>
        <w:t>. .</w:t>
      </w:r>
      <w:proofErr w:type="gramEnd"/>
    </w:p>
    <w:p w14:paraId="6113DED3" w14:textId="77777777" w:rsidR="00B1465D" w:rsidRDefault="00000000">
      <w:pPr>
        <w:numPr>
          <w:ilvl w:val="0"/>
          <w:numId w:val="4"/>
        </w:numPr>
        <w:spacing w:after="112"/>
        <w:ind w:right="46"/>
      </w:pPr>
      <w:r>
        <w:rPr>
          <w:b/>
        </w:rPr>
        <w:t xml:space="preserve">Covid-19: </w:t>
      </w:r>
      <w:r>
        <w:t xml:space="preserve">recomendada pelo PNI para crianças de 6 meses até menores de 5 anos de idade. Esquema de doses dependendo da vacina utilizada. Ver </w:t>
      </w:r>
      <w:r>
        <w:rPr>
          <w:color w:val="405789"/>
          <w:u w:val="single" w:color="405789"/>
        </w:rPr>
        <w:t>https://www.gov.br/saude/pt-br/assuntos/ covid-19</w:t>
      </w:r>
    </w:p>
    <w:p w14:paraId="52582682" w14:textId="77777777" w:rsidR="00B1465D" w:rsidRDefault="00000000">
      <w:pPr>
        <w:numPr>
          <w:ilvl w:val="0"/>
          <w:numId w:val="4"/>
        </w:numPr>
        <w:ind w:right="46"/>
      </w:pPr>
      <w:r>
        <w:rPr>
          <w:b/>
        </w:rPr>
        <w:t xml:space="preserve">VSR: </w:t>
      </w:r>
      <w:r>
        <w:t xml:space="preserve">existem duas estratégias eficazes para </w:t>
      </w:r>
      <w:proofErr w:type="spellStart"/>
      <w:r>
        <w:t>proteção</w:t>
      </w:r>
      <w:proofErr w:type="spellEnd"/>
      <w:r>
        <w:t xml:space="preserve"> da criança contra </w:t>
      </w:r>
      <w:proofErr w:type="spellStart"/>
      <w:r>
        <w:t>infecção</w:t>
      </w:r>
      <w:proofErr w:type="spellEnd"/>
      <w:r>
        <w:t xml:space="preserve"> pelo VSR, a </w:t>
      </w:r>
      <w:proofErr w:type="spellStart"/>
      <w:r>
        <w:t>vacinação</w:t>
      </w:r>
      <w:proofErr w:type="spellEnd"/>
      <w:r>
        <w:t xml:space="preserve"> da gestante e a </w:t>
      </w:r>
      <w:proofErr w:type="spellStart"/>
      <w:r>
        <w:t>administração</w:t>
      </w:r>
      <w:proofErr w:type="spellEnd"/>
      <w:r>
        <w:t xml:space="preserve"> do anticorpo monoclonal – </w:t>
      </w:r>
      <w:proofErr w:type="spellStart"/>
      <w:r>
        <w:t>Nirsevimabe</w:t>
      </w:r>
      <w:proofErr w:type="spellEnd"/>
      <w:r>
        <w:t xml:space="preserve"> – na criança. </w:t>
      </w:r>
    </w:p>
    <w:p w14:paraId="1ACA2B9C" w14:textId="77777777" w:rsidR="00B1465D" w:rsidRDefault="00000000">
      <w:pPr>
        <w:spacing w:after="36" w:line="257" w:lineRule="auto"/>
        <w:ind w:left="0" w:firstLine="7"/>
        <w:jc w:val="left"/>
      </w:pPr>
      <w:r>
        <w:t xml:space="preserve">Situações em que o uso de </w:t>
      </w:r>
      <w:proofErr w:type="spellStart"/>
      <w:r>
        <w:t>Nirsevimabe</w:t>
      </w:r>
      <w:proofErr w:type="spellEnd"/>
      <w:r>
        <w:t xml:space="preserve"> está </w:t>
      </w:r>
      <w:r>
        <w:rPr>
          <w:b/>
        </w:rPr>
        <w:t xml:space="preserve">formalmente recomendado, preferencialmente ainda na maternidade:  </w:t>
      </w:r>
      <w:r>
        <w:t>PNI</w:t>
      </w:r>
    </w:p>
    <w:p w14:paraId="58F7C61A" w14:textId="77777777" w:rsidR="00B1465D" w:rsidRDefault="00000000">
      <w:pPr>
        <w:numPr>
          <w:ilvl w:val="0"/>
          <w:numId w:val="5"/>
        </w:numPr>
        <w:ind w:right="46" w:hanging="170"/>
      </w:pPr>
      <w:r>
        <w:t xml:space="preserve">Crianças prematuras (&lt;37 de IG), menores de 6 meses de idade. Aplicar em qualquer época do ano, independente da sazonalidade. </w:t>
      </w:r>
    </w:p>
    <w:p w14:paraId="3477C9C2" w14:textId="77777777" w:rsidR="00B1465D" w:rsidRDefault="00000000">
      <w:pPr>
        <w:numPr>
          <w:ilvl w:val="0"/>
          <w:numId w:val="5"/>
        </w:numPr>
        <w:ind w:right="46" w:hanging="170"/>
      </w:pPr>
      <w:r>
        <w:t>Crianças com comorbidades elegíveis*: administrar durante as sazonalidades (de fevereiro a agosto), a partir do nascimento e até antes de completar 24 meses de idade (1 ano, 11 meses e 29 dias).</w:t>
      </w:r>
    </w:p>
    <w:p w14:paraId="7283EA0B" w14:textId="77777777" w:rsidR="00B1465D" w:rsidRDefault="00000000">
      <w:pPr>
        <w:ind w:left="-5" w:right="46"/>
      </w:pPr>
      <w:proofErr w:type="spellStart"/>
      <w:r>
        <w:t>SBIm</w:t>
      </w:r>
      <w:proofErr w:type="spellEnd"/>
      <w:r>
        <w:t xml:space="preserve"> Aplicar em qualquer época do ano, independente da sazonalidade, em todas as situações abaixo. </w:t>
      </w:r>
      <w:r>
        <w:rPr>
          <w:color w:val="737473"/>
        </w:rPr>
        <w:t xml:space="preserve">• </w:t>
      </w:r>
      <w:r>
        <w:t xml:space="preserve">RN de </w:t>
      </w:r>
      <w:proofErr w:type="spellStart"/>
      <w:r>
        <w:t>mães</w:t>
      </w:r>
      <w:proofErr w:type="spellEnd"/>
      <w:r>
        <w:t xml:space="preserve"> </w:t>
      </w:r>
      <w:r>
        <w:rPr>
          <w:b/>
        </w:rPr>
        <w:t>não</w:t>
      </w:r>
      <w:r>
        <w:t xml:space="preserve"> vacinadas;</w:t>
      </w:r>
    </w:p>
    <w:p w14:paraId="49B6AEA4" w14:textId="77777777" w:rsidR="00B1465D" w:rsidRDefault="00000000">
      <w:pPr>
        <w:numPr>
          <w:ilvl w:val="0"/>
          <w:numId w:val="5"/>
        </w:numPr>
        <w:ind w:right="46" w:hanging="170"/>
      </w:pPr>
      <w:r>
        <w:t xml:space="preserve">RN de </w:t>
      </w:r>
      <w:proofErr w:type="spellStart"/>
      <w:r>
        <w:t>mães</w:t>
      </w:r>
      <w:proofErr w:type="spellEnd"/>
      <w:r>
        <w:t xml:space="preserve"> imunossuprimidas, mesmo vacinadas durante a </w:t>
      </w:r>
      <w:proofErr w:type="spellStart"/>
      <w:r>
        <w:t>gestação</w:t>
      </w:r>
      <w:proofErr w:type="spellEnd"/>
      <w:r>
        <w:t xml:space="preserve">; </w:t>
      </w:r>
    </w:p>
    <w:p w14:paraId="0056B328" w14:textId="77777777" w:rsidR="00B1465D" w:rsidRDefault="00000000">
      <w:pPr>
        <w:numPr>
          <w:ilvl w:val="0"/>
          <w:numId w:val="5"/>
        </w:numPr>
        <w:spacing w:after="12"/>
        <w:ind w:right="46" w:hanging="170"/>
      </w:pPr>
      <w:r>
        <w:t xml:space="preserve">Parto ocorrido antes de 14 dias da </w:t>
      </w:r>
      <w:proofErr w:type="spellStart"/>
      <w:r>
        <w:t>vacinação</w:t>
      </w:r>
      <w:proofErr w:type="spellEnd"/>
      <w:r>
        <w:t xml:space="preserve"> </w:t>
      </w:r>
    </w:p>
    <w:p w14:paraId="1923B663" w14:textId="77777777" w:rsidR="00B1465D" w:rsidRDefault="00000000">
      <w:pPr>
        <w:ind w:left="180" w:right="46"/>
      </w:pPr>
      <w:r>
        <w:t xml:space="preserve">materna; </w:t>
      </w:r>
    </w:p>
    <w:p w14:paraId="0A18B7EE" w14:textId="77777777" w:rsidR="00B1465D" w:rsidRDefault="00000000">
      <w:pPr>
        <w:numPr>
          <w:ilvl w:val="0"/>
          <w:numId w:val="5"/>
        </w:numPr>
        <w:ind w:right="46" w:hanging="170"/>
      </w:pPr>
      <w:proofErr w:type="spellStart"/>
      <w:r>
        <w:t>Bebês</w:t>
      </w:r>
      <w:proofErr w:type="spellEnd"/>
      <w:r>
        <w:t xml:space="preserve"> nascidos prematuros (&lt; 37 semanas de IG), com menos de 12 meses de idade (11 meses e 29 dias);</w:t>
      </w:r>
    </w:p>
    <w:p w14:paraId="7154DDA3" w14:textId="77777777" w:rsidR="00B1465D" w:rsidRDefault="00000000">
      <w:pPr>
        <w:numPr>
          <w:ilvl w:val="0"/>
          <w:numId w:val="5"/>
        </w:numPr>
        <w:ind w:right="46" w:hanging="170"/>
      </w:pPr>
      <w:r>
        <w:t xml:space="preserve">Crianças com idade inferior a 24 meses (até 1 ano, 11 meses e 29 dias) com comorbidades elegíveis*. </w:t>
      </w:r>
    </w:p>
    <w:p w14:paraId="5FC7A0BE" w14:textId="77777777" w:rsidR="00B1465D" w:rsidRDefault="00000000">
      <w:pPr>
        <w:spacing w:after="109"/>
        <w:ind w:left="-5" w:right="46"/>
      </w:pPr>
      <w:r>
        <w:t xml:space="preserve">*Lista de comorbidades elegíveis: doença pulmonar crônica da prematuridade, doença cardíaca </w:t>
      </w:r>
      <w:proofErr w:type="spellStart"/>
      <w:r>
        <w:t>congênita</w:t>
      </w:r>
      <w:proofErr w:type="spellEnd"/>
      <w:r>
        <w:t xml:space="preserve"> hemodinamicamente significativa, imunocomprometidos, Síndrome de Down, fibrose cística, doença neuromuscular e anomalias </w:t>
      </w:r>
      <w:proofErr w:type="spellStart"/>
      <w:r>
        <w:t>congênitas</w:t>
      </w:r>
      <w:proofErr w:type="spellEnd"/>
      <w:r>
        <w:t xml:space="preserve"> das vias aéreas.</w:t>
      </w:r>
    </w:p>
    <w:p w14:paraId="086E860C" w14:textId="77777777" w:rsidR="00B1465D" w:rsidRDefault="00000000">
      <w:pPr>
        <w:ind w:left="-5" w:right="46"/>
      </w:pPr>
      <w:r>
        <w:t>Esquemas:</w:t>
      </w:r>
    </w:p>
    <w:p w14:paraId="131938DA" w14:textId="77777777" w:rsidR="00B1465D" w:rsidRDefault="00000000">
      <w:pPr>
        <w:numPr>
          <w:ilvl w:val="0"/>
          <w:numId w:val="5"/>
        </w:numPr>
        <w:spacing w:after="0" w:line="308" w:lineRule="auto"/>
        <w:ind w:right="46" w:hanging="170"/>
      </w:pPr>
      <w:r>
        <w:lastRenderedPageBreak/>
        <w:t xml:space="preserve">Crianças &lt;12 meses de idade </w:t>
      </w:r>
      <w:r>
        <w:rPr>
          <w:rFonts w:ascii="Wingdings 2" w:eastAsia="Wingdings 2" w:hAnsi="Wingdings 2" w:cs="Wingdings 2"/>
          <w:color w:val="737473"/>
        </w:rPr>
        <w:t>x</w:t>
      </w:r>
      <w:r>
        <w:rPr>
          <w:color w:val="737473"/>
        </w:rPr>
        <w:t xml:space="preserve"> </w:t>
      </w:r>
      <w:r>
        <w:t xml:space="preserve">uma dose IM de 50 mg se peso &lt; 5 Kg </w:t>
      </w:r>
      <w:r>
        <w:rPr>
          <w:rFonts w:ascii="Wingdings 2" w:eastAsia="Wingdings 2" w:hAnsi="Wingdings 2" w:cs="Wingdings 2"/>
          <w:color w:val="737473"/>
        </w:rPr>
        <w:t>x</w:t>
      </w:r>
      <w:r>
        <w:rPr>
          <w:color w:val="737473"/>
        </w:rPr>
        <w:t xml:space="preserve"> </w:t>
      </w:r>
      <w:r>
        <w:t>uma dose de 100mg se peso ≥5 Kg</w:t>
      </w:r>
    </w:p>
    <w:p w14:paraId="49A6C967" w14:textId="77777777" w:rsidR="00B1465D" w:rsidRDefault="00000000">
      <w:pPr>
        <w:numPr>
          <w:ilvl w:val="0"/>
          <w:numId w:val="5"/>
        </w:numPr>
        <w:ind w:right="46" w:hanging="170"/>
      </w:pPr>
      <w:r>
        <w:t xml:space="preserve">Crianças de 12-23 meses de idade e com risco para </w:t>
      </w:r>
      <w:proofErr w:type="spellStart"/>
      <w:r>
        <w:t>infecção</w:t>
      </w:r>
      <w:proofErr w:type="spellEnd"/>
      <w:r>
        <w:t xml:space="preserve"> grave por VSR: </w:t>
      </w:r>
    </w:p>
    <w:p w14:paraId="1E8955D4" w14:textId="77777777" w:rsidR="00B1465D" w:rsidRDefault="00000000">
      <w:pPr>
        <w:spacing w:after="111"/>
        <w:ind w:left="300" w:right="46" w:hanging="123"/>
      </w:pPr>
      <w:r>
        <w:rPr>
          <w:rFonts w:ascii="Wingdings 2" w:eastAsia="Wingdings 2" w:hAnsi="Wingdings 2" w:cs="Wingdings 2"/>
          <w:color w:val="737473"/>
        </w:rPr>
        <w:t>x</w:t>
      </w:r>
      <w:r>
        <w:rPr>
          <w:color w:val="737473"/>
        </w:rPr>
        <w:t xml:space="preserve"> </w:t>
      </w:r>
      <w:r>
        <w:t>200 mg (duas doses de 100mg administradas simultaneamente), independente de peso.</w:t>
      </w:r>
    </w:p>
    <w:p w14:paraId="15AE5E97" w14:textId="77777777" w:rsidR="00B1465D" w:rsidRDefault="00000000">
      <w:pPr>
        <w:spacing w:after="108"/>
        <w:ind w:left="-5" w:right="46"/>
      </w:pPr>
      <w:r>
        <w:t xml:space="preserve">A </w:t>
      </w:r>
      <w:proofErr w:type="spellStart"/>
      <w:r>
        <w:t>SBIm</w:t>
      </w:r>
      <w:proofErr w:type="spellEnd"/>
      <w:r>
        <w:t xml:space="preserve"> também orienta que </w:t>
      </w:r>
      <w:r>
        <w:rPr>
          <w:b/>
        </w:rPr>
        <w:t>pode ser considerado</w:t>
      </w:r>
      <w:r>
        <w:t xml:space="preserve"> seu uso nas seguintes situações, independentemente da </w:t>
      </w:r>
      <w:proofErr w:type="spellStart"/>
      <w:r>
        <w:t>vacinação</w:t>
      </w:r>
      <w:proofErr w:type="spellEnd"/>
      <w:r>
        <w:t xml:space="preserve"> materna, em </w:t>
      </w:r>
      <w:r>
        <w:rPr>
          <w:b/>
        </w:rPr>
        <w:t>decisão compartilhada entre família e pediatra</w:t>
      </w:r>
      <w:r>
        <w:t xml:space="preserve">: </w:t>
      </w:r>
    </w:p>
    <w:p w14:paraId="5D6F7FA6" w14:textId="77777777" w:rsidR="00B1465D" w:rsidRDefault="00000000">
      <w:pPr>
        <w:numPr>
          <w:ilvl w:val="0"/>
          <w:numId w:val="6"/>
        </w:numPr>
        <w:spacing w:after="12"/>
        <w:ind w:right="46" w:hanging="170"/>
      </w:pPr>
      <w:r>
        <w:t xml:space="preserve">Uma nova dose de </w:t>
      </w:r>
      <w:proofErr w:type="spellStart"/>
      <w:r>
        <w:t>Nirsevimabe</w:t>
      </w:r>
      <w:proofErr w:type="spellEnd"/>
      <w:r>
        <w:t xml:space="preserve"> para </w:t>
      </w:r>
      <w:proofErr w:type="spellStart"/>
      <w:r>
        <w:t>prematu</w:t>
      </w:r>
      <w:proofErr w:type="spellEnd"/>
      <w:r>
        <w:t>-</w:t>
      </w:r>
    </w:p>
    <w:p w14:paraId="1980F75F" w14:textId="77777777" w:rsidR="00B1465D" w:rsidRDefault="00000000">
      <w:pPr>
        <w:ind w:left="173" w:right="46"/>
      </w:pPr>
      <w:proofErr w:type="spellStart"/>
      <w:r>
        <w:t>ros</w:t>
      </w:r>
      <w:proofErr w:type="spellEnd"/>
      <w:r>
        <w:t xml:space="preserve"> menores de 12 meses de idade se a primeira dose foi aplicada há mais de 6 meses, a depender de risco epidemiológico e individual. </w:t>
      </w:r>
    </w:p>
    <w:p w14:paraId="039EB8DA" w14:textId="77777777" w:rsidR="00B1465D" w:rsidRDefault="00000000">
      <w:pPr>
        <w:numPr>
          <w:ilvl w:val="0"/>
          <w:numId w:val="6"/>
        </w:numPr>
        <w:ind w:right="46" w:hanging="170"/>
      </w:pPr>
      <w:r>
        <w:t xml:space="preserve">Crianças &lt;12 meses, nascidas a termo, sem fatores de risco, ou seja, sem comorbidades, a depender de risco epidemiológico e individual. </w:t>
      </w:r>
    </w:p>
    <w:p w14:paraId="7B2645A7" w14:textId="77777777" w:rsidR="00B1465D" w:rsidRDefault="00000000">
      <w:pPr>
        <w:numPr>
          <w:ilvl w:val="0"/>
          <w:numId w:val="6"/>
        </w:numPr>
        <w:ind w:right="46" w:hanging="170"/>
      </w:pPr>
      <w:r>
        <w:t xml:space="preserve">Crianças de 12 a &lt; 24 meses (até 1 ano, 11 meses e 29 dias) </w:t>
      </w:r>
      <w:r>
        <w:rPr>
          <w:b/>
        </w:rPr>
        <w:t>sem fatores de risco</w:t>
      </w:r>
      <w:r>
        <w:t xml:space="preserve"> também podem se beneficiar, a depender de risco epidemiológico e individual. Nesse caso a </w:t>
      </w:r>
      <w:proofErr w:type="spellStart"/>
      <w:r>
        <w:t>SBIm</w:t>
      </w:r>
      <w:proofErr w:type="spellEnd"/>
      <w:r>
        <w:t xml:space="preserve"> sugere: </w:t>
      </w:r>
      <w:r>
        <w:rPr>
          <w:rFonts w:ascii="Wingdings 2" w:eastAsia="Wingdings 2" w:hAnsi="Wingdings 2" w:cs="Wingdings 2"/>
          <w:color w:val="737473"/>
        </w:rPr>
        <w:t>x</w:t>
      </w:r>
      <w:r>
        <w:rPr>
          <w:color w:val="737473"/>
        </w:rPr>
        <w:t xml:space="preserve"> </w:t>
      </w:r>
      <w:r>
        <w:t xml:space="preserve">uma dose IM de 100 mg se peso &lt; 10 Kg. </w:t>
      </w:r>
    </w:p>
    <w:p w14:paraId="064B1C4B" w14:textId="77777777" w:rsidR="00B1465D" w:rsidRDefault="00000000">
      <w:pPr>
        <w:ind w:left="300" w:right="46" w:hanging="123"/>
      </w:pPr>
      <w:r>
        <w:rPr>
          <w:rFonts w:ascii="Wingdings 2" w:eastAsia="Wingdings 2" w:hAnsi="Wingdings 2" w:cs="Wingdings 2"/>
          <w:color w:val="737473"/>
        </w:rPr>
        <w:t>x</w:t>
      </w:r>
      <w:r>
        <w:rPr>
          <w:color w:val="737473"/>
        </w:rPr>
        <w:t xml:space="preserve"> </w:t>
      </w:r>
      <w:r>
        <w:t xml:space="preserve">200 mg (duas doses de 100mg administradas simultaneamente) se peso ≥10 Kg. </w:t>
      </w:r>
    </w:p>
    <w:p w14:paraId="0A893035" w14:textId="77777777" w:rsidR="00B1465D" w:rsidRDefault="00000000">
      <w:pPr>
        <w:ind w:left="-5" w:right="46"/>
      </w:pPr>
      <w:r>
        <w:t xml:space="preserve">Pode ser coadministrado com as demais vacinas recomendadas no Calendário de </w:t>
      </w:r>
      <w:proofErr w:type="spellStart"/>
      <w:r>
        <w:t>Vacinação</w:t>
      </w:r>
      <w:proofErr w:type="spellEnd"/>
      <w:r>
        <w:t xml:space="preserve"> </w:t>
      </w:r>
      <w:proofErr w:type="spellStart"/>
      <w:r>
        <w:t>SBIm</w:t>
      </w:r>
      <w:proofErr w:type="spellEnd"/>
      <w:r>
        <w:t xml:space="preserve"> do Prematuro e da Criança.</w:t>
      </w:r>
    </w:p>
    <w:p w14:paraId="4C0B1541" w14:textId="77777777" w:rsidR="00B1465D" w:rsidRDefault="00000000">
      <w:pPr>
        <w:ind w:left="-5" w:right="46"/>
      </w:pPr>
      <w:r>
        <w:t xml:space="preserve">Este medicamento está no rol da ANS, com cobertura pelos planos/ </w:t>
      </w:r>
      <w:proofErr w:type="spellStart"/>
      <w:r>
        <w:t>convênios</w:t>
      </w:r>
      <w:proofErr w:type="spellEnd"/>
      <w:r>
        <w:t xml:space="preserve"> de saúde, para: </w:t>
      </w:r>
    </w:p>
    <w:p w14:paraId="603B3AB3" w14:textId="77777777" w:rsidR="00B1465D" w:rsidRDefault="00000000">
      <w:pPr>
        <w:numPr>
          <w:ilvl w:val="0"/>
          <w:numId w:val="7"/>
        </w:numPr>
        <w:ind w:right="46" w:hanging="170"/>
      </w:pPr>
      <w:r>
        <w:t xml:space="preserve">prematuros com idade gestacional &lt; 37 e com idade inferior a 6 meses. </w:t>
      </w:r>
    </w:p>
    <w:p w14:paraId="5B47C7EE" w14:textId="77777777" w:rsidR="00B1465D" w:rsidRDefault="00000000">
      <w:pPr>
        <w:numPr>
          <w:ilvl w:val="0"/>
          <w:numId w:val="7"/>
        </w:numPr>
        <w:ind w:right="46" w:hanging="170"/>
      </w:pPr>
      <w:r>
        <w:t>crianças com idade inferior a 2 anos com pelo menos uma das comorbidades listadas anteriormente.</w:t>
      </w:r>
    </w:p>
    <w:sectPr w:rsidR="00B1465D">
      <w:type w:val="continuous"/>
      <w:pgSz w:w="19162" w:h="14173" w:orient="landscape"/>
      <w:pgMar w:top="1440" w:right="398" w:bottom="608" w:left="390" w:header="720" w:footer="720" w:gutter="0"/>
      <w:cols w:num="6" w:space="1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A7BCE"/>
    <w:multiLevelType w:val="hybridMultilevel"/>
    <w:tmpl w:val="C666C840"/>
    <w:lvl w:ilvl="0" w:tplc="BAD648A4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10A54C2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ED689E6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58AF0CC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E6E47D6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0643F26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E14387A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418DD34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7D09B58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451C37"/>
    <w:multiLevelType w:val="hybridMultilevel"/>
    <w:tmpl w:val="55FAF06E"/>
    <w:lvl w:ilvl="0" w:tplc="60AAE18C">
      <w:start w:val="8"/>
      <w:numFmt w:val="decimal"/>
      <w:lvlText w:val="%1.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2ACE1CA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DBAD4E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EFA379C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978506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1F42C3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12C5FC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D52BF0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03AED7E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B4FEE"/>
    <w:multiLevelType w:val="hybridMultilevel"/>
    <w:tmpl w:val="2B8ABC0A"/>
    <w:lvl w:ilvl="0" w:tplc="7EC82B72">
      <w:start w:val="17"/>
      <w:numFmt w:val="decimal"/>
      <w:lvlText w:val="%1.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BD85DD8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B6AFDC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BDCBB8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E4CF46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C50D48C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D8E140E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E14D5D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FD69872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5F078A"/>
    <w:multiLevelType w:val="hybridMultilevel"/>
    <w:tmpl w:val="E5B4B38A"/>
    <w:lvl w:ilvl="0" w:tplc="2AF0B07C">
      <w:start w:val="1"/>
      <w:numFmt w:val="bullet"/>
      <w:lvlText w:val="•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EAE1876">
      <w:start w:val="1"/>
      <w:numFmt w:val="bullet"/>
      <w:lvlText w:val="o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1FEECE8">
      <w:start w:val="1"/>
      <w:numFmt w:val="bullet"/>
      <w:lvlText w:val="▪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EE67616">
      <w:start w:val="1"/>
      <w:numFmt w:val="bullet"/>
      <w:lvlText w:val="•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8E6398A">
      <w:start w:val="1"/>
      <w:numFmt w:val="bullet"/>
      <w:lvlText w:val="o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3D42150">
      <w:start w:val="1"/>
      <w:numFmt w:val="bullet"/>
      <w:lvlText w:val="▪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628BAAA">
      <w:start w:val="1"/>
      <w:numFmt w:val="bullet"/>
      <w:lvlText w:val="•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014676E">
      <w:start w:val="1"/>
      <w:numFmt w:val="bullet"/>
      <w:lvlText w:val="o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F8AC41E">
      <w:start w:val="1"/>
      <w:numFmt w:val="bullet"/>
      <w:lvlText w:val="▪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D4420F"/>
    <w:multiLevelType w:val="hybridMultilevel"/>
    <w:tmpl w:val="F03496DA"/>
    <w:lvl w:ilvl="0" w:tplc="AA1A22DA">
      <w:start w:val="1"/>
      <w:numFmt w:val="decimal"/>
      <w:lvlText w:val="%1.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D0E26A2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EDE3E4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040DE8C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E86C9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9BE019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7CC6EB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654520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FAA7E4A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/>
        <w:bCs/>
        <w:i w:val="0"/>
        <w:strike w:val="0"/>
        <w:dstrike w:val="0"/>
        <w:color w:val="539B9D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505183"/>
    <w:multiLevelType w:val="hybridMultilevel"/>
    <w:tmpl w:val="A4FA9D24"/>
    <w:lvl w:ilvl="0" w:tplc="F5229D8C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DC67F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FB814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320CF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F2202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6FE05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D3C8B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46086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A8611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A37EE1"/>
    <w:multiLevelType w:val="hybridMultilevel"/>
    <w:tmpl w:val="82BE2B7E"/>
    <w:lvl w:ilvl="0" w:tplc="03F6415E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BDE05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956C9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A7227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07ACC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9D6497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1EAD2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8A2A0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E7E24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267389">
    <w:abstractNumId w:val="4"/>
  </w:num>
  <w:num w:numId="2" w16cid:durableId="1160391386">
    <w:abstractNumId w:val="1"/>
  </w:num>
  <w:num w:numId="3" w16cid:durableId="934633408">
    <w:abstractNumId w:val="3"/>
  </w:num>
  <w:num w:numId="4" w16cid:durableId="2130708600">
    <w:abstractNumId w:val="2"/>
  </w:num>
  <w:num w:numId="5" w16cid:durableId="617957288">
    <w:abstractNumId w:val="0"/>
  </w:num>
  <w:num w:numId="6" w16cid:durableId="1371607741">
    <w:abstractNumId w:val="5"/>
  </w:num>
  <w:num w:numId="7" w16cid:durableId="614679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65D"/>
    <w:rsid w:val="00151BEE"/>
    <w:rsid w:val="00B02C05"/>
    <w:rsid w:val="00B1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27A5"/>
  <w15:docId w15:val="{496A0030-6C61-462A-9DA6-E0D91CAC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41" w:lineRule="auto"/>
      <w:ind w:left="3" w:right="36" w:hanging="3"/>
      <w:jc w:val="both"/>
    </w:pPr>
    <w:rPr>
      <w:rFonts w:ascii="Calibri" w:eastAsia="Calibri" w:hAnsi="Calibri" w:cs="Calibri"/>
      <w:color w:val="181717"/>
      <w:sz w:val="15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9"/>
      <w:ind w:left="7"/>
      <w:outlineLvl w:val="0"/>
    </w:pPr>
    <w:rPr>
      <w:rFonts w:ascii="Calibri" w:eastAsia="Calibri" w:hAnsi="Calibri" w:cs="Calibri"/>
      <w:b/>
      <w:color w:val="C7332C"/>
      <w:sz w:val="1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C7332C"/>
      <w:sz w:val="1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2294</Words>
  <Characters>12391</Characters>
  <Application>Microsoft Office Word</Application>
  <DocSecurity>0</DocSecurity>
  <Lines>103</Lines>
  <Paragraphs>29</Paragraphs>
  <ScaleCrop>false</ScaleCrop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livreto-Calend-SBIm-2026-27-260619.indd</dc:title>
  <dc:subject/>
  <dc:creator>Matheus Ostrowski</dc:creator>
  <cp:keywords/>
  <cp:lastModifiedBy>Matheus Ostrowski</cp:lastModifiedBy>
  <cp:revision>2</cp:revision>
  <dcterms:created xsi:type="dcterms:W3CDTF">2026-06-22T18:35:00Z</dcterms:created>
  <dcterms:modified xsi:type="dcterms:W3CDTF">2026-06-22T18:35:00Z</dcterms:modified>
</cp:coreProperties>
</file>