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jpeg" ContentType="image/jpe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styles.xml" ContentType="application/vnd.openxmlformats-officedocument.wordprocessingml.styles+xml"/>
  <Override PartName="/word/footer14.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
        <w:jc w:val="left"/>
        <w:rPr/>
      </w:pPr>
      <w:r>
        <w:rPr>
          <w:b/>
          <w:bCs/>
          <w:color w:val="1F3864"/>
          <w:spacing w:val="40"/>
          <w:sz w:val="26"/>
          <w:szCs w:val="26"/>
        </w:rPr>
        <w:t xml:space="preserve">UNIVERSIDAD EAFIT</w:t>
      </w:r>
    </w:p>
    <w:p>
      <w:pPr>
        <w:pStyle w:val="Normal"/>
        <w:pBdr>
          <w:bottom w:val="single" w:sz="12" w:space="8" w:color="1F3864"/>
        </w:pBdr>
        <w:spacing w:before="0" w:after="40"/>
        <w:jc w:val="left"/>
        <w:rPr/>
      </w:pPr>
      <w:r>
        <w:rPr>
          <w:color w:val="595959"/>
          <w:sz w:val="20"/>
          <w:szCs w:val="20"/>
        </w:rPr>
        <w:t xml:space="preserve">School of Applied Sciences and Engineering  ·  Mechanical Engineering</w:t>
      </w:r>
    </w:p>
    <w:p>
      <w:pPr>
        <w:pStyle w:val="Normal"/>
        <w:spacing w:before="1800" w:after="200"/>
        <w:jc w:val="left"/>
        <w:rPr/>
      </w:pPr>
      <w:r>
        <w:rPr>
          <w:b/>
          <w:bCs/>
          <w:color w:val="2E5597"/>
          <w:spacing w:val="30"/>
          <w:sz w:val="20"/>
          <w:szCs w:val="20"/>
        </w:rPr>
        <w:t xml:space="preserve">PROJECT PROPOSAL – FINAL SUBMISSION</w:t>
      </w:r>
    </w:p>
    <w:p>
      <w:pPr>
        <w:pStyle w:val="Normal"/>
        <w:pBdr>
          <w:left w:val="single" w:sz="36" w:space="12" w:color="1F3864"/>
        </w:pBdr>
        <w:spacing w:lineRule="exact" w:line="300" w:before="0" w:after="300"/>
        <w:ind w:left="240"/>
        <w:jc w:val="left"/>
        <w:rPr/>
      </w:pPr>
      <w:r>
        <w:rPr>
          <w:b/>
          <w:bCs/>
          <w:color w:val="1F3864"/>
          <w:sz w:val="40"/>
          <w:szCs w:val="40"/>
        </w:rPr>
        <w:t xml:space="preserve">Monitoring platform assisted by computer vision and neural networks for identifying potential landslides and reducing disaster-prevention costs</w:t>
      </w:r>
    </w:p>
    <w:p>
      <w:pPr>
        <w:pStyle w:val="Normal"/>
        <w:spacing w:before="200" w:after="1200"/>
        <w:jc w:val="left"/>
        <w:rPr/>
      </w:pPr>
      <w:r>
        <w:rPr>
          <w:color w:val="595959"/>
          <w:sz w:val="22"/>
          <w:szCs w:val="22"/>
        </w:rPr>
        <w:t xml:space="preserve">Engineering Project Formulation  ·  Group 5</w:t>
      </w:r>
    </w:p>
    <w:p>
      <w:pPr>
        <w:pStyle w:val="Normal"/>
        <w:spacing w:before="0" w:after="100"/>
        <w:jc w:val="left"/>
        <w:rPr/>
      </w:pPr>
      <w:r>
        <w:rPr>
          <w:b/>
          <w:bCs/>
          <w:color w:val="2E5597"/>
          <w:spacing w:val="30"/>
          <w:sz w:val="18"/>
          <w:szCs w:val="18"/>
        </w:rPr>
        <w:t xml:space="preserve">SUBMITTED BY</w:t>
      </w:r>
    </w:p>
    <w:p>
      <w:pPr>
        <w:pStyle w:val="Normal"/>
        <w:spacing w:before="0" w:after="40"/>
        <w:jc w:val="left"/>
        <w:rPr/>
      </w:pPr>
      <w:r>
        <w:rPr>
          <w:color w:val="1A1A1A"/>
          <w:sz w:val="22"/>
          <w:szCs w:val="22"/>
        </w:rPr>
        <w:t xml:space="preserve">David Amell Osorio</w:t>
      </w:r>
    </w:p>
    <w:p>
      <w:pPr>
        <w:pStyle w:val="Normal"/>
        <w:spacing w:before="0" w:after="40"/>
        <w:jc w:val="left"/>
        <w:rPr/>
      </w:pPr>
      <w:r>
        <w:rPr>
          <w:color w:val="1A1A1A"/>
          <w:sz w:val="22"/>
          <w:szCs w:val="22"/>
        </w:rPr>
        <w:t xml:space="preserve">Kevin Giraldo Pérez</w:t>
      </w:r>
    </w:p>
    <w:p>
      <w:pPr>
        <w:pStyle w:val="Normal"/>
        <w:spacing w:before="0" w:after="40"/>
        <w:jc w:val="left"/>
        <w:rPr/>
      </w:pPr>
      <w:r>
        <w:rPr>
          <w:color w:val="1A1A1A"/>
          <w:sz w:val="22"/>
          <w:szCs w:val="22"/>
        </w:rPr>
        <w:t xml:space="preserve">Juan José González Guzmán</w:t>
      </w:r>
    </w:p>
    <w:p>
      <w:pPr>
        <w:pStyle w:val="Normal"/>
        <w:spacing w:before="0" w:after="40"/>
        <w:jc w:val="left"/>
        <w:rPr/>
      </w:pPr>
      <w:r>
        <w:rPr>
          <w:color w:val="1A1A1A"/>
          <w:sz w:val="22"/>
          <w:szCs w:val="22"/>
        </w:rPr>
        <w:t xml:space="preserve">Tomás Vásquez Campuzano</w:t>
      </w:r>
    </w:p>
    <w:p>
      <w:pPr>
        <w:pStyle w:val="Normal"/>
        <w:spacing w:before="0" w:after="40"/>
        <w:jc w:val="left"/>
        <w:rPr/>
      </w:pPr>
      <w:r>
        <w:rPr>
          <w:color w:val="1A1A1A"/>
          <w:sz w:val="22"/>
          <w:szCs w:val="22"/>
        </w:rPr>
        <w:t xml:space="preserve">Santiago Alberto Vélez Casallas</w:t>
      </w:r>
    </w:p>
    <w:p>
      <w:pPr>
        <w:pStyle w:val="Normal"/>
        <w:spacing w:before="0" w:after="40"/>
        <w:jc w:val="left"/>
        <w:rPr/>
      </w:pPr>
      <w:r>
        <w:rPr>
          <w:color w:val="1A1A1A"/>
          <w:sz w:val="22"/>
          <w:szCs w:val="22"/>
        </w:rPr>
        <w:t xml:space="preserve">David Zuluaga Henao</w:t>
      </w:r>
    </w:p>
    <w:p>
      <w:pPr>
        <w:pStyle w:val="Normal"/>
        <w:spacing w:before="400" w:after="100"/>
        <w:jc w:val="left"/>
        <w:rPr/>
      </w:pPr>
      <w:r>
        <w:rPr>
          <w:b/>
          <w:bCs/>
          <w:color w:val="2E5597"/>
          <w:spacing w:val="30"/>
          <w:sz w:val="18"/>
          <w:szCs w:val="18"/>
        </w:rPr>
        <w:t xml:space="preserve">PROFESSOR</w:t>
      </w:r>
    </w:p>
    <w:p>
      <w:pPr>
        <w:pStyle w:val="Normal"/>
        <w:spacing w:before="0" w:after="60"/>
        <w:jc w:val="left"/>
        <w:rPr/>
      </w:pPr>
      <w:r>
        <w:rPr>
          <w:color w:val="1A1A1A"/>
          <w:sz w:val="22"/>
          <w:szCs w:val="22"/>
        </w:rPr>
        <w:t xml:space="preserve">Leonel Francisco Castañeda Heredia</w:t>
      </w:r>
    </w:p>
    <w:p>
      <w:pPr>
        <w:sectPr>
          <w:type w:val="nextPage"/>
          <w:pgSz w:w="12240" w:h="15840"/>
          <w:pgMar w:left="1417" w:right="1417" w:gutter="0" w:header="0" w:top="1417" w:footer="0" w:bottom="1417"/>
          <w:pgNumType w:fmt="decimal"/>
          <w:formProt w:val="false"/>
          <w:textDirection w:val="lrTb"/>
          <w:docGrid w:type="default" w:linePitch="360" w:charSpace="4096"/>
        </w:sectPr>
        <w:pStyle w:val="Normal"/>
        <w:pBdr>
          <w:top w:val="single" w:sz="6" w:space="8" w:color="BFC7D5"/>
        </w:pBdr>
        <w:spacing w:before="1600" w:after="60"/>
        <w:jc w:val="left"/>
        <w:rPr/>
      </w:pPr>
      <w:r>
        <w:rPr>
          <w:color w:val="595959"/>
          <w:sz w:val="20"/>
          <w:szCs w:val="20"/>
        </w:rPr>
        <w:t xml:space="preserve">Medellín, November 2024</w:t>
      </w:r>
    </w:p>
    <w:p>
      <w:pPr>
        <w:pStyle w:val="Normal"/>
        <w:spacing w:before="0" w:after="200"/>
        <w:rPr/>
      </w:pPr>
      <w:r>
        <w:rPr>
          <w:b/>
          <w:bCs/>
          <w:color w:val="1F3864"/>
          <w:sz w:val="32"/>
          <w:szCs w:val="32"/>
        </w:rPr>
        <w:t xml:space="preserve">Table of contents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\o "1-3" \h</w:instrText>
            <w:fldChar w:fldCharType="separate"/>
          </w:r>
          <w:hyperlink w:anchor="__RefHeading___Toc7873_1931662957">
            <w:r>
              <w:rPr>
                <w:rStyle w:val="IndexLink"/>
              </w:rPr>
              <w:t xml:space="preserve">1. Technical system identification</w:t>
              <w:tab/>
              <w:t xml:space="preserve">1</w:t>
            </w:r>
          </w:hyperlink>
        </w:p>
        <w:p>
          <w:pPr>
            <w:pStyle w:val="TOC2"/>
            <w:tabs>
              <w:tab w:val="clear" w:pos="9123"/>
              <w:tab w:val="right" w:pos="9405" w:leader="dot"/>
            </w:tabs>
            <w:rPr/>
          </w:pPr>
          <w:hyperlink w:anchor="__RefHeading___Toc7875_1931662957">
            <w:r>
              <w:rPr>
                <w:rStyle w:val="IndexLink"/>
              </w:rPr>
              <w:t xml:space="preserve">1.1. Description of the technical system</w:t>
              <w:tab/>
              <w:t xml:space="preserve">1</w:t>
            </w:r>
          </w:hyperlink>
        </w:p>
        <w:p>
          <w:pPr>
            <w:pStyle w:val="TOC1"/>
            <w:tabs>
              <w:tab w:val="clear" w:pos="9406"/>
              <w:tab w:val="right" w:pos="9405" w:leader="dot"/>
            </w:tabs>
            <w:rPr/>
          </w:pPr>
          <w:hyperlink w:anchor="__RefHeading___Toc7877_1931662957">
            <w:r>
              <w:rPr>
                <w:rStyle w:val="IndexLink"/>
              </w:rPr>
              <w:t xml:space="preserve">2. Proposal identification</w:t>
              <w:tab/>
              <w:t xml:space="preserve">3</w:t>
            </w:r>
          </w:hyperlink>
        </w:p>
        <w:p>
          <w:pPr>
            <w:pStyle w:val="TOC2"/>
            <w:tabs>
              <w:tab w:val="clear" w:pos="9123"/>
              <w:tab w:val="right" w:pos="9405" w:leader="dot"/>
            </w:tabs>
            <w:rPr/>
          </w:pPr>
          <w:hyperlink w:anchor="__RefHeading___Toc7879_1931662957">
            <w:r>
              <w:rPr>
                <w:rStyle w:val="IndexLink"/>
              </w:rPr>
              <w:t xml:space="preserve">2.1. Proposal title</w:t>
              <w:tab/>
              <w:t xml:space="preserve">3</w:t>
            </w:r>
          </w:hyperlink>
        </w:p>
        <w:p>
          <w:pPr>
            <w:pStyle w:val="TOC2"/>
            <w:tabs>
              <w:tab w:val="clear" w:pos="9123"/>
              <w:tab w:val="right" w:pos="9405" w:leader="dot"/>
            </w:tabs>
            <w:rPr/>
          </w:pPr>
          <w:hyperlink w:anchor="__RefHeading___Toc7881_1931662957">
            <w:r>
              <w:rPr>
                <w:rStyle w:val="IndexLink"/>
              </w:rPr>
              <w:t xml:space="preserve">2.2. Proposing entity and allied entities</w:t>
              <w:tab/>
              <w:t xml:space="preserve">3</w:t>
            </w:r>
          </w:hyperlink>
        </w:p>
        <w:p>
          <w:pPr>
            <w:pStyle w:val="TOC2"/>
            <w:tabs>
              <w:tab w:val="clear" w:pos="9123"/>
              <w:tab w:val="right" w:pos="9405" w:leader="dot"/>
            </w:tabs>
            <w:rPr/>
          </w:pPr>
          <w:hyperlink w:anchor="__RefHeading___Toc7883_1931662957">
            <w:r>
              <w:rPr>
                <w:rStyle w:val="IndexLink"/>
              </w:rPr>
              <w:t xml:space="preserve">2.3. Location (focus of the proposal)</w:t>
              <w:tab/>
              <w:t xml:space="preserve">3</w:t>
            </w:r>
          </w:hyperlink>
        </w:p>
        <w:p>
          <w:pPr>
            <w:pStyle w:val="TOC2"/>
            <w:tabs>
              <w:tab w:val="clear" w:pos="9123"/>
              <w:tab w:val="right" w:pos="9405" w:leader="dot"/>
            </w:tabs>
            <w:rPr/>
          </w:pPr>
          <w:hyperlink w:anchor="__RefHeading___Toc7885_1931662957">
            <w:r>
              <w:rPr>
                <w:rStyle w:val="IndexLink"/>
              </w:rPr>
              <w:t xml:space="preserve">2.4. Place of execution</w:t>
              <w:tab/>
              <w:t xml:space="preserve">3</w:t>
            </w:r>
          </w:hyperlink>
        </w:p>
        <w:p>
          <w:pPr>
            <w:pStyle w:val="TOC2"/>
            <w:tabs>
              <w:tab w:val="clear" w:pos="9123"/>
              <w:tab w:val="right" w:pos="9405" w:leader="dot"/>
            </w:tabs>
            <w:rPr/>
          </w:pPr>
          <w:hyperlink w:anchor="__RefHeading___Toc7887_1931662957">
            <w:r>
              <w:rPr>
                <w:rStyle w:val="IndexLink"/>
              </w:rPr>
              <w:t xml:space="preserve">2.5. Duration</w:t>
              <w:tab/>
              <w:t xml:space="preserve">3</w:t>
            </w:r>
          </w:hyperlink>
        </w:p>
        <w:p>
          <w:pPr>
            <w:pStyle w:val="TOC2"/>
            <w:tabs>
              <w:tab w:val="clear" w:pos="9123"/>
              <w:tab w:val="right" w:pos="9405" w:leader="dot"/>
            </w:tabs>
            <w:rPr/>
          </w:pPr>
          <w:hyperlink w:anchor="__RefHeading___Toc7889_1931662957">
            <w:r>
              <w:rPr>
                <w:rStyle w:val="IndexLink"/>
              </w:rPr>
              <w:t xml:space="preserve">2.6. Team composition</w:t>
              <w:tab/>
              <w:t xml:space="preserve">3</w:t>
            </w:r>
          </w:hyperlink>
        </w:p>
        <w:p>
          <w:pPr>
            <w:pStyle w:val="TOC2"/>
            <w:tabs>
              <w:tab w:val="clear" w:pos="9123"/>
              <w:tab w:val="right" w:pos="9405" w:leader="dot"/>
            </w:tabs>
            <w:rPr/>
          </w:pPr>
          <w:hyperlink w:anchor="__RefHeading___Toc7891_1931662957">
            <w:r>
              <w:rPr>
                <w:rStyle w:val="IndexLink"/>
              </w:rPr>
              <w:t xml:space="preserve">2.7. Alignment with public policy</w:t>
              <w:tab/>
              <w:t xml:space="preserve">4</w:t>
            </w:r>
          </w:hyperlink>
        </w:p>
        <w:p>
          <w:pPr>
            <w:pStyle w:val="TOC3"/>
            <w:tabs>
              <w:tab w:val="clear" w:pos="8839"/>
              <w:tab w:val="right" w:pos="9405" w:leader="dot"/>
            </w:tabs>
            <w:rPr/>
          </w:pPr>
          <w:hyperlink w:anchor="__RefHeading___Toc7893_1931662957">
            <w:r>
              <w:rPr>
                <w:rStyle w:val="IndexLink"/>
              </w:rPr>
              <w:t xml:space="preserve">2.7.1. Sustainable Development Goals (SDGs)</w:t>
              <w:tab/>
              <w:t xml:space="preserve">4</w:t>
            </w:r>
          </w:hyperlink>
        </w:p>
        <w:p>
          <w:pPr>
            <w:pStyle w:val="TOC3"/>
            <w:tabs>
              <w:tab w:val="clear" w:pos="8839"/>
              <w:tab w:val="right" w:pos="9405" w:leader="dot"/>
            </w:tabs>
            <w:rPr/>
          </w:pPr>
          <w:hyperlink w:anchor="__RefHeading___Toc7895_1931662957">
            <w:r>
              <w:rPr>
                <w:rStyle w:val="IndexLink"/>
              </w:rPr>
              <w:t xml:space="preserve">2.7.2. National Development Plan 2022-2026 “Colombia, World Power of Life” (Law 2294 of 2023)</w:t>
              <w:tab/>
              <w:t xml:space="preserve">5</w:t>
            </w:r>
          </w:hyperlink>
        </w:p>
        <w:p>
          <w:pPr>
            <w:pStyle w:val="TOC3"/>
            <w:tabs>
              <w:tab w:val="clear" w:pos="8839"/>
              <w:tab w:val="right" w:pos="9405" w:leader="dot"/>
            </w:tabs>
            <w:rPr/>
          </w:pPr>
          <w:hyperlink w:anchor="__RefHeading___Toc7897_1931662957">
            <w:r>
              <w:rPr>
                <w:rStyle w:val="IndexLink"/>
              </w:rPr>
              <w:t xml:space="preserve">2.7.3. Departmental Development Plan “Por Antioquia firme” 2024-2027</w:t>
              <w:tab/>
              <w:t xml:space="preserve">5</w:t>
            </w:r>
          </w:hyperlink>
        </w:p>
        <w:p>
          <w:pPr>
            <w:pStyle w:val="TOC3"/>
            <w:tabs>
              <w:tab w:val="clear" w:pos="8839"/>
              <w:tab w:val="right" w:pos="9405" w:leader="dot"/>
            </w:tabs>
            <w:rPr/>
          </w:pPr>
          <w:hyperlink w:anchor="__RefHeading___Toc7899_1931662957">
            <w:r>
              <w:rPr>
                <w:rStyle w:val="IndexLink"/>
              </w:rPr>
              <w:t xml:space="preserve">2.7.4. Municipal Development Plan of San Francisco 2024-2027</w:t>
              <w:tab/>
              <w:t xml:space="preserve">6</w:t>
            </w:r>
          </w:hyperlink>
        </w:p>
        <w:p>
          <w:pPr>
            <w:pStyle w:val="TOC1"/>
            <w:tabs>
              <w:tab w:val="clear" w:pos="9406"/>
              <w:tab w:val="right" w:pos="9405" w:leader="dot"/>
            </w:tabs>
            <w:rPr/>
          </w:pPr>
          <w:hyperlink w:anchor="__RefHeading___Toc7901_1931662957">
            <w:r>
              <w:rPr>
                <w:rStyle w:val="IndexLink"/>
              </w:rPr>
              <w:t xml:space="preserve">3. Executive summary</w:t>
              <w:tab/>
              <w:t xml:space="preserve">7</w:t>
            </w:r>
          </w:hyperlink>
        </w:p>
        <w:p>
          <w:pPr>
            <w:pStyle w:val="TOC1"/>
            <w:tabs>
              <w:tab w:val="clear" w:pos="9406"/>
              <w:tab w:val="right" w:pos="9405" w:leader="dot"/>
            </w:tabs>
            <w:rPr/>
          </w:pPr>
          <w:hyperlink w:anchor="__RefHeading___Toc7903_1931662957">
            <w:r>
              <w:rPr>
                <w:rStyle w:val="IndexLink"/>
              </w:rPr>
              <w:t xml:space="preserve">4. Background</w:t>
              <w:tab/>
              <w:t xml:space="preserve">8</w:t>
            </w:r>
          </w:hyperlink>
        </w:p>
        <w:p>
          <w:pPr>
            <w:pStyle w:val="TOC1"/>
            <w:tabs>
              <w:tab w:val="clear" w:pos="9406"/>
              <w:tab w:val="right" w:pos="9405" w:leader="dot"/>
            </w:tabs>
            <w:rPr/>
          </w:pPr>
          <w:hyperlink w:anchor="__RefHeading___Toc7905_1931662957">
            <w:r>
              <w:rPr>
                <w:rStyle w:val="IndexLink"/>
              </w:rPr>
              <w:t xml:space="preserve">5. Stakeholder analysis</w:t>
              <w:tab/>
              <w:t xml:space="preserve">11</w:t>
            </w:r>
          </w:hyperlink>
        </w:p>
        <w:p>
          <w:pPr>
            <w:pStyle w:val="TOC2"/>
            <w:tabs>
              <w:tab w:val="clear" w:pos="9123"/>
              <w:tab w:val="right" w:pos="9405" w:leader="dot"/>
            </w:tabs>
            <w:rPr/>
          </w:pPr>
          <w:hyperlink w:anchor="__RefHeading___Toc7907_1931662957">
            <w:r>
              <w:rPr>
                <w:rStyle w:val="IndexLink"/>
              </w:rPr>
              <w:t xml:space="preserve">5.1. Management strategies for opponents and adversely affected parties</w:t>
              <w:tab/>
              <w:t xml:space="preserve">13</w:t>
            </w:r>
          </w:hyperlink>
        </w:p>
        <w:p>
          <w:pPr>
            <w:pStyle w:val="TOC1"/>
            <w:tabs>
              <w:tab w:val="clear" w:pos="9406"/>
              <w:tab w:val="right" w:pos="9405" w:leader="dot"/>
            </w:tabs>
            <w:rPr/>
          </w:pPr>
          <w:hyperlink w:anchor="__RefHeading___Toc7909_1931662957">
            <w:r>
              <w:rPr>
                <w:rStyle w:val="IndexLink"/>
              </w:rPr>
              <w:t xml:space="preserve">6. Problem analysis</w:t>
              <w:tab/>
              <w:t xml:space="preserve">14</w:t>
            </w:r>
          </w:hyperlink>
        </w:p>
        <w:p>
          <w:pPr>
            <w:pStyle w:val="TOC2"/>
            <w:tabs>
              <w:tab w:val="clear" w:pos="9123"/>
              <w:tab w:val="right" w:pos="9405" w:leader="dot"/>
            </w:tabs>
            <w:rPr/>
          </w:pPr>
          <w:hyperlink w:anchor="__RefHeading___Toc7911_1931662957">
            <w:r>
              <w:rPr>
                <w:rStyle w:val="IndexLink"/>
              </w:rPr>
              <w:t xml:space="preserve">6.1. Central problem</w:t>
              <w:tab/>
              <w:t xml:space="preserve">14</w:t>
            </w:r>
          </w:hyperlink>
        </w:p>
        <w:p>
          <w:pPr>
            <w:pStyle w:val="TOC2"/>
            <w:tabs>
              <w:tab w:val="clear" w:pos="9123"/>
              <w:tab w:val="right" w:pos="9405" w:leader="dot"/>
            </w:tabs>
            <w:rPr/>
          </w:pPr>
          <w:hyperlink w:anchor="__RefHeading___Toc7913_1931662957">
            <w:r>
              <w:rPr>
                <w:rStyle w:val="IndexLink"/>
              </w:rPr>
              <w:t xml:space="preserve">6.2. Causes and effects</w:t>
              <w:tab/>
              <w:t xml:space="preserve">14</w:t>
            </w:r>
          </w:hyperlink>
        </w:p>
        <w:p>
          <w:pPr>
            <w:pStyle w:val="TOC2"/>
            <w:tabs>
              <w:tab w:val="clear" w:pos="9123"/>
              <w:tab w:val="right" w:pos="9405" w:leader="dot"/>
            </w:tabs>
            <w:rPr/>
          </w:pPr>
          <w:hyperlink w:anchor="__RefHeading___Toc7915_1931662957">
            <w:r>
              <w:rPr>
                <w:rStyle w:val="IndexLink"/>
              </w:rPr>
              <w:t xml:space="preserve">6.3. Problem tree</w:t>
              <w:tab/>
              <w:t xml:space="preserve">14</w:t>
            </w:r>
          </w:hyperlink>
        </w:p>
        <w:p>
          <w:pPr>
            <w:pStyle w:val="TOC2"/>
            <w:tabs>
              <w:tab w:val="clear" w:pos="9123"/>
              <w:tab w:val="right" w:pos="9405" w:leader="dot"/>
            </w:tabs>
            <w:rPr/>
          </w:pPr>
          <w:hyperlink w:anchor="__RefHeading___Toc7917_1931662957">
            <w:r>
              <w:rPr>
                <w:rStyle w:val="IndexLink"/>
              </w:rPr>
              <w:t xml:space="preserve">6.4. Description of the problem and the existing situation</w:t>
              <w:tab/>
              <w:t xml:space="preserve">15</w:t>
            </w:r>
          </w:hyperlink>
        </w:p>
        <w:p>
          <w:pPr>
            <w:pStyle w:val="TOC2"/>
            <w:tabs>
              <w:tab w:val="clear" w:pos="9123"/>
              <w:tab w:val="right" w:pos="9405" w:leader="dot"/>
            </w:tabs>
            <w:rPr/>
          </w:pPr>
          <w:hyperlink w:anchor="__RefHeading___Toc7919_1931662957">
            <w:r>
              <w:rPr>
                <w:rStyle w:val="IndexLink"/>
              </w:rPr>
              <w:t xml:space="preserve">6.5. Magnitude of the problem</w:t>
              <w:tab/>
              <w:t xml:space="preserve">16</w:t>
            </w:r>
          </w:hyperlink>
        </w:p>
        <w:p>
          <w:pPr>
            <w:pStyle w:val="TOC1"/>
            <w:tabs>
              <w:tab w:val="clear" w:pos="9406"/>
              <w:tab w:val="right" w:pos="9405" w:leader="dot"/>
            </w:tabs>
            <w:rPr/>
          </w:pPr>
          <w:hyperlink w:anchor="__RefHeading___Toc7921_1931662957">
            <w:r>
              <w:rPr>
                <w:rStyle w:val="IndexLink"/>
              </w:rPr>
              <w:t xml:space="preserve">7. State of the art</w:t>
              <w:tab/>
              <w:t xml:space="preserve">22</w:t>
            </w:r>
          </w:hyperlink>
        </w:p>
        <w:p>
          <w:pPr>
            <w:pStyle w:val="TOC2"/>
            <w:tabs>
              <w:tab w:val="clear" w:pos="9123"/>
              <w:tab w:val="right" w:pos="9405" w:leader="dot"/>
            </w:tabs>
            <w:rPr/>
          </w:pPr>
          <w:hyperlink w:anchor="__RefHeading___Toc7923_1931662957">
            <w:r>
              <w:rPr>
                <w:rStyle w:val="IndexLink"/>
              </w:rPr>
              <w:t xml:space="preserve">7.1. Regulatory and normative framework</w:t>
              <w:tab/>
              <w:t xml:space="preserve">22</w:t>
            </w:r>
          </w:hyperlink>
        </w:p>
        <w:p>
          <w:pPr>
            <w:pStyle w:val="TOC2"/>
            <w:tabs>
              <w:tab w:val="clear" w:pos="9123"/>
              <w:tab w:val="right" w:pos="9405" w:leader="dot"/>
            </w:tabs>
            <w:rPr/>
          </w:pPr>
          <w:hyperlink w:anchor="__RefHeading___Toc7925_1931662957">
            <w:r>
              <w:rPr>
                <w:rStyle w:val="IndexLink"/>
              </w:rPr>
              <w:t xml:space="preserve">7.2. Scientific articles</w:t>
              <w:tab/>
              <w:t xml:space="preserve">23</w:t>
            </w:r>
          </w:hyperlink>
        </w:p>
        <w:p>
          <w:pPr>
            <w:pStyle w:val="TOC2"/>
            <w:tabs>
              <w:tab w:val="clear" w:pos="9123"/>
              <w:tab w:val="right" w:pos="9405" w:leader="dot"/>
            </w:tabs>
            <w:rPr/>
          </w:pPr>
          <w:hyperlink w:anchor="__RefHeading___Toc7927_1931662957">
            <w:r>
              <w:rPr>
                <w:rStyle w:val="IndexLink"/>
              </w:rPr>
              <w:t xml:space="preserve">7.3. Books and other literature</w:t>
              <w:tab/>
              <w:t xml:space="preserve">24</w:t>
            </w:r>
          </w:hyperlink>
        </w:p>
        <w:p>
          <w:pPr>
            <w:pStyle w:val="TOC2"/>
            <w:tabs>
              <w:tab w:val="clear" w:pos="9123"/>
              <w:tab w:val="right" w:pos="9405" w:leader="dot"/>
            </w:tabs>
            <w:rPr/>
          </w:pPr>
          <w:hyperlink w:anchor="__RefHeading___Toc7929_1931662957">
            <w:r>
              <w:rPr>
                <w:rStyle w:val="IndexLink"/>
              </w:rPr>
              <w:t xml:space="preserve">7.4. Patents</w:t>
              <w:tab/>
              <w:t xml:space="preserve">26</w:t>
            </w:r>
          </w:hyperlink>
        </w:p>
        <w:p>
          <w:pPr>
            <w:pStyle w:val="TOC2"/>
            <w:tabs>
              <w:tab w:val="clear" w:pos="9123"/>
              <w:tab w:val="right" w:pos="9405" w:leader="dot"/>
            </w:tabs>
            <w:rPr/>
          </w:pPr>
          <w:hyperlink w:anchor="__RefHeading___Toc7931_1931662957">
            <w:r>
              <w:rPr>
                <w:rStyle w:val="IndexLink"/>
              </w:rPr>
              <w:t xml:space="preserve">7.5. Synthesis and proposed solution</w:t>
              <w:tab/>
              <w:t xml:space="preserve">27</w:t>
            </w:r>
          </w:hyperlink>
        </w:p>
        <w:p>
          <w:pPr>
            <w:pStyle w:val="TOC1"/>
            <w:tabs>
              <w:tab w:val="clear" w:pos="9406"/>
              <w:tab w:val="right" w:pos="9405" w:leader="dot"/>
            </w:tabs>
            <w:rPr/>
          </w:pPr>
          <w:hyperlink w:anchor="__RefHeading___Toc7933_1931662957">
            <w:r>
              <w:rPr>
                <w:rStyle w:val="IndexLink"/>
              </w:rPr>
              <w:t xml:space="preserve">8. Objective analysis</w:t>
              <w:tab/>
              <w:t xml:space="preserve">28</w:t>
            </w:r>
          </w:hyperlink>
        </w:p>
        <w:p>
          <w:pPr>
            <w:pStyle w:val="TOC1"/>
            <w:tabs>
              <w:tab w:val="clear" w:pos="9406"/>
              <w:tab w:val="right" w:pos="9405" w:leader="dot"/>
            </w:tabs>
            <w:rPr/>
          </w:pPr>
          <w:hyperlink w:anchor="__RefHeading___Toc7935_1931662957">
            <w:r>
              <w:rPr>
                <w:rStyle w:val="IndexLink"/>
              </w:rPr>
              <w:t xml:space="preserve">9. Alternatives analysis</w:t>
              <w:tab/>
              <w:t xml:space="preserve">31</w:t>
            </w:r>
          </w:hyperlink>
        </w:p>
        <w:p>
          <w:pPr>
            <w:pStyle w:val="TOC2"/>
            <w:tabs>
              <w:tab w:val="clear" w:pos="9123"/>
              <w:tab w:val="right" w:pos="9405" w:leader="dot"/>
            </w:tabs>
            <w:rPr/>
          </w:pPr>
          <w:hyperlink w:anchor="__RefHeading___Toc7937_1931662957">
            <w:r>
              <w:rPr>
                <w:rStyle w:val="IndexLink"/>
              </w:rPr>
              <w:t xml:space="preserve">9.1. Selection matrix</w:t>
              <w:tab/>
              <w:t xml:space="preserve">31</w:t>
            </w:r>
          </w:hyperlink>
        </w:p>
        <w:p>
          <w:pPr>
            <w:pStyle w:val="TOC2"/>
            <w:tabs>
              <w:tab w:val="clear" w:pos="9123"/>
              <w:tab w:val="right" w:pos="9405" w:leader="dot"/>
            </w:tabs>
            <w:rPr/>
          </w:pPr>
          <w:hyperlink w:anchor="__RefHeading___Toc7939_1931662957">
            <w:r>
              <w:rPr>
                <w:rStyle w:val="IndexLink"/>
              </w:rPr>
              <w:t xml:space="preserve">9.2. Reasons for discarding the other alternatives</w:t>
              <w:tab/>
              <w:t xml:space="preserve">32</w:t>
            </w:r>
          </w:hyperlink>
        </w:p>
        <w:p>
          <w:pPr>
            <w:pStyle w:val="TOC2"/>
            <w:tabs>
              <w:tab w:val="clear" w:pos="9123"/>
              <w:tab w:val="right" w:pos="9405" w:leader="dot"/>
            </w:tabs>
            <w:rPr/>
          </w:pPr>
          <w:hyperlink w:anchor="__RefHeading___Toc7941_1931662957">
            <w:r>
              <w:rPr>
                <w:rStyle w:val="IndexLink"/>
              </w:rPr>
              <w:t xml:space="preserve">9.3. Technical analysis of the selected alternative</w:t>
              <w:tab/>
              <w:t xml:space="preserve">32</w:t>
            </w:r>
          </w:hyperlink>
        </w:p>
        <w:p>
          <w:pPr>
            <w:pStyle w:val="TOC1"/>
            <w:tabs>
              <w:tab w:val="clear" w:pos="9406"/>
              <w:tab w:val="right" w:pos="9405" w:leader="dot"/>
            </w:tabs>
            <w:rPr/>
          </w:pPr>
          <w:hyperlink w:anchor="__RefHeading___Toc7943_1931662957">
            <w:r>
              <w:rPr>
                <w:rStyle w:val="IndexLink"/>
              </w:rPr>
              <w:t xml:space="preserve">10. Objectives</w:t>
              <w:tab/>
              <w:t xml:space="preserve">34</w:t>
            </w:r>
          </w:hyperlink>
        </w:p>
        <w:p>
          <w:pPr>
            <w:pStyle w:val="TOC2"/>
            <w:tabs>
              <w:tab w:val="clear" w:pos="9123"/>
              <w:tab w:val="right" w:pos="9405" w:leader="dot"/>
            </w:tabs>
            <w:rPr/>
          </w:pPr>
          <w:hyperlink w:anchor="__RefHeading___Toc7945_1931662957">
            <w:r>
              <w:rPr>
                <w:rStyle w:val="IndexLink"/>
              </w:rPr>
              <w:t xml:space="preserve">10.1. General objective</w:t>
              <w:tab/>
              <w:t xml:space="preserve">34</w:t>
            </w:r>
          </w:hyperlink>
        </w:p>
        <w:p>
          <w:pPr>
            <w:pStyle w:val="TOC2"/>
            <w:tabs>
              <w:tab w:val="clear" w:pos="9123"/>
              <w:tab w:val="right" w:pos="9405" w:leader="dot"/>
            </w:tabs>
            <w:rPr/>
          </w:pPr>
          <w:hyperlink w:anchor="__RefHeading___Toc7947_1931662957">
            <w:r>
              <w:rPr>
                <w:rStyle w:val="IndexLink"/>
              </w:rPr>
              <w:t xml:space="preserve">10.2. Specific objectives</w:t>
              <w:tab/>
              <w:t xml:space="preserve">34</w:t>
            </w:r>
          </w:hyperlink>
        </w:p>
        <w:p>
          <w:pPr>
            <w:pStyle w:val="TOC2"/>
            <w:tabs>
              <w:tab w:val="clear" w:pos="9123"/>
              <w:tab w:val="right" w:pos="9405" w:leader="dot"/>
            </w:tabs>
            <w:rPr/>
          </w:pPr>
          <w:hyperlink w:anchor="__RefHeading___Toc7949_1931662957">
            <w:r>
              <w:rPr>
                <w:rStyle w:val="IndexLink"/>
              </w:rPr>
              <w:t xml:space="preserve">10.3. Relationship between the objectives and the objective tree</w:t>
              <w:tab/>
              <w:t xml:space="preserve">34</w:t>
            </w:r>
          </w:hyperlink>
        </w:p>
        <w:p>
          <w:pPr>
            <w:pStyle w:val="TOC1"/>
            <w:tabs>
              <w:tab w:val="clear" w:pos="9406"/>
              <w:tab w:val="right" w:pos="9405" w:leader="dot"/>
            </w:tabs>
            <w:rPr/>
          </w:pPr>
          <w:hyperlink w:anchor="__RefHeading___Toc7951_1931662957">
            <w:r>
              <w:rPr>
                <w:rStyle w:val="IndexLink"/>
              </w:rPr>
              <w:t xml:space="preserve">11. Project work breakdown structure</w:t>
              <w:tab/>
              <w:t xml:space="preserve">36</w:t>
            </w:r>
          </w:hyperlink>
        </w:p>
        <w:p>
          <w:pPr>
            <w:pStyle w:val="TOC2"/>
            <w:tabs>
              <w:tab w:val="clear" w:pos="9123"/>
              <w:tab w:val="right" w:pos="9405" w:leader="dot"/>
            </w:tabs>
            <w:rPr/>
          </w:pPr>
          <w:hyperlink w:anchor="__RefHeading___Toc7953_1931662957">
            <w:r>
              <w:rPr>
                <w:rStyle w:val="IndexLink"/>
              </w:rPr>
              <w:t xml:space="preserve">11.1. Expected products</w:t>
              <w:tab/>
              <w:t xml:space="preserve">36</w:t>
            </w:r>
          </w:hyperlink>
        </w:p>
        <w:p>
          <w:pPr>
            <w:pStyle w:val="TOC1"/>
            <w:tabs>
              <w:tab w:val="clear" w:pos="9406"/>
              <w:tab w:val="right" w:pos="9405" w:leader="dot"/>
            </w:tabs>
            <w:rPr/>
          </w:pPr>
          <w:hyperlink w:anchor="__RefHeading___Toc7955_1931662957">
            <w:r>
              <w:rPr>
                <w:rStyle w:val="IndexLink"/>
              </w:rPr>
              <w:t xml:space="preserve">12. Methodology</w:t>
              <w:tab/>
              <w:t xml:space="preserve">39</w:t>
            </w:r>
          </w:hyperlink>
        </w:p>
        <w:p>
          <w:pPr>
            <w:pStyle w:val="TOC1"/>
            <w:tabs>
              <w:tab w:val="clear" w:pos="9406"/>
              <w:tab w:val="right" w:pos="9405" w:leader="dot"/>
            </w:tabs>
            <w:rPr/>
          </w:pPr>
          <w:hyperlink w:anchor="__RefHeading___Toc7957_1931662957">
            <w:r>
              <w:rPr>
                <w:rStyle w:val="IndexLink"/>
              </w:rPr>
              <w:t xml:space="preserve">13. Logical framework matrix</w:t>
              <w:tab/>
              <w:t xml:space="preserve">47</w:t>
            </w:r>
          </w:hyperlink>
        </w:p>
        <w:p>
          <w:pPr>
            <w:pStyle w:val="TOC1"/>
            <w:tabs>
              <w:tab w:val="clear" w:pos="9406"/>
              <w:tab w:val="right" w:pos="9405" w:leader="dot"/>
            </w:tabs>
            <w:rPr/>
          </w:pPr>
          <w:hyperlink w:anchor="__RefHeading___Toc7959_1931662957">
            <w:r>
              <w:rPr>
                <w:rStyle w:val="IndexLink"/>
              </w:rPr>
              <w:t xml:space="preserve">14. Impacts</w:t>
              <w:tab/>
              <w:t xml:space="preserve">51</w:t>
            </w:r>
          </w:hyperlink>
        </w:p>
        <w:p>
          <w:pPr>
            <w:pStyle w:val="TOC1"/>
            <w:tabs>
              <w:tab w:val="clear" w:pos="9406"/>
              <w:tab w:val="right" w:pos="9405" w:leader="dot"/>
            </w:tabs>
            <w:rPr/>
          </w:pPr>
          <w:hyperlink w:anchor="__RefHeading___Toc7961_1931662957">
            <w:r>
              <w:rPr>
                <w:rStyle w:val="IndexLink"/>
              </w:rPr>
              <w:t xml:space="preserve">15. Dissemination strategy</w:t>
              <w:tab/>
              <w:t xml:space="preserve">52</w:t>
            </w:r>
          </w:hyperlink>
        </w:p>
        <w:p>
          <w:pPr>
            <w:pStyle w:val="TOC1"/>
            <w:tabs>
              <w:tab w:val="clear" w:pos="9406"/>
              <w:tab w:val="right" w:pos="9405" w:leader="dot"/>
            </w:tabs>
            <w:rPr/>
          </w:pPr>
          <w:hyperlink w:anchor="__RefHeading___Toc7963_1931662957">
            <w:r>
              <w:rPr>
                <w:rStyle w:val="IndexLink"/>
              </w:rPr>
              <w:t xml:space="preserve">16. Schedule</w:t>
              <w:tab/>
              <w:t xml:space="preserve">53</w:t>
            </w:r>
          </w:hyperlink>
        </w:p>
        <w:p>
          <w:pPr>
            <w:pStyle w:val="TOC1"/>
            <w:tabs>
              <w:tab w:val="clear" w:pos="9406"/>
              <w:tab w:val="right" w:pos="9405" w:leader="dot"/>
            </w:tabs>
            <w:rPr/>
          </w:pPr>
          <w:hyperlink w:anchor="__RefHeading___Toc7965_1931662957">
            <w:r>
              <w:rPr>
                <w:rStyle w:val="IndexLink"/>
              </w:rPr>
              <w:t xml:space="preserve">17. Budget</w:t>
              <w:tab/>
              <w:t xml:space="preserve">55</w:t>
            </w:r>
          </w:hyperlink>
        </w:p>
        <w:p>
          <w:pPr>
            <w:pStyle w:val="TOC2"/>
            <w:tabs>
              <w:tab w:val="clear" w:pos="9123"/>
              <w:tab w:val="right" w:pos="9405" w:leader="dot"/>
            </w:tabs>
            <w:rPr/>
          </w:pPr>
          <w:hyperlink w:anchor="__RefHeading___Toc7967_1931662957">
            <w:r>
              <w:rPr>
                <w:rStyle w:val="IndexLink"/>
              </w:rPr>
              <w:t xml:space="preserve">17.1. Human resources</w:t>
              <w:tab/>
              <w:t xml:space="preserve">55</w:t>
            </w:r>
          </w:hyperlink>
        </w:p>
        <w:p>
          <w:pPr>
            <w:pStyle w:val="TOC2"/>
            <w:tabs>
              <w:tab w:val="clear" w:pos="9123"/>
              <w:tab w:val="right" w:pos="9405" w:leader="dot"/>
            </w:tabs>
            <w:rPr/>
          </w:pPr>
          <w:hyperlink w:anchor="__RefHeading___Toc7969_1931662957">
            <w:r>
              <w:rPr>
                <w:rStyle w:val="IndexLink"/>
              </w:rPr>
              <w:t xml:space="preserve">17.2. Equipment and software</w:t>
              <w:tab/>
              <w:t xml:space="preserve">55</w:t>
            </w:r>
          </w:hyperlink>
        </w:p>
        <w:p>
          <w:pPr>
            <w:pStyle w:val="TOC2"/>
            <w:tabs>
              <w:tab w:val="clear" w:pos="9123"/>
              <w:tab w:val="right" w:pos="9405" w:leader="dot"/>
            </w:tabs>
            <w:rPr/>
          </w:pPr>
          <w:hyperlink w:anchor="__RefHeading___Toc7971_1931662957">
            <w:r>
              <w:rPr>
                <w:rStyle w:val="IndexLink"/>
              </w:rPr>
              <w:t xml:space="preserve">17.3. Training and events</w:t>
              <w:tab/>
              <w:t xml:space="preserve">56</w:t>
            </w:r>
          </w:hyperlink>
        </w:p>
        <w:p>
          <w:pPr>
            <w:pStyle w:val="TOC2"/>
            <w:tabs>
              <w:tab w:val="clear" w:pos="9123"/>
              <w:tab w:val="right" w:pos="9405" w:leader="dot"/>
            </w:tabs>
            <w:rPr/>
          </w:pPr>
          <w:hyperlink w:anchor="__RefHeading___Toc7973_1931662957">
            <w:r>
              <w:rPr>
                <w:rStyle w:val="IndexLink"/>
              </w:rPr>
              <w:t xml:space="preserve">17.4. Services and testing</w:t>
              <w:tab/>
              <w:t xml:space="preserve">57</w:t>
            </w:r>
          </w:hyperlink>
        </w:p>
        <w:p>
          <w:pPr>
            <w:pStyle w:val="TOC2"/>
            <w:tabs>
              <w:tab w:val="clear" w:pos="9123"/>
              <w:tab w:val="right" w:pos="9405" w:leader="dot"/>
            </w:tabs>
            <w:rPr/>
          </w:pPr>
          <w:hyperlink w:anchor="__RefHeading___Toc7975_1931662957">
            <w:r>
              <w:rPr>
                <w:rStyle w:val="IndexLink"/>
              </w:rPr>
              <w:t xml:space="preserve">17.5. Materials, supplies and documentation</w:t>
              <w:tab/>
              <w:t xml:space="preserve">57</w:t>
            </w:r>
          </w:hyperlink>
        </w:p>
        <w:p>
          <w:pPr>
            <w:pStyle w:val="TOC2"/>
            <w:tabs>
              <w:tab w:val="clear" w:pos="9123"/>
              <w:tab w:val="right" w:pos="9405" w:leader="dot"/>
            </w:tabs>
            <w:rPr/>
          </w:pPr>
          <w:hyperlink w:anchor="__RefHeading___Toc7977_1931662957">
            <w:r>
              <w:rPr>
                <w:rStyle w:val="IndexLink"/>
              </w:rPr>
              <w:t xml:space="preserve">17.6. Travel expenses</w:t>
              <w:tab/>
              <w:t xml:space="preserve">57</w:t>
            </w:r>
          </w:hyperlink>
        </w:p>
        <w:p>
          <w:pPr>
            <w:pStyle w:val="TOC2"/>
            <w:tabs>
              <w:tab w:val="clear" w:pos="9123"/>
              <w:tab w:val="right" w:pos="9405" w:leader="dot"/>
            </w:tabs>
            <w:rPr/>
          </w:pPr>
          <w:hyperlink w:anchor="__RefHeading___Toc7979_1931662957">
            <w:r>
              <w:rPr>
                <w:rStyle w:val="IndexLink"/>
              </w:rPr>
              <w:t xml:space="preserve">17.7. Infrastructure</w:t>
              <w:tab/>
              <w:t xml:space="preserve">58</w:t>
            </w:r>
          </w:hyperlink>
        </w:p>
        <w:p>
          <w:pPr>
            <w:pStyle w:val="TOC2"/>
            <w:tabs>
              <w:tab w:val="clear" w:pos="9123"/>
              <w:tab w:val="right" w:pos="9405" w:leader="dot"/>
            </w:tabs>
            <w:rPr/>
          </w:pPr>
          <w:hyperlink w:anchor="__RefHeading___Toc7981_1931662957">
            <w:r>
              <w:rPr>
                <w:rStyle w:val="IndexLink"/>
              </w:rPr>
              <w:t xml:space="preserve">17.8. Administrative expenses</w:t>
              <w:tab/>
              <w:t xml:space="preserve">58</w:t>
            </w:r>
          </w:hyperlink>
        </w:p>
        <w:p>
          <w:pPr>
            <w:pStyle w:val="TOC2"/>
            <w:tabs>
              <w:tab w:val="clear" w:pos="9123"/>
              <w:tab w:val="right" w:pos="9405" w:leader="dot"/>
            </w:tabs>
            <w:rPr/>
          </w:pPr>
          <w:hyperlink w:anchor="__RefHeading___Toc7983_1931662957">
            <w:r>
              <w:rPr>
                <w:rStyle w:val="IndexLink"/>
              </w:rPr>
              <w:t xml:space="preserve">17.9. Budget summary</w:t>
              <w:tab/>
              <w:t xml:space="preserve">59</w:t>
            </w:r>
          </w:hyperlink>
        </w:p>
        <w:p>
          <w:pPr>
            <w:pStyle w:val="TOC2"/>
            <w:tabs>
              <w:tab w:val="clear" w:pos="9123"/>
              <w:tab w:val="right" w:pos="9405" w:leader="dot"/>
            </w:tabs>
            <w:rPr/>
          </w:pPr>
          <w:hyperlink w:anchor="__RefHeading___Toc7985_1931662957">
            <w:r>
              <w:rPr>
                <w:rStyle w:val="IndexLink"/>
              </w:rPr>
              <w:t xml:space="preserve">17.10. Budget cash flow</w:t>
              <w:tab/>
              <w:t xml:space="preserve">61</w:t>
            </w:r>
          </w:hyperlink>
        </w:p>
        <w:p>
          <w:pPr>
            <w:pStyle w:val="TOC1"/>
            <w:tabs>
              <w:tab w:val="clear" w:pos="9406"/>
              <w:tab w:val="right" w:pos="9405" w:leader="dot"/>
            </w:tabs>
            <w:rPr/>
          </w:pPr>
          <w:hyperlink w:anchor="__RefHeading___Toc7987_1931662957">
            <w:r>
              <w:rPr>
                <w:rStyle w:val="IndexLink"/>
              </w:rPr>
              <w:t xml:space="preserve">18. Financial evaluation</w:t>
              <w:tab/>
              <w:t xml:space="preserve">63</w:t>
            </w:r>
          </w:hyperlink>
        </w:p>
        <w:p>
          <w:pPr>
            <w:pStyle w:val="TOC2"/>
            <w:tabs>
              <w:tab w:val="clear" w:pos="9123"/>
              <w:tab w:val="right" w:pos="9405" w:leader="dot"/>
            </w:tabs>
            <w:rPr/>
          </w:pPr>
          <w:hyperlink w:anchor="__RefHeading___Toc7989_1931662957">
            <w:r>
              <w:rPr>
                <w:rStyle w:val="IndexLink"/>
              </w:rPr>
              <w:t xml:space="preserve">18.1. Income</w:t>
              <w:tab/>
              <w:t xml:space="preserve">63</w:t>
            </w:r>
          </w:hyperlink>
        </w:p>
        <w:p>
          <w:pPr>
            <w:pStyle w:val="TOC2"/>
            <w:tabs>
              <w:tab w:val="clear" w:pos="9123"/>
              <w:tab w:val="right" w:pos="9405" w:leader="dot"/>
            </w:tabs>
            <w:rPr/>
          </w:pPr>
          <w:hyperlink w:anchor="__RefHeading___Toc7991_1931662957">
            <w:r>
              <w:rPr>
                <w:rStyle w:val="IndexLink"/>
              </w:rPr>
              <w:t xml:space="preserve">18.2. Benefits</w:t>
              <w:tab/>
              <w:t xml:space="preserve">63</w:t>
            </w:r>
          </w:hyperlink>
        </w:p>
        <w:p>
          <w:pPr>
            <w:pStyle w:val="TOC2"/>
            <w:tabs>
              <w:tab w:val="clear" w:pos="9123"/>
              <w:tab w:val="right" w:pos="9405" w:leader="dot"/>
            </w:tabs>
            <w:rPr/>
          </w:pPr>
          <w:hyperlink w:anchor="__RefHeading___Toc7993_1931662957">
            <w:r>
              <w:rPr>
                <w:rStyle w:val="IndexLink"/>
              </w:rPr>
              <w:t xml:space="preserve">18.3. Investment costs</w:t>
              <w:tab/>
              <w:t xml:space="preserve">64</w:t>
            </w:r>
          </w:hyperlink>
        </w:p>
        <w:p>
          <w:pPr>
            <w:pStyle w:val="TOC2"/>
            <w:tabs>
              <w:tab w:val="clear" w:pos="9123"/>
              <w:tab w:val="right" w:pos="9405" w:leader="dot"/>
            </w:tabs>
            <w:rPr/>
          </w:pPr>
          <w:hyperlink w:anchor="__RefHeading___Toc7995_1931662957">
            <w:r>
              <w:rPr>
                <w:rStyle w:val="IndexLink"/>
              </w:rPr>
              <w:t xml:space="preserve">18.4. Operation and maintenance costs</w:t>
              <w:tab/>
              <w:t xml:space="preserve">64</w:t>
            </w:r>
          </w:hyperlink>
        </w:p>
        <w:p>
          <w:pPr>
            <w:pStyle w:val="TOC2"/>
            <w:tabs>
              <w:tab w:val="clear" w:pos="9123"/>
              <w:tab w:val="right" w:pos="9405" w:leader="dot"/>
            </w:tabs>
            <w:rPr/>
          </w:pPr>
          <w:hyperlink w:anchor="__RefHeading___Toc7997_1931662957">
            <w:r>
              <w:rPr>
                <w:rStyle w:val="IndexLink"/>
              </w:rPr>
              <w:t xml:space="preserve">18.5. Loans, amortization and interest</w:t>
              <w:tab/>
              <w:t xml:space="preserve">65</w:t>
            </w:r>
          </w:hyperlink>
        </w:p>
        <w:p>
          <w:pPr>
            <w:pStyle w:val="TOC2"/>
            <w:tabs>
              <w:tab w:val="clear" w:pos="9123"/>
              <w:tab w:val="right" w:pos="9405" w:leader="dot"/>
            </w:tabs>
            <w:rPr/>
          </w:pPr>
          <w:hyperlink w:anchor="__RefHeading___Toc7999_1931662957">
            <w:r>
              <w:rPr>
                <w:rStyle w:val="IndexLink"/>
              </w:rPr>
              <w:t xml:space="preserve">18.6. Salvage value</w:t>
              <w:tab/>
              <w:t xml:space="preserve">65</w:t>
            </w:r>
          </w:hyperlink>
        </w:p>
        <w:p>
          <w:pPr>
            <w:pStyle w:val="TOC2"/>
            <w:tabs>
              <w:tab w:val="clear" w:pos="9123"/>
              <w:tab w:val="right" w:pos="9405" w:leader="dot"/>
            </w:tabs>
            <w:rPr/>
          </w:pPr>
          <w:hyperlink w:anchor="__RefHeading___Toc8001_1931662957">
            <w:r>
              <w:rPr>
                <w:rStyle w:val="IndexLink"/>
              </w:rPr>
              <w:t xml:space="preserve">18.7. Net cash flow</w:t>
              <w:tab/>
              <w:t xml:space="preserve">65</w:t>
            </w:r>
          </w:hyperlink>
        </w:p>
        <w:p>
          <w:pPr>
            <w:pStyle w:val="TOC2"/>
            <w:tabs>
              <w:tab w:val="clear" w:pos="9123"/>
              <w:tab w:val="right" w:pos="9405" w:leader="dot"/>
            </w:tabs>
            <w:rPr/>
          </w:pPr>
          <w:hyperlink w:anchor="__RefHeading___Toc8003_1931662957">
            <w:r>
              <w:rPr>
                <w:rStyle w:val="IndexLink"/>
              </w:rPr>
              <w:t xml:space="preserve">18.8. Financial indicators</w:t>
              <w:tab/>
              <w:t xml:space="preserve">66</w:t>
            </w:r>
          </w:hyperlink>
        </w:p>
        <w:p>
          <w:pPr>
            <w:pStyle w:val="TOC2"/>
            <w:tabs>
              <w:tab w:val="clear" w:pos="9123"/>
              <w:tab w:val="right" w:pos="9405" w:leader="dot"/>
            </w:tabs>
            <w:rPr/>
          </w:pPr>
          <w:hyperlink w:anchor="__RefHeading___Toc8005_1931662957">
            <w:r>
              <w:rPr>
                <w:rStyle w:val="IndexLink"/>
              </w:rPr>
              <w:t xml:space="preserve">18.9. Sensitivity analysis</w:t>
              <w:tab/>
              <w:t xml:space="preserve">67</w:t>
            </w:r>
          </w:hyperlink>
        </w:p>
        <w:p>
          <w:pPr>
            <w:pStyle w:val="TOC2"/>
            <w:tabs>
              <w:tab w:val="clear" w:pos="9123"/>
              <w:tab w:val="right" w:pos="9405" w:leader="dot"/>
            </w:tabs>
            <w:rPr/>
          </w:pPr>
          <w:hyperlink w:anchor="__RefHeading___Toc8007_1931662957">
            <w:r>
              <w:rPr>
                <w:rStyle w:val="IndexLink"/>
              </w:rPr>
              <w:t xml:space="preserve">18.10. Conclusion of the financial evaluation</w:t>
              <w:tab/>
              <w:t xml:space="preserve">67</w:t>
            </w:r>
          </w:hyperlink>
        </w:p>
        <w:p>
          <w:pPr>
            <w:pStyle w:val="TOC1"/>
            <w:tabs>
              <w:tab w:val="clear" w:pos="9406"/>
              <w:tab w:val="right" w:pos="9405" w:leader="dot"/>
            </w:tabs>
            <w:rPr/>
          </w:pPr>
          <w:hyperlink w:anchor="__RefHeading___Toc8009_1931662957">
            <w:r>
              <w:rPr>
                <w:rStyle w:val="IndexLink"/>
              </w:rPr>
              <w:t xml:space="preserve">19. Conclusions</w:t>
              <w:tab/>
              <w:t xml:space="preserve">68</w:t>
            </w:r>
          </w:hyperlink>
        </w:p>
        <w:p>
          <w:pPr>
            <w:pStyle w:val="TOC1"/>
            <w:tabs>
              <w:tab w:val="clear" w:pos="9406"/>
              <w:tab w:val="right" w:pos="9405" w:leader="dot"/>
            </w:tabs>
            <w:rPr/>
          </w:pPr>
          <w:hyperlink w:anchor="__RefHeading___Toc8011_1931662957">
            <w:r>
              <w:rPr>
                <w:rStyle w:val="IndexLink"/>
              </w:rPr>
              <w:t xml:space="preserve">References</w:t>
              <w:tab/>
              <w:t xml:space="preserve">69</w:t>
            </w:r>
          </w:hyperlink>
          <w:r>
            <w:rPr>
              <w:rStyle w:val="IndexLink"/>
            </w:rPr>
            <w:fldChar w:fldCharType="end"/>
          </w:r>
        </w:p>
      </w:sdtContent>
    </w:sdt>
    <w:p>
      <w:pPr>
        <w:pStyle w:val="Normal"/>
        <w:rPr/>
      </w:pPr>
      <w:r>
        <w:rPr/>
      </w:r>
    </w:p>
    <w:p>
      <w:pPr>
        <w:pStyle w:val="Normal"/>
        <w:rPr/>
      </w:pPr>
      <w:r>
        <w:rPr/>
      </w:r>
      <w:r>
        <w:br w:type="page"/>
      </w:r>
    </w:p>
    <w:p>
      <w:pPr>
        <w:pStyle w:val="Normal"/>
        <w:spacing w:before="0" w:after="200"/>
        <w:rPr/>
      </w:pPr>
      <w:r>
        <w:rPr>
          <w:b/>
          <w:bCs/>
          <w:color w:val="1F3864"/>
          <w:sz w:val="32"/>
          <w:szCs w:val="32"/>
        </w:rPr>
        <w:t xml:space="preserve">List of tables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\t "TableCaption,1" \h</w:instrText>
            <w:fldChar w:fldCharType="separate"/>
          </w:r>
          <w:hyperlink w:anchor="__RefHeading___Toc8013_1931662957">
            <w:r>
              <w:rPr>
                <w:rStyle w:val="IndexLink"/>
              </w:rPr>
              <w:t xml:space="preserve">Table 1. </w:t>
            </w:r>
            <w:r>
              <w:rPr>
                <w:rStyle w:val="IndexLink"/>
                <w:i/>
                <w:iCs/>
              </w:rPr>
              <w:t xml:space="preserve">Technical system identification</w:t>
            </w:r>
            <w:r>
              <w:rPr>
                <w:rStyle w:val="IndexLink"/>
              </w:rPr>
              <w:tab/>
              <w:t xml:space="preserve">1</w:t>
            </w:r>
          </w:hyperlink>
        </w:p>
        <w:p>
          <w:pPr>
            <w:pStyle w:val="TOC1"/>
            <w:tabs>
              <w:tab w:val="clear" w:pos="9406"/>
              <w:tab w:val="right" w:pos="9405" w:leader="dot"/>
            </w:tabs>
            <w:rPr/>
          </w:pPr>
          <w:hyperlink w:anchor="__RefHeading___Toc8087_1931662957">
            <w:r>
              <w:rPr>
                <w:rStyle w:val="IndexLink"/>
              </w:rPr>
              <w:t xml:space="preserve">Table 2. </w:t>
            </w:r>
            <w:r>
              <w:rPr>
                <w:rStyle w:val="IndexLink"/>
                <w:i/>
                <w:iCs/>
              </w:rPr>
              <w:t xml:space="preserve">Team composition</w:t>
            </w:r>
            <w:r>
              <w:rPr>
                <w:rStyle w:val="IndexLink"/>
              </w:rPr>
              <w:tab/>
              <w:t xml:space="preserve">4</w:t>
            </w:r>
          </w:hyperlink>
        </w:p>
        <w:p>
          <w:pPr>
            <w:pStyle w:val="TOC1"/>
            <w:tabs>
              <w:tab w:val="clear" w:pos="9406"/>
              <w:tab w:val="right" w:pos="9405" w:leader="dot"/>
            </w:tabs>
            <w:rPr/>
          </w:pPr>
          <w:hyperlink w:anchor="__RefHeading___Toc8085_1931662957">
            <w:r>
              <w:rPr>
                <w:rStyle w:val="IndexLink"/>
              </w:rPr>
              <w:t xml:space="preserve">Table 3. </w:t>
            </w:r>
            <w:r>
              <w:rPr>
                <w:rStyle w:val="IndexLink"/>
                <w:i/>
                <w:iCs/>
              </w:rPr>
              <w:t xml:space="preserve">Alignment with the Sustainable Development Goals</w:t>
            </w:r>
            <w:r>
              <w:rPr>
                <w:rStyle w:val="IndexLink"/>
              </w:rPr>
              <w:tab/>
              <w:t xml:space="preserve">5</w:t>
            </w:r>
          </w:hyperlink>
        </w:p>
        <w:p>
          <w:pPr>
            <w:pStyle w:val="TOC1"/>
            <w:tabs>
              <w:tab w:val="clear" w:pos="9406"/>
              <w:tab w:val="right" w:pos="9405" w:leader="dot"/>
            </w:tabs>
            <w:rPr/>
          </w:pPr>
          <w:hyperlink w:anchor="__RefHeading___Toc8083_1931662957">
            <w:r>
              <w:rPr>
                <w:rStyle w:val="IndexLink"/>
              </w:rPr>
              <w:t xml:space="preserve">Table 4. </w:t>
            </w:r>
            <w:r>
              <w:rPr>
                <w:rStyle w:val="IndexLink"/>
                <w:i/>
                <w:iCs/>
              </w:rPr>
              <w:t xml:space="preserve">Stakeholder analysis</w:t>
            </w:r>
            <w:r>
              <w:rPr>
                <w:rStyle w:val="IndexLink"/>
              </w:rPr>
              <w:tab/>
              <w:t xml:space="preserve">11</w:t>
            </w:r>
          </w:hyperlink>
        </w:p>
        <w:p>
          <w:pPr>
            <w:pStyle w:val="TOC1"/>
            <w:tabs>
              <w:tab w:val="clear" w:pos="9406"/>
              <w:tab w:val="right" w:pos="9405" w:leader="dot"/>
            </w:tabs>
            <w:rPr/>
          </w:pPr>
          <w:hyperlink w:anchor="__RefHeading___Toc8081_1931662957">
            <w:r>
              <w:rPr>
                <w:rStyle w:val="IndexLink"/>
              </w:rPr>
              <w:t xml:space="preserve">Table 5. </w:t>
            </w:r>
            <w:r>
              <w:rPr>
                <w:rStyle w:val="IndexLink"/>
                <w:i/>
                <w:iCs/>
              </w:rPr>
              <w:t xml:space="preserve">Causes and effects of the central problem</w:t>
            </w:r>
            <w:r>
              <w:rPr>
                <w:rStyle w:val="IndexLink"/>
              </w:rPr>
              <w:tab/>
              <w:t xml:space="preserve">14</w:t>
            </w:r>
          </w:hyperlink>
        </w:p>
        <w:p>
          <w:pPr>
            <w:pStyle w:val="TOC1"/>
            <w:tabs>
              <w:tab w:val="clear" w:pos="9406"/>
              <w:tab w:val="right" w:pos="9405" w:leader="dot"/>
            </w:tabs>
            <w:rPr/>
          </w:pPr>
          <w:hyperlink w:anchor="__RefHeading___Toc8079_1931662957">
            <w:r>
              <w:rPr>
                <w:rStyle w:val="IndexLink"/>
              </w:rPr>
              <w:t xml:space="preserve">Table 6. </w:t>
            </w:r>
            <w:r>
              <w:rPr>
                <w:rStyle w:val="IndexLink"/>
                <w:i/>
                <w:iCs/>
              </w:rPr>
              <w:t xml:space="preserve">Technical standards and regulations consulted</w:t>
            </w:r>
            <w:r>
              <w:rPr>
                <w:rStyle w:val="IndexLink"/>
              </w:rPr>
              <w:tab/>
              <w:t xml:space="preserve">22</w:t>
            </w:r>
          </w:hyperlink>
        </w:p>
        <w:p>
          <w:pPr>
            <w:pStyle w:val="TOC1"/>
            <w:tabs>
              <w:tab w:val="clear" w:pos="9406"/>
              <w:tab w:val="right" w:pos="9405" w:leader="dot"/>
            </w:tabs>
            <w:rPr/>
          </w:pPr>
          <w:hyperlink w:anchor="__RefHeading___Toc8077_1931662957">
            <w:r>
              <w:rPr>
                <w:rStyle w:val="IndexLink"/>
              </w:rPr>
              <w:t xml:space="preserve">Table 7. </w:t>
            </w:r>
            <w:r>
              <w:rPr>
                <w:rStyle w:val="IndexLink"/>
                <w:i/>
                <w:iCs/>
              </w:rPr>
              <w:t xml:space="preserve">Indexed-journal articles reviewed</w:t>
            </w:r>
            <w:r>
              <w:rPr>
                <w:rStyle w:val="IndexLink"/>
              </w:rPr>
              <w:tab/>
              <w:t xml:space="preserve">24</w:t>
            </w:r>
          </w:hyperlink>
        </w:p>
        <w:p>
          <w:pPr>
            <w:pStyle w:val="TOC1"/>
            <w:tabs>
              <w:tab w:val="clear" w:pos="9406"/>
              <w:tab w:val="right" w:pos="9405" w:leader="dot"/>
            </w:tabs>
            <w:rPr/>
          </w:pPr>
          <w:hyperlink w:anchor="__RefHeading___Toc8075_1931662957">
            <w:r>
              <w:rPr>
                <w:rStyle w:val="IndexLink"/>
              </w:rPr>
              <w:t xml:space="preserve">Table 8. </w:t>
            </w:r>
            <w:r>
              <w:rPr>
                <w:rStyle w:val="IndexLink"/>
                <w:i/>
                <w:iCs/>
              </w:rPr>
              <w:t xml:space="preserve">Books and other literature consulted</w:t>
            </w:r>
            <w:r>
              <w:rPr>
                <w:rStyle w:val="IndexLink"/>
              </w:rPr>
              <w:tab/>
              <w:t xml:space="preserve">26</w:t>
            </w:r>
          </w:hyperlink>
        </w:p>
        <w:p>
          <w:pPr>
            <w:pStyle w:val="TOC1"/>
            <w:tabs>
              <w:tab w:val="clear" w:pos="9406"/>
              <w:tab w:val="right" w:pos="9405" w:leader="dot"/>
            </w:tabs>
            <w:rPr/>
          </w:pPr>
          <w:hyperlink w:anchor="__RefHeading___Toc8073_1931662957">
            <w:r>
              <w:rPr>
                <w:rStyle w:val="IndexLink"/>
              </w:rPr>
              <w:t xml:space="preserve">Table 9. </w:t>
            </w:r>
            <w:r>
              <w:rPr>
                <w:rStyle w:val="IndexLink"/>
                <w:i/>
                <w:iCs/>
              </w:rPr>
              <w:t xml:space="preserve">Patents reviewed</w:t>
            </w:r>
            <w:r>
              <w:rPr>
                <w:rStyle w:val="IndexLink"/>
              </w:rPr>
              <w:tab/>
              <w:t xml:space="preserve">27</w:t>
            </w:r>
          </w:hyperlink>
        </w:p>
        <w:p>
          <w:pPr>
            <w:pStyle w:val="TOC1"/>
            <w:tabs>
              <w:tab w:val="clear" w:pos="9406"/>
              <w:tab w:val="right" w:pos="9405" w:leader="dot"/>
            </w:tabs>
            <w:rPr/>
          </w:pPr>
          <w:hyperlink w:anchor="__RefHeading___Toc8071_1931662957">
            <w:r>
              <w:rPr>
                <w:rStyle w:val="IndexLink"/>
              </w:rPr>
              <w:t xml:space="preserve">Table 10. </w:t>
            </w:r>
            <w:r>
              <w:rPr>
                <w:rStyle w:val="IndexLink"/>
                <w:i/>
                <w:iCs/>
              </w:rPr>
              <w:t xml:space="preserve">Objective tree</w:t>
            </w:r>
            <w:r>
              <w:rPr>
                <w:rStyle w:val="IndexLink"/>
              </w:rPr>
              <w:tab/>
              <w:t xml:space="preserve">28</w:t>
            </w:r>
          </w:hyperlink>
        </w:p>
        <w:p>
          <w:pPr>
            <w:pStyle w:val="TOC1"/>
            <w:tabs>
              <w:tab w:val="clear" w:pos="9406"/>
              <w:tab w:val="right" w:pos="9405" w:leader="dot"/>
            </w:tabs>
            <w:rPr/>
          </w:pPr>
          <w:hyperlink w:anchor="__RefHeading___Toc8069_1931662957">
            <w:r>
              <w:rPr>
                <w:rStyle w:val="IndexLink"/>
              </w:rPr>
              <w:t xml:space="preserve">Table 11. </w:t>
            </w:r>
            <w:r>
              <w:rPr>
                <w:rStyle w:val="IndexLink"/>
                <w:i/>
                <w:iCs/>
              </w:rPr>
              <w:t xml:space="preserve">Solution alternatives</w:t>
            </w:r>
            <w:r>
              <w:rPr>
                <w:rStyle w:val="IndexLink"/>
              </w:rPr>
              <w:tab/>
              <w:t xml:space="preserve">31</w:t>
            </w:r>
          </w:hyperlink>
        </w:p>
        <w:p>
          <w:pPr>
            <w:pStyle w:val="TOC1"/>
            <w:tabs>
              <w:tab w:val="clear" w:pos="9406"/>
              <w:tab w:val="right" w:pos="9405" w:leader="dot"/>
            </w:tabs>
            <w:rPr/>
          </w:pPr>
          <w:hyperlink w:anchor="__RefHeading___Toc8067_1931662957">
            <w:r>
              <w:rPr>
                <w:rStyle w:val="IndexLink"/>
              </w:rPr>
              <w:t xml:space="preserve">Table 12. </w:t>
            </w:r>
            <w:r>
              <w:rPr>
                <w:rStyle w:val="IndexLink"/>
                <w:i/>
                <w:iCs/>
              </w:rPr>
              <w:t xml:space="preserve">Alternatives selection matrix</w:t>
            </w:r>
            <w:r>
              <w:rPr>
                <w:rStyle w:val="IndexLink"/>
              </w:rPr>
              <w:tab/>
              <w:t xml:space="preserve">32</w:t>
            </w:r>
          </w:hyperlink>
        </w:p>
        <w:p>
          <w:pPr>
            <w:pStyle w:val="TOC1"/>
            <w:tabs>
              <w:tab w:val="clear" w:pos="9406"/>
              <w:tab w:val="right" w:pos="9405" w:leader="dot"/>
            </w:tabs>
            <w:rPr/>
          </w:pPr>
          <w:hyperlink w:anchor="__RefHeading___Toc8065_1931662957">
            <w:r>
              <w:rPr>
                <w:rStyle w:val="IndexLink"/>
              </w:rPr>
              <w:t xml:space="preserve">Table 13. </w:t>
            </w:r>
            <w:r>
              <w:rPr>
                <w:rStyle w:val="IndexLink"/>
                <w:i/>
                <w:iCs/>
              </w:rPr>
              <w:t xml:space="preserve">Relationship between specific objectives, means and ends</w:t>
            </w:r>
            <w:r>
              <w:rPr>
                <w:rStyle w:val="IndexLink"/>
              </w:rPr>
              <w:tab/>
              <w:t xml:space="preserve">35</w:t>
            </w:r>
          </w:hyperlink>
        </w:p>
        <w:p>
          <w:pPr>
            <w:pStyle w:val="TOC1"/>
            <w:tabs>
              <w:tab w:val="clear" w:pos="9406"/>
              <w:tab w:val="right" w:pos="9405" w:leader="dot"/>
            </w:tabs>
            <w:rPr/>
          </w:pPr>
          <w:hyperlink w:anchor="__RefHeading___Toc8063_1931662957">
            <w:r>
              <w:rPr>
                <w:rStyle w:val="IndexLink"/>
              </w:rPr>
              <w:t xml:space="preserve">Table 14. </w:t>
            </w:r>
            <w:r>
              <w:rPr>
                <w:rStyle w:val="IndexLink"/>
                <w:i/>
                <w:iCs/>
              </w:rPr>
              <w:t xml:space="preserve">Project work breakdown structure</w:t>
            </w:r>
            <w:r>
              <w:rPr>
                <w:rStyle w:val="IndexLink"/>
              </w:rPr>
              <w:tab/>
              <w:t xml:space="preserve">36</w:t>
            </w:r>
          </w:hyperlink>
        </w:p>
        <w:p>
          <w:pPr>
            <w:pStyle w:val="TOC1"/>
            <w:tabs>
              <w:tab w:val="clear" w:pos="9406"/>
              <w:tab w:val="right" w:pos="9405" w:leader="dot"/>
            </w:tabs>
            <w:rPr/>
          </w:pPr>
          <w:hyperlink w:anchor="__RefHeading___Toc8061_1931662957">
            <w:r>
              <w:rPr>
                <w:rStyle w:val="IndexLink"/>
              </w:rPr>
              <w:t xml:space="preserve">Table 15. </w:t>
            </w:r>
            <w:r>
              <w:rPr>
                <w:rStyle w:val="IndexLink"/>
                <w:i/>
                <w:iCs/>
              </w:rPr>
              <w:t xml:space="preserve">Expected products (MGA product catalog)</w:t>
            </w:r>
            <w:r>
              <w:rPr>
                <w:rStyle w:val="IndexLink"/>
              </w:rPr>
              <w:tab/>
              <w:t xml:space="preserve">38</w:t>
            </w:r>
          </w:hyperlink>
        </w:p>
        <w:p>
          <w:pPr>
            <w:pStyle w:val="TOC1"/>
            <w:tabs>
              <w:tab w:val="clear" w:pos="9406"/>
              <w:tab w:val="right" w:pos="9405" w:leader="dot"/>
            </w:tabs>
            <w:rPr/>
          </w:pPr>
          <w:hyperlink w:anchor="__RefHeading___Toc8059_1931662957">
            <w:r>
              <w:rPr>
                <w:rStyle w:val="IndexLink"/>
              </w:rPr>
              <w:t xml:space="preserve">Table 16. </w:t>
            </w:r>
            <w:r>
              <w:rPr>
                <w:rStyle w:val="IndexLink"/>
                <w:i/>
                <w:iCs/>
              </w:rPr>
              <w:t xml:space="preserve">Methodology: activities, responsible parties, tasks, results and means of verification</w:t>
            </w:r>
            <w:r>
              <w:rPr>
                <w:rStyle w:val="IndexLink"/>
              </w:rPr>
              <w:tab/>
              <w:t xml:space="preserve">39</w:t>
            </w:r>
          </w:hyperlink>
        </w:p>
        <w:p>
          <w:pPr>
            <w:pStyle w:val="TOC1"/>
            <w:tabs>
              <w:tab w:val="clear" w:pos="9406"/>
              <w:tab w:val="right" w:pos="9405" w:leader="dot"/>
            </w:tabs>
            <w:rPr/>
          </w:pPr>
          <w:hyperlink w:anchor="__RefHeading___Toc8057_1931662957">
            <w:r>
              <w:rPr>
                <w:rStyle w:val="IndexLink"/>
              </w:rPr>
              <w:t xml:space="preserve">Table 17. </w:t>
            </w:r>
            <w:r>
              <w:rPr>
                <w:rStyle w:val="IndexLink"/>
                <w:i/>
                <w:iCs/>
              </w:rPr>
              <w:t xml:space="preserve">Logical framework matrix</w:t>
            </w:r>
            <w:r>
              <w:rPr>
                <w:rStyle w:val="IndexLink"/>
              </w:rPr>
              <w:tab/>
              <w:t xml:space="preserve">47</w:t>
            </w:r>
          </w:hyperlink>
        </w:p>
        <w:p>
          <w:pPr>
            <w:pStyle w:val="TOC1"/>
            <w:tabs>
              <w:tab w:val="clear" w:pos="9406"/>
              <w:tab w:val="right" w:pos="9405" w:leader="dot"/>
            </w:tabs>
            <w:rPr/>
          </w:pPr>
          <w:hyperlink w:anchor="__RefHeading___Toc8055_1931662957">
            <w:r>
              <w:rPr>
                <w:rStyle w:val="IndexLink"/>
              </w:rPr>
              <w:t xml:space="preserve">Table 18. </w:t>
            </w:r>
            <w:r>
              <w:rPr>
                <w:rStyle w:val="IndexLink"/>
                <w:i/>
                <w:iCs/>
              </w:rPr>
              <w:t xml:space="preserve">Project impacts</w:t>
            </w:r>
            <w:r>
              <w:rPr>
                <w:rStyle w:val="IndexLink"/>
              </w:rPr>
              <w:tab/>
              <w:t xml:space="preserve">51</w:t>
            </w:r>
          </w:hyperlink>
        </w:p>
        <w:p>
          <w:pPr>
            <w:pStyle w:val="TOC1"/>
            <w:tabs>
              <w:tab w:val="clear" w:pos="9406"/>
              <w:tab w:val="right" w:pos="9405" w:leader="dot"/>
            </w:tabs>
            <w:rPr/>
          </w:pPr>
          <w:hyperlink w:anchor="__RefHeading___Toc8053_1931662957">
            <w:r>
              <w:rPr>
                <w:rStyle w:val="IndexLink"/>
              </w:rPr>
              <w:t xml:space="preserve">Table 19. </w:t>
            </w:r>
            <w:r>
              <w:rPr>
                <w:rStyle w:val="IndexLink"/>
                <w:i/>
                <w:iCs/>
              </w:rPr>
              <w:t xml:space="preserve">Dissemination strategy</w:t>
            </w:r>
            <w:r>
              <w:rPr>
                <w:rStyle w:val="IndexLink"/>
              </w:rPr>
              <w:tab/>
              <w:t xml:space="preserve">52</w:t>
            </w:r>
          </w:hyperlink>
        </w:p>
        <w:p>
          <w:pPr>
            <w:pStyle w:val="TOC1"/>
            <w:tabs>
              <w:tab w:val="clear" w:pos="9406"/>
              <w:tab w:val="right" w:pos="9405" w:leader="dot"/>
            </w:tabs>
            <w:rPr/>
          </w:pPr>
          <w:hyperlink w:anchor="__RefHeading___Toc8051_1931662957">
            <w:r>
              <w:rPr>
                <w:rStyle w:val="IndexLink"/>
              </w:rPr>
              <w:t xml:space="preserve">Table 20. </w:t>
            </w:r>
            <w:r>
              <w:rPr>
                <w:rStyle w:val="IndexLink"/>
                <w:i/>
                <w:iCs/>
              </w:rPr>
              <w:t xml:space="preserve">Project schedule (Gantt chart)</w:t>
            </w:r>
            <w:r>
              <w:rPr>
                <w:rStyle w:val="IndexLink"/>
              </w:rPr>
              <w:tab/>
              <w:t xml:space="preserve">53</w:t>
            </w:r>
          </w:hyperlink>
        </w:p>
        <w:p>
          <w:pPr>
            <w:pStyle w:val="TOC1"/>
            <w:tabs>
              <w:tab w:val="clear" w:pos="9406"/>
              <w:tab w:val="right" w:pos="9405" w:leader="dot"/>
            </w:tabs>
            <w:rPr/>
          </w:pPr>
          <w:hyperlink w:anchor="__RefHeading___Toc8049_1931662957">
            <w:r>
              <w:rPr>
                <w:rStyle w:val="IndexLink"/>
              </w:rPr>
              <w:t xml:space="preserve">Table 21. </w:t>
            </w:r>
            <w:r>
              <w:rPr>
                <w:rStyle w:val="IndexLink"/>
                <w:i/>
                <w:iCs/>
              </w:rPr>
              <w:t xml:space="preserve">Human-resources budget</w:t>
            </w:r>
            <w:r>
              <w:rPr>
                <w:rStyle w:val="IndexLink"/>
              </w:rPr>
              <w:tab/>
              <w:t xml:space="preserve">55</w:t>
            </w:r>
          </w:hyperlink>
        </w:p>
        <w:p>
          <w:pPr>
            <w:pStyle w:val="TOC1"/>
            <w:tabs>
              <w:tab w:val="clear" w:pos="9406"/>
              <w:tab w:val="right" w:pos="9405" w:leader="dot"/>
            </w:tabs>
            <w:rPr/>
          </w:pPr>
          <w:hyperlink w:anchor="__RefHeading___Toc8047_1931662957">
            <w:r>
              <w:rPr>
                <w:rStyle w:val="IndexLink"/>
              </w:rPr>
              <w:t xml:space="preserve">Table 22. </w:t>
            </w:r>
            <w:r>
              <w:rPr>
                <w:rStyle w:val="IndexLink"/>
                <w:i/>
                <w:iCs/>
              </w:rPr>
              <w:t xml:space="preserve">Equipment and software budget</w:t>
            </w:r>
            <w:r>
              <w:rPr>
                <w:rStyle w:val="IndexLink"/>
              </w:rPr>
              <w:tab/>
              <w:t xml:space="preserve">55</w:t>
            </w:r>
          </w:hyperlink>
        </w:p>
        <w:p>
          <w:pPr>
            <w:pStyle w:val="TOC1"/>
            <w:tabs>
              <w:tab w:val="clear" w:pos="9406"/>
              <w:tab w:val="right" w:pos="9405" w:leader="dot"/>
            </w:tabs>
            <w:rPr/>
          </w:pPr>
          <w:hyperlink w:anchor="__RefHeading___Toc8045_1931662957">
            <w:r>
              <w:rPr>
                <w:rStyle w:val="IndexLink"/>
              </w:rPr>
              <w:t xml:space="preserve">Table 23. </w:t>
            </w:r>
            <w:r>
              <w:rPr>
                <w:rStyle w:val="IndexLink"/>
                <w:i/>
                <w:iCs/>
              </w:rPr>
              <w:t xml:space="preserve">Training and events budget</w:t>
            </w:r>
            <w:r>
              <w:rPr>
                <w:rStyle w:val="IndexLink"/>
              </w:rPr>
              <w:tab/>
              <w:t xml:space="preserve">56</w:t>
            </w:r>
          </w:hyperlink>
        </w:p>
        <w:p>
          <w:pPr>
            <w:pStyle w:val="TOC1"/>
            <w:tabs>
              <w:tab w:val="clear" w:pos="9406"/>
              <w:tab w:val="right" w:pos="9405" w:leader="dot"/>
            </w:tabs>
            <w:rPr/>
          </w:pPr>
          <w:hyperlink w:anchor="__RefHeading___Toc8043_1931662957">
            <w:r>
              <w:rPr>
                <w:rStyle w:val="IndexLink"/>
              </w:rPr>
              <w:t xml:space="preserve">Table 24. </w:t>
            </w:r>
            <w:r>
              <w:rPr>
                <w:rStyle w:val="IndexLink"/>
                <w:i/>
                <w:iCs/>
              </w:rPr>
              <w:t xml:space="preserve">Services and testing budget</w:t>
            </w:r>
            <w:r>
              <w:rPr>
                <w:rStyle w:val="IndexLink"/>
              </w:rPr>
              <w:tab/>
              <w:t xml:space="preserve">57</w:t>
            </w:r>
          </w:hyperlink>
        </w:p>
        <w:p>
          <w:pPr>
            <w:pStyle w:val="TOC1"/>
            <w:tabs>
              <w:tab w:val="clear" w:pos="9406"/>
              <w:tab w:val="right" w:pos="9405" w:leader="dot"/>
            </w:tabs>
            <w:rPr/>
          </w:pPr>
          <w:hyperlink w:anchor="__RefHeading___Toc8041_1931662957">
            <w:r>
              <w:rPr>
                <w:rStyle w:val="IndexLink"/>
              </w:rPr>
              <w:t xml:space="preserve">Table 25. </w:t>
            </w:r>
            <w:r>
              <w:rPr>
                <w:rStyle w:val="IndexLink"/>
                <w:i/>
                <w:iCs/>
              </w:rPr>
              <w:t xml:space="preserve">Materials, supplies and documentation budget</w:t>
            </w:r>
            <w:r>
              <w:rPr>
                <w:rStyle w:val="IndexLink"/>
              </w:rPr>
              <w:tab/>
              <w:t xml:space="preserve">57</w:t>
            </w:r>
          </w:hyperlink>
        </w:p>
        <w:p>
          <w:pPr>
            <w:pStyle w:val="TOC1"/>
            <w:tabs>
              <w:tab w:val="clear" w:pos="9406"/>
              <w:tab w:val="right" w:pos="9405" w:leader="dot"/>
            </w:tabs>
            <w:rPr/>
          </w:pPr>
          <w:hyperlink w:anchor="__RefHeading___Toc8039_1931662957">
            <w:r>
              <w:rPr>
                <w:rStyle w:val="IndexLink"/>
              </w:rPr>
              <w:t xml:space="preserve">Table 26. </w:t>
            </w:r>
            <w:r>
              <w:rPr>
                <w:rStyle w:val="IndexLink"/>
                <w:i/>
                <w:iCs/>
              </w:rPr>
              <w:t xml:space="preserve">Travel expenses budget (Medellín – United States)</w:t>
            </w:r>
            <w:r>
              <w:rPr>
                <w:rStyle w:val="IndexLink"/>
              </w:rPr>
              <w:tab/>
              <w:t xml:space="preserve">58</w:t>
            </w:r>
          </w:hyperlink>
        </w:p>
        <w:p>
          <w:pPr>
            <w:pStyle w:val="TOC1"/>
            <w:tabs>
              <w:tab w:val="clear" w:pos="9406"/>
              <w:tab w:val="right" w:pos="9405" w:leader="dot"/>
            </w:tabs>
            <w:rPr/>
          </w:pPr>
          <w:hyperlink w:anchor="__RefHeading___Toc8037_1931662957">
            <w:r>
              <w:rPr>
                <w:rStyle w:val="IndexLink"/>
              </w:rPr>
              <w:t xml:space="preserve">Table 27. </w:t>
            </w:r>
            <w:r>
              <w:rPr>
                <w:rStyle w:val="IndexLink"/>
                <w:i/>
                <w:iCs/>
              </w:rPr>
              <w:t xml:space="preserve">Infrastructure budget</w:t>
            </w:r>
            <w:r>
              <w:rPr>
                <w:rStyle w:val="IndexLink"/>
              </w:rPr>
              <w:tab/>
              <w:t xml:space="preserve">58</w:t>
            </w:r>
          </w:hyperlink>
        </w:p>
        <w:p>
          <w:pPr>
            <w:pStyle w:val="TOC1"/>
            <w:tabs>
              <w:tab w:val="clear" w:pos="9406"/>
              <w:tab w:val="right" w:pos="9405" w:leader="dot"/>
            </w:tabs>
            <w:rPr/>
          </w:pPr>
          <w:hyperlink w:anchor="__RefHeading___Toc8035_1931662957">
            <w:r>
              <w:rPr>
                <w:rStyle w:val="IndexLink"/>
              </w:rPr>
              <w:t xml:space="preserve">Table 28. </w:t>
            </w:r>
            <w:r>
              <w:rPr>
                <w:rStyle w:val="IndexLink"/>
                <w:i/>
                <w:iCs/>
              </w:rPr>
              <w:t xml:space="preserve">Administrative expenses budget</w:t>
            </w:r>
            <w:r>
              <w:rPr>
                <w:rStyle w:val="IndexLink"/>
              </w:rPr>
              <w:tab/>
              <w:t xml:space="preserve">59</w:t>
            </w:r>
          </w:hyperlink>
        </w:p>
        <w:p>
          <w:pPr>
            <w:pStyle w:val="TOC1"/>
            <w:tabs>
              <w:tab w:val="clear" w:pos="9406"/>
              <w:tab w:val="right" w:pos="9405" w:leader="dot"/>
            </w:tabs>
            <w:rPr/>
          </w:pPr>
          <w:hyperlink w:anchor="__RefHeading___Toc8033_1931662957">
            <w:r>
              <w:rPr>
                <w:rStyle w:val="IndexLink"/>
              </w:rPr>
              <w:t xml:space="preserve">Table 29. </w:t>
            </w:r>
            <w:r>
              <w:rPr>
                <w:rStyle w:val="IndexLink"/>
                <w:i/>
                <w:iCs/>
              </w:rPr>
              <w:t xml:space="preserve">Budget summary by item and funding source (COP)</w:t>
            </w:r>
            <w:r>
              <w:rPr>
                <w:rStyle w:val="IndexLink"/>
              </w:rPr>
              <w:tab/>
              <w:t xml:space="preserve">59</w:t>
            </w:r>
          </w:hyperlink>
        </w:p>
        <w:p>
          <w:pPr>
            <w:pStyle w:val="TOC1"/>
            <w:tabs>
              <w:tab w:val="clear" w:pos="9406"/>
              <w:tab w:val="right" w:pos="9405" w:leader="dot"/>
            </w:tabs>
            <w:rPr/>
          </w:pPr>
          <w:hyperlink w:anchor="__RefHeading___Toc8031_1931662957">
            <w:r>
              <w:rPr>
                <w:rStyle w:val="IndexLink"/>
              </w:rPr>
              <w:t xml:space="preserve">Table 30. </w:t>
            </w:r>
            <w:r>
              <w:rPr>
                <w:rStyle w:val="IndexLink"/>
                <w:i/>
                <w:iCs/>
              </w:rPr>
              <w:t xml:space="preserve">Budget cash flow by two-month period (thousands of COP)</w:t>
            </w:r>
            <w:r>
              <w:rPr>
                <w:rStyle w:val="IndexLink"/>
              </w:rPr>
              <w:tab/>
              <w:t xml:space="preserve">61</w:t>
            </w:r>
          </w:hyperlink>
        </w:p>
        <w:p>
          <w:pPr>
            <w:pStyle w:val="TOC1"/>
            <w:tabs>
              <w:tab w:val="clear" w:pos="9406"/>
              <w:tab w:val="right" w:pos="9405" w:leader="dot"/>
            </w:tabs>
            <w:rPr/>
          </w:pPr>
          <w:hyperlink w:anchor="__RefHeading___Toc8029_1931662957">
            <w:r>
              <w:rPr>
                <w:rStyle w:val="IndexLink"/>
              </w:rPr>
              <w:t xml:space="preserve">Table 31. </w:t>
            </w:r>
            <w:r>
              <w:rPr>
                <w:rStyle w:val="IndexLink"/>
                <w:i/>
                <w:iCs/>
              </w:rPr>
              <w:t xml:space="preserve">Detailed cash flow by item and two-month period</w:t>
            </w:r>
            <w:r>
              <w:rPr>
                <w:rStyle w:val="IndexLink"/>
              </w:rPr>
              <w:tab/>
              <w:t xml:space="preserve">62</w:t>
            </w:r>
          </w:hyperlink>
        </w:p>
        <w:p>
          <w:pPr>
            <w:pStyle w:val="TOC1"/>
            <w:tabs>
              <w:tab w:val="clear" w:pos="9406"/>
              <w:tab w:val="right" w:pos="9405" w:leader="dot"/>
            </w:tabs>
            <w:rPr/>
          </w:pPr>
          <w:hyperlink w:anchor="__RefHeading___Toc8027_1931662957">
            <w:r>
              <w:rPr>
                <w:rStyle w:val="IndexLink"/>
              </w:rPr>
              <w:t xml:space="preserve">Table 32. </w:t>
            </w:r>
            <w:r>
              <w:rPr>
                <w:rStyle w:val="IndexLink"/>
                <w:i/>
                <w:iCs/>
              </w:rPr>
              <w:t xml:space="preserve">Project income (millions of COP)</w:t>
            </w:r>
            <w:r>
              <w:rPr>
                <w:rStyle w:val="IndexLink"/>
              </w:rPr>
              <w:tab/>
              <w:t xml:space="preserve">63</w:t>
            </w:r>
          </w:hyperlink>
        </w:p>
        <w:p>
          <w:pPr>
            <w:pStyle w:val="TOC1"/>
            <w:tabs>
              <w:tab w:val="clear" w:pos="9406"/>
              <w:tab w:val="right" w:pos="9405" w:leader="dot"/>
            </w:tabs>
            <w:rPr/>
          </w:pPr>
          <w:hyperlink w:anchor="__RefHeading___Toc8025_1931662957">
            <w:r>
              <w:rPr>
                <w:rStyle w:val="IndexLink"/>
              </w:rPr>
              <w:t xml:space="preserve">Table 33. </w:t>
            </w:r>
            <w:r>
              <w:rPr>
                <w:rStyle w:val="IndexLink"/>
                <w:i/>
                <w:iCs/>
              </w:rPr>
              <w:t xml:space="preserve">Project benefits (millions of COP)</w:t>
            </w:r>
            <w:r>
              <w:rPr>
                <w:rStyle w:val="IndexLink"/>
              </w:rPr>
              <w:tab/>
              <w:t xml:space="preserve">63</w:t>
            </w:r>
          </w:hyperlink>
        </w:p>
        <w:p>
          <w:pPr>
            <w:pStyle w:val="TOC1"/>
            <w:tabs>
              <w:tab w:val="clear" w:pos="9406"/>
              <w:tab w:val="right" w:pos="9405" w:leader="dot"/>
            </w:tabs>
            <w:rPr/>
          </w:pPr>
          <w:hyperlink w:anchor="__RefHeading___Toc8023_1931662957">
            <w:r>
              <w:rPr>
                <w:rStyle w:val="IndexLink"/>
              </w:rPr>
              <w:t xml:space="preserve">Table 34. </w:t>
            </w:r>
            <w:r>
              <w:rPr>
                <w:rStyle w:val="IndexLink"/>
                <w:i/>
                <w:iCs/>
              </w:rPr>
              <w:t xml:space="preserve">Investment costs at economic prices</w:t>
            </w:r>
            <w:r>
              <w:rPr>
                <w:rStyle w:val="IndexLink"/>
              </w:rPr>
              <w:tab/>
              <w:t xml:space="preserve">64</w:t>
            </w:r>
          </w:hyperlink>
        </w:p>
        <w:p>
          <w:pPr>
            <w:pStyle w:val="TOC1"/>
            <w:tabs>
              <w:tab w:val="clear" w:pos="9406"/>
              <w:tab w:val="right" w:pos="9405" w:leader="dot"/>
            </w:tabs>
            <w:rPr/>
          </w:pPr>
          <w:hyperlink w:anchor="__RefHeading___Toc8021_1931662957">
            <w:r>
              <w:rPr>
                <w:rStyle w:val="IndexLink"/>
              </w:rPr>
              <w:t xml:space="preserve">Table 35. </w:t>
            </w:r>
            <w:r>
              <w:rPr>
                <w:rStyle w:val="IndexLink"/>
                <w:i/>
                <w:iCs/>
              </w:rPr>
              <w:t xml:space="preserve">Annual operation and maintenance costs</w:t>
            </w:r>
            <w:r>
              <w:rPr>
                <w:rStyle w:val="IndexLink"/>
              </w:rPr>
              <w:tab/>
              <w:t xml:space="preserve">64</w:t>
            </w:r>
          </w:hyperlink>
        </w:p>
        <w:p>
          <w:pPr>
            <w:pStyle w:val="TOC1"/>
            <w:tabs>
              <w:tab w:val="clear" w:pos="9406"/>
              <w:tab w:val="right" w:pos="9405" w:leader="dot"/>
            </w:tabs>
            <w:rPr/>
          </w:pPr>
          <w:hyperlink w:anchor="__RefHeading___Toc8019_1931662957">
            <w:r>
              <w:rPr>
                <w:rStyle w:val="IndexLink"/>
              </w:rPr>
              <w:t xml:space="preserve">Table 36. </w:t>
            </w:r>
            <w:r>
              <w:rPr>
                <w:rStyle w:val="IndexLink"/>
                <w:i/>
                <w:iCs/>
              </w:rPr>
              <w:t xml:space="preserve">Net cash flow at economic prices (millions of COP)</w:t>
            </w:r>
            <w:r>
              <w:rPr>
                <w:rStyle w:val="IndexLink"/>
              </w:rPr>
              <w:tab/>
              <w:t xml:space="preserve">65</w:t>
            </w:r>
          </w:hyperlink>
        </w:p>
        <w:p>
          <w:pPr>
            <w:pStyle w:val="TOC1"/>
            <w:tabs>
              <w:tab w:val="clear" w:pos="9406"/>
              <w:tab w:val="right" w:pos="9405" w:leader="dot"/>
            </w:tabs>
            <w:rPr/>
          </w:pPr>
          <w:hyperlink w:anchor="__RefHeading___Toc8017_1931662957">
            <w:r>
              <w:rPr>
                <w:rStyle w:val="IndexLink"/>
              </w:rPr>
              <w:t xml:space="preserve">Table 37. </w:t>
            </w:r>
            <w:r>
              <w:rPr>
                <w:rStyle w:val="IndexLink"/>
                <w:i/>
                <w:iCs/>
              </w:rPr>
              <w:t xml:space="preserve">Financial evaluation indicators</w:t>
            </w:r>
            <w:r>
              <w:rPr>
                <w:rStyle w:val="IndexLink"/>
              </w:rPr>
              <w:tab/>
              <w:t xml:space="preserve">66</w:t>
            </w:r>
          </w:hyperlink>
        </w:p>
        <w:p>
          <w:pPr>
            <w:pStyle w:val="TOC1"/>
            <w:tabs>
              <w:tab w:val="clear" w:pos="9406"/>
              <w:tab w:val="right" w:pos="9405" w:leader="dot"/>
            </w:tabs>
            <w:rPr/>
          </w:pPr>
          <w:hyperlink w:anchor="__RefHeading___Toc8015_1931662957">
            <w:r>
              <w:rPr>
                <w:rStyle w:val="IndexLink"/>
              </w:rPr>
              <w:t xml:space="preserve">Table 38. </w:t>
            </w:r>
            <w:r>
              <w:rPr>
                <w:rStyle w:val="IndexLink"/>
                <w:i/>
                <w:iCs/>
              </w:rPr>
              <w:t xml:space="preserve">Sensitivity analysis</w:t>
            </w:r>
            <w:r>
              <w:rPr>
                <w:rStyle w:val="IndexLink"/>
              </w:rPr>
              <w:tab/>
              <w:t xml:space="preserve">67</w:t>
            </w:r>
          </w:hyperlink>
          <w:r>
            <w:rPr>
              <w:rStyle w:val="IndexLink"/>
            </w:rPr>
            <w:fldChar w:fldCharType="end"/>
          </w:r>
        </w:p>
      </w:sdtContent>
    </w:sdt>
    <w:p>
      <w:pPr>
        <w:pStyle w:val="Normal"/>
        <w:rPr/>
      </w:pPr>
      <w:r>
        <w:rPr/>
      </w:r>
    </w:p>
    <w:p>
      <w:pPr>
        <w:pStyle w:val="Normal"/>
        <w:rPr/>
      </w:pPr>
      <w:r>
        <w:rPr/>
      </w:r>
      <w:r>
        <w:br w:type="page"/>
      </w:r>
    </w:p>
    <w:p>
      <w:pPr>
        <w:pStyle w:val="Normal"/>
        <w:spacing w:before="0" w:after="200"/>
        <w:rPr/>
      </w:pPr>
      <w:r>
        <w:rPr>
          <w:b/>
          <w:bCs/>
          <w:color w:val="1F3864"/>
          <w:sz w:val="32"/>
          <w:szCs w:val="32"/>
        </w:rPr>
        <w:t xml:space="preserve">List of figures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\t "FigureCaption,1" \h</w:instrText>
            <w:fldChar w:fldCharType="separate"/>
          </w:r>
          <w:hyperlink w:anchor="__RefHeading___Toc8089_1931662957">
            <w:r>
              <w:rPr>
                <w:rStyle w:val="IndexLink"/>
              </w:rPr>
              <w:t xml:space="preserve">Figure 1. </w:t>
            </w:r>
            <w:r>
              <w:rPr>
                <w:rStyle w:val="IndexLink"/>
                <w:i/>
                <w:iCs/>
              </w:rPr>
              <w:t xml:space="preserve">Classification of landslide risk areas based on planimetric data</w:t>
            </w:r>
            <w:r>
              <w:rPr>
                <w:rStyle w:val="IndexLink"/>
              </w:rPr>
              <w:tab/>
              <w:t xml:space="preserve">10</w:t>
            </w:r>
          </w:hyperlink>
        </w:p>
        <w:p>
          <w:pPr>
            <w:pStyle w:val="TOC1"/>
            <w:tabs>
              <w:tab w:val="clear" w:pos="9406"/>
              <w:tab w:val="right" w:pos="9405" w:leader="dot"/>
            </w:tabs>
            <w:rPr/>
          </w:pPr>
          <w:hyperlink w:anchor="__RefHeading___Toc8111_1931662957">
            <w:r>
              <w:rPr>
                <w:rStyle w:val="IndexLink"/>
              </w:rPr>
              <w:t xml:space="preserve">Figure 2. </w:t>
            </w:r>
            <w:r>
              <w:rPr>
                <w:rStyle w:val="IndexLink"/>
                <w:i/>
                <w:iCs/>
              </w:rPr>
              <w:t xml:space="preserve">Problem tree</w:t>
            </w:r>
            <w:r>
              <w:rPr>
                <w:rStyle w:val="IndexLink"/>
              </w:rPr>
              <w:tab/>
              <w:t xml:space="preserve">15</w:t>
            </w:r>
          </w:hyperlink>
        </w:p>
        <w:p>
          <w:pPr>
            <w:pStyle w:val="TOC1"/>
            <w:tabs>
              <w:tab w:val="clear" w:pos="9406"/>
              <w:tab w:val="right" w:pos="9405" w:leader="dot"/>
            </w:tabs>
            <w:rPr/>
          </w:pPr>
          <w:hyperlink w:anchor="__RefHeading___Toc8109_1931662957">
            <w:r>
              <w:rPr>
                <w:rStyle w:val="IndexLink"/>
              </w:rPr>
              <w:t xml:space="preserve">Figure 3. </w:t>
            </w:r>
            <w:r>
              <w:rPr>
                <w:rStyle w:val="IndexLink"/>
                <w:i/>
                <w:iCs/>
              </w:rPr>
              <w:t xml:space="preserve">Distribution of landslides by type in Colombia (left) and relationship between mean annual precipitation and number of landslides (right)</w:t>
            </w:r>
            <w:r>
              <w:rPr>
                <w:rStyle w:val="IndexLink"/>
              </w:rPr>
              <w:tab/>
              <w:t xml:space="preserve">17</w:t>
            </w:r>
          </w:hyperlink>
        </w:p>
        <w:p>
          <w:pPr>
            <w:pStyle w:val="TOC1"/>
            <w:tabs>
              <w:tab w:val="clear" w:pos="9406"/>
              <w:tab w:val="right" w:pos="9405" w:leader="dot"/>
            </w:tabs>
            <w:rPr/>
          </w:pPr>
          <w:hyperlink w:anchor="__RefHeading___Toc8107_1931662957">
            <w:r>
              <w:rPr>
                <w:rStyle w:val="IndexLink"/>
              </w:rPr>
              <w:t xml:space="preserve">Figure 4. </w:t>
            </w:r>
            <w:r>
              <w:rPr>
                <w:rStyle w:val="IndexLink"/>
                <w:i/>
                <w:iCs/>
              </w:rPr>
              <w:t xml:space="preserve">Types of mass movements</w:t>
            </w:r>
            <w:r>
              <w:rPr>
                <w:rStyle w:val="IndexLink"/>
              </w:rPr>
              <w:tab/>
              <w:t xml:space="preserve">17</w:t>
            </w:r>
          </w:hyperlink>
        </w:p>
        <w:p>
          <w:pPr>
            <w:pStyle w:val="TOC1"/>
            <w:tabs>
              <w:tab w:val="clear" w:pos="9406"/>
              <w:tab w:val="right" w:pos="9405" w:leader="dot"/>
            </w:tabs>
            <w:rPr/>
          </w:pPr>
          <w:hyperlink w:anchor="__RefHeading___Toc8105_1931662957">
            <w:r>
              <w:rPr>
                <w:rStyle w:val="IndexLink"/>
              </w:rPr>
              <w:t xml:space="preserve">Figure 5. </w:t>
            </w:r>
            <w:r>
              <w:rPr>
                <w:rStyle w:val="IndexLink"/>
                <w:i/>
                <w:iCs/>
              </w:rPr>
              <w:t xml:space="preserve">Percentage of landslides by distance to roads, before and after the Gorkha earthquake</w:t>
            </w:r>
            <w:r>
              <w:rPr>
                <w:rStyle w:val="IndexLink"/>
              </w:rPr>
              <w:tab/>
              <w:t xml:space="preserve">18</w:t>
            </w:r>
          </w:hyperlink>
        </w:p>
        <w:p>
          <w:pPr>
            <w:pStyle w:val="TOC1"/>
            <w:tabs>
              <w:tab w:val="clear" w:pos="9406"/>
              <w:tab w:val="right" w:pos="9405" w:leader="dot"/>
            </w:tabs>
            <w:rPr/>
          </w:pPr>
          <w:hyperlink w:anchor="__RefHeading___Toc8103_1931662957">
            <w:r>
              <w:rPr>
                <w:rStyle w:val="IndexLink"/>
              </w:rPr>
              <w:t xml:space="preserve">Figure 6. </w:t>
            </w:r>
            <w:r>
              <w:rPr>
                <w:rStyle w:val="IndexLink"/>
                <w:i/>
                <w:iCs/>
              </w:rPr>
              <w:t xml:space="preserve">Resources allocated to immediate disaster response in 2022 versus the 2002-2021 period, by region</w:t>
            </w:r>
            <w:r>
              <w:rPr>
                <w:rStyle w:val="IndexLink"/>
              </w:rPr>
              <w:tab/>
              <w:t xml:space="preserve">19</w:t>
            </w:r>
          </w:hyperlink>
        </w:p>
        <w:p>
          <w:pPr>
            <w:pStyle w:val="TOC1"/>
            <w:tabs>
              <w:tab w:val="clear" w:pos="9406"/>
              <w:tab w:val="right" w:pos="9405" w:leader="dot"/>
            </w:tabs>
            <w:rPr/>
          </w:pPr>
          <w:hyperlink w:anchor="__RefHeading___Toc8101_1931662957">
            <w:r>
              <w:rPr>
                <w:rStyle w:val="IndexLink"/>
              </w:rPr>
              <w:t xml:space="preserve">Figure 7. </w:t>
            </w:r>
            <w:r>
              <w:rPr>
                <w:rStyle w:val="IndexLink"/>
                <w:i/>
                <w:iCs/>
              </w:rPr>
              <w:t xml:space="preserve">People seriously affected by natural events, by department, 1998-2021</w:t>
            </w:r>
            <w:r>
              <w:rPr>
                <w:rStyle w:val="IndexLink"/>
              </w:rPr>
              <w:tab/>
              <w:t xml:space="preserve">20</w:t>
            </w:r>
          </w:hyperlink>
        </w:p>
        <w:p>
          <w:pPr>
            <w:pStyle w:val="TOC1"/>
            <w:tabs>
              <w:tab w:val="clear" w:pos="9406"/>
              <w:tab w:val="right" w:pos="9405" w:leader="dot"/>
            </w:tabs>
            <w:rPr/>
          </w:pPr>
          <w:hyperlink w:anchor="__RefHeading___Toc8099_1931662957">
            <w:r>
              <w:rPr>
                <w:rStyle w:val="IndexLink"/>
              </w:rPr>
              <w:t xml:space="preserve">Figure 8. </w:t>
            </w:r>
            <w:r>
              <w:rPr>
                <w:rStyle w:val="IndexLink"/>
                <w:i/>
                <w:iCs/>
              </w:rPr>
              <w:t xml:space="preserve">Evolution of departmental per-capita spending on disaster response and prevention, 2012-2020</w:t>
            </w:r>
            <w:r>
              <w:rPr>
                <w:rStyle w:val="IndexLink"/>
              </w:rPr>
              <w:tab/>
              <w:t xml:space="preserve">20</w:t>
            </w:r>
          </w:hyperlink>
        </w:p>
        <w:p>
          <w:pPr>
            <w:pStyle w:val="TOC1"/>
            <w:tabs>
              <w:tab w:val="clear" w:pos="9406"/>
              <w:tab w:val="right" w:pos="9405" w:leader="dot"/>
            </w:tabs>
            <w:rPr/>
          </w:pPr>
          <w:hyperlink w:anchor="__RefHeading___Toc8097_1931662957">
            <w:r>
              <w:rPr>
                <w:rStyle w:val="IndexLink"/>
              </w:rPr>
              <w:t xml:space="preserve">Figure 9. </w:t>
            </w:r>
            <w:r>
              <w:rPr>
                <w:rStyle w:val="IndexLink"/>
                <w:i/>
                <w:iCs/>
              </w:rPr>
              <w:t xml:space="preserve">Deaths, injuries and missing persons by type of natural event, 1998-2021</w:t>
            </w:r>
            <w:r>
              <w:rPr>
                <w:rStyle w:val="IndexLink"/>
              </w:rPr>
              <w:tab/>
              <w:t xml:space="preserve">21</w:t>
            </w:r>
          </w:hyperlink>
        </w:p>
        <w:p>
          <w:pPr>
            <w:pStyle w:val="TOC1"/>
            <w:tabs>
              <w:tab w:val="clear" w:pos="9406"/>
              <w:tab w:val="right" w:pos="9405" w:leader="dot"/>
            </w:tabs>
            <w:rPr/>
          </w:pPr>
          <w:hyperlink w:anchor="__RefHeading___Toc8095_1931662957">
            <w:r>
              <w:rPr>
                <w:rStyle w:val="IndexLink"/>
              </w:rPr>
              <w:t xml:space="preserve">Figure 10. </w:t>
            </w:r>
            <w:r>
              <w:rPr>
                <w:rStyle w:val="IndexLink"/>
                <w:i/>
                <w:iCs/>
              </w:rPr>
              <w:t xml:space="preserve">Risk management process according to ISO 31000:2018</w:t>
            </w:r>
            <w:r>
              <w:rPr>
                <w:rStyle w:val="IndexLink"/>
              </w:rPr>
              <w:tab/>
              <w:t xml:space="preserve">46</w:t>
            </w:r>
          </w:hyperlink>
        </w:p>
        <w:p>
          <w:pPr>
            <w:pStyle w:val="TOC1"/>
            <w:tabs>
              <w:tab w:val="clear" w:pos="9406"/>
              <w:tab w:val="right" w:pos="9405" w:leader="dot"/>
            </w:tabs>
            <w:rPr/>
          </w:pPr>
          <w:hyperlink w:anchor="__RefHeading___Toc8093_1931662957">
            <w:r>
              <w:rPr>
                <w:rStyle w:val="IndexLink"/>
              </w:rPr>
              <w:t xml:space="preserve">Figure 11. </w:t>
            </w:r>
            <w:r>
              <w:rPr>
                <w:rStyle w:val="IndexLink"/>
                <w:i/>
                <w:iCs/>
              </w:rPr>
              <w:t xml:space="preserve">Budget distribution by item</w:t>
            </w:r>
            <w:r>
              <w:rPr>
                <w:rStyle w:val="IndexLink"/>
              </w:rPr>
              <w:tab/>
              <w:t xml:space="preserve">60</w:t>
            </w:r>
          </w:hyperlink>
        </w:p>
        <w:p>
          <w:pPr>
            <w:pStyle w:val="TOC1"/>
            <w:tabs>
              <w:tab w:val="clear" w:pos="9406"/>
              <w:tab w:val="right" w:pos="9405" w:leader="dot"/>
            </w:tabs>
            <w:rPr/>
          </w:pPr>
          <w:hyperlink w:anchor="__RefHeading___Toc8091_1931662957">
            <w:r>
              <w:rPr>
                <w:rStyle w:val="IndexLink"/>
              </w:rPr>
              <w:t xml:space="preserve">Figure 12. </w:t>
            </w:r>
            <w:r>
              <w:rPr>
                <w:rStyle w:val="IndexLink"/>
                <w:i/>
                <w:iCs/>
              </w:rPr>
              <w:t xml:space="preserve">Annual net cash flow and cumulative present value</w:t>
            </w:r>
            <w:r>
              <w:rPr>
                <w:rStyle w:val="IndexLink"/>
              </w:rPr>
              <w:tab/>
              <w:t xml:space="preserve">66</w:t>
            </w:r>
          </w:hyperlink>
          <w:r>
            <w:rPr>
              <w:rStyle w:val="IndexLink"/>
            </w:rPr>
            <w:fldChar w:fldCharType="end"/>
          </w:r>
        </w:p>
      </w:sdtContent>
    </w:sdt>
    <w:p>
      <w:pPr>
        <w:sectPr>
          <w:headerReference w:type="default" r:id="rId2"/>
          <w:footerReference w:type="default" r:id="rId3"/>
          <w:type w:val="nextPage"/>
          <w:pgSz w:w="12240" w:h="15840"/>
          <w:pgMar w:left="1417" w:right="1417" w:gutter="0" w:header="708" w:top="1417" w:footer="708" w:bottom="1417"/>
          <w:pgNumType w:start="1" w:fmt="lowerRoman"/>
          <w:formProt w:val="false"/>
          <w:textDirection w:val="lrTb"/>
          <w:docGrid w:type="default" w:linePitch="360" w:charSpace="4096"/>
        </w:sectPr>
        <w:pStyle w:val="Normal"/>
        <w:rPr/>
      </w:pPr>
      <w:r>
        <w:rPr/>
      </w:r>
    </w:p>
    <w:p>
      <w:pPr>
        <w:pStyle w:val="Heading1"/>
        <w:rPr/>
      </w:pPr>
      <w:bookmarkStart w:id="0" w:name="__RefHeading___Toc7873_1931662957"/>
      <w:bookmarkEnd w:id="0"/>
      <w:r>
        <w:rPr/>
        <w:t xml:space="preserve">1. Technical system identification</w:t>
      </w:r>
    </w:p>
    <w:p>
      <w:pPr>
        <w:pStyle w:val="Normal"/>
        <w:spacing w:lineRule="exact" w:line="288" w:before="0" w:after="140"/>
        <w:jc w:val="both"/>
        <w:rPr/>
      </w:pPr>
      <w:r>
        <w:rPr/>
        <w:t xml:space="preserve">The technical system is broken down from the industry level to the monitored element, as shown in Table 1.</w:t>
      </w:r>
    </w:p>
    <w:p>
      <w:pPr>
        <w:pStyle w:val="TableCaption"/>
        <w:keepNext w:val="true"/>
        <w:spacing w:before="200" w:after="80"/>
        <w:rPr/>
      </w:pPr>
      <w:bookmarkStart w:id="1" w:name="__RefHeading___Toc8013_1931662957"/>
      <w:bookmarkEnd w:id="1"/>
      <w:r>
        <w:rPr>
          <w:b/>
          <w:bCs/>
          <w:color w:val="1F3864"/>
        </w:rPr>
        <w:t xml:space="preserve">Table </w:t>
        <w:fldChar w:fldCharType="begin"/>
        <w:instrText xml:space="preserve"> SEQ Tabla \* ARABIC </w:instrText>
        <w:fldChar w:fldCharType="separate"/>
        <w:t xml:space="preserve">1</w:t>
        <w:fldChar w:fldCharType="end"/>
        <w:t xml:space="preserve">. </w:t>
      </w:r>
      <w:r>
        <w:rPr>
          <w:i/>
          <w:iCs/>
        </w:rPr>
        <w:t xml:space="preserve">Technical system identification</w:t>
      </w:r>
    </w:p>
    <w:tbl>
      <w:tblPr>
        <w:tblW w:w="9406" w:type="dxa"/>
        <w:jc w:val="left"/>
        <w:tblInd w:w="0" w:type="dxa"/>
        <w:tblLayout w:type="fixed"/>
        <w:tblCellMar>
          <w:top w:w="50" w:type="dxa"/>
          <w:left w:w="80" w:type="dxa"/>
          <w:bottom w:w="50" w:type="dxa"/>
          <w:right w:w="80" w:type="dxa"/>
        </w:tblCellMar>
      </w:tblPr>
      <w:tblGrid>
        <w:gridCol w:w="2632"/>
        <w:gridCol w:w="6773"/>
      </w:tblGrid>
      <w:tr>
        <w:trPr>
          <w:tblHeader w:val="true"/>
          <w:cantSplit w:val="true"/>
        </w:trPr>
        <w:tc>
          <w:tcPr>
            <w:tcW w:w="263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Level</w:t>
            </w:r>
          </w:p>
        </w:tc>
        <w:tc>
          <w:tcPr>
            <w:tcW w:w="677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Description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Industry</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Road infrastructure industry</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Business line</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Monitoring of potential landslides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Plant / facility</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Road network of the Department of Antioquia</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Production area / unit / asset</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at the Municipality of San Francisco, Altavista rural district.</w:t>
            </w:r>
          </w:p>
          <w:p>
            <w:pPr>
              <w:pStyle w:val="Normal"/>
              <w:keepNext w:val="true"/>
              <w:spacing w:lineRule="exact" w:line="252" w:before="0" w:after="20"/>
              <w:jc w:val="left"/>
              <w:rPr/>
            </w:pPr>
            <w:r>
              <w:rPr>
                <w:b w:val="false"/>
                <w:bCs w:val="false"/>
                <w:color w:val="1A1A1A"/>
                <w:sz w:val="18"/>
                <w:szCs w:val="18"/>
              </w:rPr>
              <w:t xml:space="preserve">Road monitoring for landslide prediction on Route 60 (the Medellín–Bogotá highway). 5.950459, -74.861388 in the jurisdiction of San Francisco, Antioquia. An area of 1 km around the road section will be considered to assess landslide risk in this region.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System</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Alto de Pavas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Subsystem</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Route 60, Medellín–Bogotá Highway, DeviMed concession.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Device / mechanism</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Section 05</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Component</w:t>
            </w:r>
          </w:p>
        </w:tc>
        <w:tc>
          <w:tcPr>
            <w:tcW w:w="677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Curved section with a back slope at Alto de Pavas, latitude and longitude 5.950459, -74.861388</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Element</w:t>
            </w:r>
          </w:p>
        </w:tc>
        <w:tc>
          <w:tcPr>
            <w:tcW w:w="677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Mean displacement of faults and erosion, rainfall in the area, history of mass movements.</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2" w:name="__RefHeading___Toc7875_1931662957"/>
      <w:bookmarkEnd w:id="2"/>
      <w:r>
        <w:rPr/>
        <w:t xml:space="preserve">1.1. Description of the technical system</w:t>
      </w:r>
    </w:p>
    <w:p>
      <w:pPr>
        <w:pStyle w:val="Normal"/>
        <w:spacing w:lineRule="exact" w:line="288" w:before="0" w:after="140"/>
        <w:jc w:val="both"/>
        <w:rPr/>
      </w:pPr>
      <w:r>
        <w:rPr/>
        <w:t xml:space="preserve">Given the nature of the problem addressed —the prediction of and warning about landslides affecting road infrastructure— the technical system corresponds to a road section and its surrounding territory, whose landslide history is comparatively critical and shows a recurrence pattern over time (NASA, 2024). In addition, this history should ideally show evidence of slides caused by the rainy season as well as others not directly related to it, pointing to geological faults in the area; these are two of the main variables NASA uses in its LHASA (Landslide Hazard Assessment for Situational Awareness) detection system (Emberson et al., 2020; NASA, 2024).</w:t>
      </w:r>
    </w:p>
    <w:p>
      <w:pPr>
        <w:pStyle w:val="Normal"/>
        <w:spacing w:lineRule="exact" w:line="288" w:before="0" w:after="140"/>
        <w:jc w:val="both"/>
        <w:rPr/>
      </w:pPr>
      <w:r>
        <w:rPr/>
        <w:t xml:space="preserve">The basic element of this system is the pavement and the surrounding soil section, on which the relevant measurements in the infrared spectrum will be taken. The monitoring dimensions of this element correspond to the average resolution of the optical instruments in the satellite constellations that will be used for monitoring. In addition, a curved road section was chosen as the study component in which to monitor this pavement section, since the literature indicates that curves carry a higher landslide risk because of possible water-drainage difficulties and possible geological impacts from building the curve, inherent to the topography the works leave on the ground, which is more complex than in straight sections (Federal Highway Administration, 2002). The curved section must also have a back slope: mountain-cut sections that further increase the impact of the works on the geological stability of the area.</w:t>
      </w:r>
    </w:p>
    <w:p>
      <w:pPr>
        <w:pStyle w:val="Normal"/>
        <w:spacing w:lineRule="exact" w:line="288" w:before="0" w:after="140"/>
        <w:jc w:val="both"/>
        <w:rPr/>
      </w:pPr>
      <w:r>
        <w:rPr/>
        <w:t xml:space="preserve">Finally, the macro units of the system are a departmental route, a concession-operated highway within that route, and a mountainous section where curves and back slopes are most common.</w:t>
      </w:r>
      <w:r>
        <w:br w:type="page"/>
      </w:r>
    </w:p>
    <w:p>
      <w:pPr>
        <w:pStyle w:val="Heading1"/>
        <w:rPr/>
      </w:pPr>
      <w:bookmarkStart w:id="3" w:name="__RefHeading___Toc7877_1931662957"/>
      <w:bookmarkEnd w:id="3"/>
      <w:r>
        <w:rPr/>
        <w:t xml:space="preserve">2. Proposal identification</w:t>
      </w:r>
    </w:p>
    <w:p>
      <w:pPr>
        <w:pStyle w:val="Heading2"/>
        <w:rPr/>
      </w:pPr>
      <w:bookmarkStart w:id="4" w:name="__RefHeading___Toc7879_1931662957"/>
      <w:bookmarkEnd w:id="4"/>
      <w:r>
        <w:rPr/>
        <w:t xml:space="preserve">2.1. Proposal title</w:t>
      </w:r>
    </w:p>
    <w:p>
      <w:pPr>
        <w:pStyle w:val="Normal"/>
        <w:spacing w:lineRule="exact" w:line="288" w:before="0" w:after="140"/>
        <w:jc w:val="both"/>
        <w:rPr/>
      </w:pPr>
      <w:r>
        <w:rPr>
          <w:i/>
          <w:iCs/>
        </w:rPr>
        <w:t xml:space="preserve">Monitoring platform assisted by computer vision and neural networks for identifying potential landslides and reducing disaster-prevention costs.</w:t>
      </w:r>
    </w:p>
    <w:p>
      <w:pPr>
        <w:pStyle w:val="Heading2"/>
        <w:rPr/>
      </w:pPr>
      <w:bookmarkStart w:id="5" w:name="__RefHeading___Toc7881_1931662957"/>
      <w:bookmarkEnd w:id="5"/>
      <w:r>
        <w:rPr/>
        <w:t xml:space="preserve">2.2. Proposing entity and allied entities</w:t>
      </w:r>
    </w:p>
    <w:p>
      <w:pPr>
        <w:pStyle w:val="Normal"/>
        <w:spacing w:lineRule="exact" w:line="288" w:before="0" w:after="140"/>
        <w:jc w:val="both"/>
        <w:rPr/>
      </w:pPr>
      <w:r>
        <w:rPr/>
        <w:t xml:space="preserve">The proposal involves one proposing entity and one allied entity (one in total):</w:t>
      </w:r>
    </w:p>
    <w:p>
      <w:pPr>
        <w:pStyle w:val="ListParagraph"/>
        <w:numPr>
          <w:ilvl w:val="0"/>
          <w:numId w:val="4"/>
        </w:numPr>
        <w:spacing w:lineRule="exact" w:line="276" w:before="0" w:after="80"/>
        <w:jc w:val="both"/>
        <w:rPr/>
      </w:pPr>
      <w:r>
        <w:rPr>
          <w:b/>
          <w:bCs/>
        </w:rPr>
        <w:t xml:space="preserve">Proposing entity: Universidad EAFIT.</w:t>
      </w:r>
      <w:r>
        <w:rPr/>
        <w:t xml:space="preserve"> Higher-education institution based in Medellín, responsible for the formulation and technical execution of the project through its School of Applied Sciences and Engineering.</w:t>
      </w:r>
    </w:p>
    <w:p>
      <w:pPr>
        <w:pStyle w:val="ListParagraph"/>
        <w:numPr>
          <w:ilvl w:val="0"/>
          <w:numId w:val="1"/>
        </w:numPr>
        <w:spacing w:lineRule="exact" w:line="276" w:before="0" w:after="80"/>
        <w:jc w:val="both"/>
        <w:rPr/>
      </w:pPr>
      <w:r>
        <w:rPr>
          <w:b/>
          <w:bCs/>
        </w:rPr>
        <w:t xml:space="preserve">Allied entity No. 1: URBAM – Center for Urban and Environmental Studies of Universidad EAFIT.</w:t>
      </w:r>
      <w:r>
        <w:rPr/>
        <w:t xml:space="preserve"> Contributes its track record in hillside landslide risk management (e.g., </w:t>
      </w:r>
      <w:r>
        <w:rPr>
          <w:i/>
          <w:iCs/>
        </w:rPr>
        <w:t xml:space="preserve">Rehabitar la ladera</w:t>
      </w:r>
      <w:r>
        <w:rPr/>
        <w:t xml:space="preserve">) and its links with public entities and communities.</w:t>
      </w:r>
    </w:p>
    <w:p>
      <w:pPr>
        <w:pStyle w:val="Heading2"/>
        <w:rPr/>
      </w:pPr>
      <w:bookmarkStart w:id="6" w:name="__RefHeading___Toc7883_1931662957"/>
      <w:bookmarkEnd w:id="6"/>
      <w:r>
        <w:rPr/>
        <w:t xml:space="preserve">2.3. Location (focus of the proposal)</w:t>
      </w:r>
    </w:p>
    <w:p>
      <w:pPr>
        <w:pStyle w:val="ListParagraph"/>
        <w:numPr>
          <w:ilvl w:val="0"/>
          <w:numId w:val="1"/>
        </w:numPr>
        <w:spacing w:lineRule="exact" w:line="276" w:before="0" w:after="80"/>
        <w:jc w:val="both"/>
        <w:rPr/>
      </w:pPr>
      <w:r>
        <w:rPr>
          <w:b/>
          <w:bCs/>
        </w:rPr>
        <w:t xml:space="preserve">Region:</w:t>
      </w:r>
      <w:r>
        <w:rPr/>
        <w:t xml:space="preserve"> Eastern Antioquia.</w:t>
      </w:r>
    </w:p>
    <w:p>
      <w:pPr>
        <w:pStyle w:val="ListParagraph"/>
        <w:numPr>
          <w:ilvl w:val="0"/>
          <w:numId w:val="1"/>
        </w:numPr>
        <w:spacing w:lineRule="exact" w:line="276" w:before="0" w:after="80"/>
        <w:jc w:val="both"/>
        <w:rPr/>
      </w:pPr>
      <w:r>
        <w:rPr>
          <w:b/>
          <w:bCs/>
        </w:rPr>
        <w:t xml:space="preserve">Department:</w:t>
      </w:r>
      <w:r>
        <w:rPr/>
        <w:t xml:space="preserve"> Antioquia.</w:t>
      </w:r>
    </w:p>
    <w:p>
      <w:pPr>
        <w:pStyle w:val="ListParagraph"/>
        <w:numPr>
          <w:ilvl w:val="0"/>
          <w:numId w:val="1"/>
        </w:numPr>
        <w:spacing w:lineRule="exact" w:line="276" w:before="0" w:after="80"/>
        <w:jc w:val="both"/>
        <w:rPr/>
      </w:pPr>
      <w:r>
        <w:rPr>
          <w:b/>
          <w:bCs/>
        </w:rPr>
        <w:t xml:space="preserve">Municipalities:</w:t>
      </w:r>
      <w:r>
        <w:rPr/>
        <w:t xml:space="preserve"> San Francisco (monitoring focus, Alto de Pavas sector), with influence on Cocorná and San Luis.</w:t>
      </w:r>
    </w:p>
    <w:p>
      <w:pPr>
        <w:pStyle w:val="ListParagraph"/>
        <w:numPr>
          <w:ilvl w:val="0"/>
          <w:numId w:val="1"/>
        </w:numPr>
        <w:spacing w:lineRule="exact" w:line="276" w:before="0" w:after="80"/>
        <w:jc w:val="both"/>
        <w:rPr/>
      </w:pPr>
      <w:r>
        <w:rPr>
          <w:b/>
          <w:bCs/>
        </w:rPr>
        <w:t xml:space="preserve">Road section:</w:t>
      </w:r>
      <w:r>
        <w:rPr/>
        <w:t xml:space="preserve"> Route 60, Medellín–Bogotá Highway, San Luis – Cocorná toll section (Devimed concession). The study focus is located at Alto de Pavas (5.950459, −74.861388), with an area of influence of 1 km around the road.</w:t>
      </w:r>
    </w:p>
    <w:p>
      <w:pPr>
        <w:pStyle w:val="ListParagraph"/>
        <w:numPr>
          <w:ilvl w:val="0"/>
          <w:numId w:val="1"/>
        </w:numPr>
        <w:spacing w:lineRule="exact" w:line="276" w:before="0" w:after="80"/>
        <w:jc w:val="both"/>
        <w:rPr/>
      </w:pPr>
      <w:r>
        <w:rPr>
          <w:b/>
          <w:bCs/>
        </w:rPr>
        <w:t xml:space="preserve">Populated center:</w:t>
      </w:r>
      <w:r>
        <w:rPr/>
        <w:t xml:space="preserve"> rural.</w:t>
      </w:r>
    </w:p>
    <w:p>
      <w:pPr>
        <w:pStyle w:val="ListParagraph"/>
        <w:numPr>
          <w:ilvl w:val="0"/>
          <w:numId w:val="1"/>
        </w:numPr>
        <w:spacing w:lineRule="exact" w:line="276" w:before="0" w:after="80"/>
        <w:jc w:val="both"/>
        <w:rPr/>
      </w:pPr>
      <w:r>
        <w:rPr>
          <w:b/>
          <w:bCs/>
        </w:rPr>
        <w:t xml:space="preserve">Indigenous reserve:</w:t>
      </w:r>
      <w:r>
        <w:rPr/>
        <w:t xml:space="preserve"> not applicable.</w:t>
      </w:r>
    </w:p>
    <w:p>
      <w:pPr>
        <w:pStyle w:val="Heading2"/>
        <w:rPr/>
      </w:pPr>
      <w:bookmarkStart w:id="7" w:name="__RefHeading___Toc7885_1931662957"/>
      <w:bookmarkEnd w:id="7"/>
      <w:r>
        <w:rPr/>
        <w:t xml:space="preserve">2.4. Place of execution</w:t>
      </w:r>
    </w:p>
    <w:p>
      <w:pPr>
        <w:pStyle w:val="Normal"/>
        <w:spacing w:lineRule="exact" w:line="288" w:before="0" w:after="140"/>
        <w:jc w:val="both"/>
        <w:rPr/>
      </w:pPr>
      <w:r>
        <w:rPr/>
        <w:t xml:space="preserve">Universidad EAFIT, Medellín (Antioquia), with field and validation activities on the road section described in Section 2.3.</w:t>
      </w:r>
    </w:p>
    <w:p>
      <w:pPr>
        <w:pStyle w:val="Heading2"/>
        <w:rPr/>
      </w:pPr>
      <w:bookmarkStart w:id="8" w:name="__RefHeading___Toc7887_1931662957"/>
      <w:bookmarkEnd w:id="8"/>
      <w:r>
        <w:rPr/>
        <w:t xml:space="preserve">2.5. Duration</w:t>
      </w:r>
    </w:p>
    <w:p>
      <w:pPr>
        <w:pStyle w:val="Normal"/>
        <w:spacing w:lineRule="exact" w:line="288" w:before="0" w:after="140"/>
        <w:jc w:val="both"/>
        <w:rPr/>
      </w:pPr>
      <w:r>
        <w:rPr/>
        <w:t xml:space="preserve">Twenty-four (24) months.</w:t>
      </w:r>
    </w:p>
    <w:p>
      <w:pPr>
        <w:pStyle w:val="Heading2"/>
        <w:rPr/>
      </w:pPr>
      <w:bookmarkStart w:id="9" w:name="__RefHeading___Toc7889_1931662957"/>
      <w:bookmarkEnd w:id="9"/>
      <w:r>
        <w:rPr/>
        <w:t xml:space="preserve">2.6. Team composition</w:t>
      </w:r>
    </w:p>
    <w:p>
      <w:pPr>
        <w:pStyle w:val="Normal"/>
        <w:spacing w:lineRule="exact" w:line="288" w:before="0" w:after="140"/>
        <w:jc w:val="both"/>
        <w:rPr/>
      </w:pPr>
      <w:r>
        <w:rPr/>
        <w:t xml:space="preserve">Table 2 lists the team members with their dedication, duration and role, consistent with the human-resources budget (Table 21).</w:t>
      </w:r>
    </w:p>
    <w:p>
      <w:pPr>
        <w:pStyle w:val="TableCaption"/>
        <w:keepNext w:val="true"/>
        <w:spacing w:before="200" w:after="80"/>
        <w:rPr/>
      </w:pPr>
      <w:bookmarkStart w:id="10" w:name="__RefHeading___Toc8087_1931662957"/>
      <w:bookmarkEnd w:id="10"/>
      <w:r>
        <w:rPr>
          <w:b/>
          <w:bCs/>
          <w:color w:val="1F3864"/>
        </w:rPr>
        <w:t xml:space="preserve">Table </w:t>
        <w:fldChar w:fldCharType="begin"/>
        <w:instrText xml:space="preserve"> SEQ Tabla \* ARABIC </w:instrText>
        <w:fldChar w:fldCharType="separate"/>
        <w:t xml:space="preserve">2</w:t>
        <w:fldChar w:fldCharType="end"/>
        <w:t xml:space="preserve">. </w:t>
      </w:r>
      <w:r>
        <w:rPr>
          <w:i/>
          <w:iCs/>
        </w:rPr>
        <w:t xml:space="preserve">Team composition</w:t>
      </w:r>
    </w:p>
    <w:tbl>
      <w:tblPr>
        <w:tblW w:w="9406" w:type="dxa"/>
        <w:jc w:val="left"/>
        <w:tblInd w:w="0" w:type="dxa"/>
        <w:tblLayout w:type="fixed"/>
        <w:tblCellMar>
          <w:top w:w="50" w:type="dxa"/>
          <w:left w:w="80" w:type="dxa"/>
          <w:bottom w:w="50" w:type="dxa"/>
          <w:right w:w="80" w:type="dxa"/>
        </w:tblCellMar>
      </w:tblPr>
      <w:tblGrid>
        <w:gridCol w:w="2257"/>
        <w:gridCol w:w="657"/>
        <w:gridCol w:w="1222"/>
        <w:gridCol w:w="1128"/>
        <w:gridCol w:w="4142"/>
      </w:tblGrid>
      <w:tr>
        <w:trPr>
          <w:tblHeader w:val="true"/>
          <w:cantSplit w:val="true"/>
        </w:trPr>
        <w:tc>
          <w:tcPr>
            <w:tcW w:w="22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Position</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Qty.</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Dedication (h/week)</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Duration (months)</w:t>
            </w:r>
          </w:p>
        </w:tc>
        <w:tc>
          <w:tcPr>
            <w:tcW w:w="414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Role in the project</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Project manager</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12</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Oversee all project phases, coordinate teams and resources, and manage risks.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Database developer</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14</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Develop and maintain the geospatial and meteorological database based on the LHASA algorithm and integrate satellite data.</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Software developer</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18</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Develop the software modules, integrate the neural-network model and configure the alerts.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Platform developer</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Design, develop and integrate the monitoring platform (interface, reports and connection with external services).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Senior computer vision specialist</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16</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Test and optimize the computer vision algorithms for landslide detection.</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Junior computer vision specialist</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12</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Implement and optimize the computer vision algorithms.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Junior data analyst</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12</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Collect data for the initial database, design it and standardize the project's communication protocols.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Senior data analyst</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18</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Interpret the collected data, develop predictive models and generate reports.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Administrative assistant</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24</w:t>
            </w:r>
          </w:p>
        </w:tc>
        <w:tc>
          <w:tcPr>
            <w:tcW w:w="414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Support the administrative management of the project, document handling and logistics.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Platform administrator</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20</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6</w:t>
            </w:r>
          </w:p>
        </w:tc>
        <w:tc>
          <w:tcPr>
            <w:tcW w:w="414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Register, update and verify the correct operation of the platform.</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Personnel hired under service contracts for audits, technical advice and other activities described in Table 16 (Methodology) and Table 17 (Logical framework matrix) are not included.</w:t>
      </w:r>
    </w:p>
    <w:p>
      <w:pPr>
        <w:pStyle w:val="Heading2"/>
        <w:rPr/>
      </w:pPr>
      <w:bookmarkStart w:id="11" w:name="__RefHeading___Toc7891_1931662957"/>
      <w:bookmarkEnd w:id="11"/>
      <w:r>
        <w:rPr/>
        <w:t xml:space="preserve">2.7. Alignment with public policy</w:t>
      </w:r>
    </w:p>
    <w:p>
      <w:pPr>
        <w:pStyle w:val="Heading3"/>
        <w:rPr/>
      </w:pPr>
      <w:bookmarkStart w:id="12" w:name="__RefHeading___Toc7893_1931662957"/>
      <w:bookmarkEnd w:id="12"/>
      <w:r>
        <w:rPr/>
        <w:t xml:space="preserve">2.7.1. Sustainable Development Goals (SDGs)</w:t>
      </w:r>
    </w:p>
    <w:p>
      <w:pPr>
        <w:pStyle w:val="Normal"/>
        <w:spacing w:lineRule="exact" w:line="288" w:before="0" w:after="140"/>
        <w:jc w:val="both"/>
        <w:rPr/>
      </w:pPr>
      <w:r>
        <w:rPr/>
        <w:t xml:space="preserve">The proposal is aligned with the 2030 Agenda targets and indicators presented in Table 3.</w:t>
      </w:r>
    </w:p>
    <w:p>
      <w:pPr>
        <w:pStyle w:val="TableCaption"/>
        <w:keepNext w:val="true"/>
        <w:spacing w:before="200" w:after="80"/>
        <w:rPr/>
      </w:pPr>
      <w:bookmarkStart w:id="13" w:name="__RefHeading___Toc8085_1931662957"/>
      <w:bookmarkEnd w:id="13"/>
      <w:r>
        <w:rPr>
          <w:b/>
          <w:bCs/>
          <w:color w:val="1F3864"/>
        </w:rPr>
        <w:t xml:space="preserve">Table </w:t>
        <w:fldChar w:fldCharType="begin"/>
        <w:instrText xml:space="preserve"> SEQ Tabla \* ARABIC </w:instrText>
        <w:fldChar w:fldCharType="separate"/>
        <w:t xml:space="preserve">3</w:t>
        <w:fldChar w:fldCharType="end"/>
        <w:t xml:space="preserve">. </w:t>
      </w:r>
      <w:r>
        <w:rPr>
          <w:i/>
          <w:iCs/>
        </w:rPr>
        <w:t xml:space="preserve">Alignment with the Sustainable Development Goals</w:t>
      </w:r>
    </w:p>
    <w:tbl>
      <w:tblPr>
        <w:tblW w:w="9406" w:type="dxa"/>
        <w:jc w:val="left"/>
        <w:tblInd w:w="0" w:type="dxa"/>
        <w:tblLayout w:type="fixed"/>
        <w:tblCellMar>
          <w:top w:w="50" w:type="dxa"/>
          <w:left w:w="80" w:type="dxa"/>
          <w:bottom w:w="50" w:type="dxa"/>
          <w:right w:w="80" w:type="dxa"/>
        </w:tblCellMar>
      </w:tblPr>
      <w:tblGrid>
        <w:gridCol w:w="2069"/>
        <w:gridCol w:w="4043"/>
        <w:gridCol w:w="3294"/>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SDG</w:t>
            </w:r>
          </w:p>
        </w:tc>
        <w:tc>
          <w:tcPr>
            <w:tcW w:w="404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Target</w:t>
            </w:r>
          </w:p>
        </w:tc>
        <w:tc>
          <w:tcPr>
            <w:tcW w:w="329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Indicators</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SDG 11: Sustainable cities and communities</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Target 11.5: significantly reduce the number of deaths and the number of people affected by disasters, including water-related disasters, and reduce the direct economic losses caused by disasters, with a focus on people in vulnerable situations.</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11.5.1: number of deaths, missing persons and directly affected persons attributed to disasters per 100,000 population (UNDRR).</w:t>
            </w:r>
          </w:p>
          <w:p>
            <w:pPr>
              <w:pStyle w:val="Normal"/>
              <w:keepNext w:val="true"/>
              <w:spacing w:lineRule="exact" w:line="252" w:before="0" w:after="20"/>
              <w:jc w:val="left"/>
              <w:rPr/>
            </w:pPr>
            <w:r>
              <w:rPr>
                <w:b w:val="false"/>
                <w:bCs w:val="false"/>
                <w:color w:val="1A1A1A"/>
                <w:sz w:val="18"/>
                <w:szCs w:val="18"/>
              </w:rPr>
              <w:t xml:space="preserve">11.5.2: direct economic loss attributed to disasters in relation to global GDP (UNDRR).</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SDG 13: Climate action</w:t>
            </w:r>
          </w:p>
        </w:tc>
        <w:tc>
          <w:tcPr>
            <w:tcW w:w="404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Target 13.1: strengthen resilience and adaptive capacity to climate-related hazards and natural disasters in all countries.</w:t>
            </w:r>
          </w:p>
        </w:tc>
        <w:tc>
          <w:tcPr>
            <w:tcW w:w="329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13.1.2: number of countries that adopt and implement national disaster risk reduction strategies in line with the Sendai Framework 2015-2030 (UNDRR).</w:t>
            </w:r>
          </w:p>
          <w:p>
            <w:pPr>
              <w:pStyle w:val="Normal"/>
              <w:keepNext w:val="true"/>
              <w:spacing w:lineRule="exact" w:line="252" w:before="0" w:after="20"/>
              <w:jc w:val="left"/>
              <w:rPr/>
            </w:pPr>
            <w:r>
              <w:rPr>
                <w:b w:val="false"/>
                <w:bCs w:val="false"/>
                <w:color w:val="1A1A1A"/>
                <w:sz w:val="18"/>
                <w:szCs w:val="18"/>
              </w:rPr>
              <w:t xml:space="preserve">13.1.3: proportion of local governments that adopt and implement local disaster risk reduction strategies (UNDRR).</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SDG 3: Good health and well-being</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Target 3.d: strengthen the capacity of all countries, in particular developing countries, for early warning, risk reduction and management of health risks.</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SDG 9: Industry, innovation and infrastructure</w:t>
            </w:r>
          </w:p>
        </w:tc>
        <w:tc>
          <w:tcPr>
            <w:tcW w:w="404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Target 9.1: develop quality, reliable, sustainable and resilient infrastructure to support economic development and human well-being, with affordable and equitable access for all.</w:t>
            </w:r>
          </w:p>
        </w:tc>
        <w:tc>
          <w:tcPr>
            <w:tcW w:w="329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9.1.1: proportion of the rural population who live within 2 km of an all-season road (World Bank).</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SDG 15: Life on land</w:t>
            </w:r>
          </w:p>
        </w:tc>
        <w:tc>
          <w:tcPr>
            <w:tcW w:w="404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Target 15.1: ensure the conservation, restoration and sustainable use of terrestrial and inland freshwater ecosystems and their services, in particular forests, wetlands and mountains.</w:t>
            </w:r>
          </w:p>
        </w:tc>
        <w:tc>
          <w:tcPr>
            <w:tcW w:w="329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based on the 2030 Agenda targets and indicators (UNEP, 2024).</w:t>
      </w:r>
    </w:p>
    <w:p>
      <w:pPr>
        <w:pStyle w:val="Heading3"/>
        <w:rPr/>
      </w:pPr>
      <w:bookmarkStart w:id="14" w:name="__RefHeading___Toc7895_1931662957"/>
      <w:bookmarkEnd w:id="14"/>
      <w:r>
        <w:rPr/>
        <w:t xml:space="preserve">2.7.2. National Development Plan 2022-2026 “Colombia, World Power of Life” (Law 2294 of 2023)</w:t>
      </w:r>
    </w:p>
    <w:p>
      <w:pPr>
        <w:pStyle w:val="ListParagraph"/>
        <w:numPr>
          <w:ilvl w:val="0"/>
          <w:numId w:val="1"/>
        </w:numPr>
        <w:spacing w:lineRule="exact" w:line="276" w:before="0" w:after="80"/>
        <w:jc w:val="both"/>
        <w:rPr/>
      </w:pPr>
      <w:r>
        <w:rPr>
          <w:b/>
          <w:bCs/>
        </w:rPr>
        <w:t xml:space="preserve">Transformation:</w:t>
      </w:r>
      <w:r>
        <w:rPr/>
        <w:t xml:space="preserve"> Productive transformation, internationalization and climate action.</w:t>
      </w:r>
    </w:p>
    <w:p>
      <w:pPr>
        <w:pStyle w:val="ListParagraph"/>
        <w:numPr>
          <w:ilvl w:val="0"/>
          <w:numId w:val="1"/>
        </w:numPr>
        <w:spacing w:lineRule="exact" w:line="276" w:before="0" w:after="80"/>
        <w:jc w:val="both"/>
        <w:rPr/>
      </w:pPr>
      <w:r>
        <w:rPr>
          <w:b/>
          <w:bCs/>
        </w:rPr>
        <w:t xml:space="preserve">Catalyst:</w:t>
      </w:r>
      <w:r>
        <w:rPr/>
        <w:t xml:space="preserve"> Economic transition to achieve carbon neutrality and consolidate climate-resilient territories.</w:t>
      </w:r>
    </w:p>
    <w:p>
      <w:pPr>
        <w:pStyle w:val="ListParagraph"/>
        <w:numPr>
          <w:ilvl w:val="0"/>
          <w:numId w:val="1"/>
        </w:numPr>
        <w:spacing w:lineRule="exact" w:line="276" w:before="0" w:after="80"/>
        <w:jc w:val="both"/>
        <w:rPr/>
      </w:pPr>
      <w:r>
        <w:rPr>
          <w:b/>
          <w:bCs/>
        </w:rPr>
        <w:t xml:space="preserve">Project contribution:</w:t>
      </w:r>
      <w:r>
        <w:rPr/>
        <w:t xml:space="preserve"> a science, technology and innovation tool for disaster risk management in the road network, in line with Law 1523 of 2012 (National Disaster Risk Management Policy).</w:t>
      </w:r>
    </w:p>
    <w:p>
      <w:pPr>
        <w:pStyle w:val="Heading3"/>
        <w:rPr/>
      </w:pPr>
      <w:bookmarkStart w:id="15" w:name="__RefHeading___Toc7897_1931662957"/>
      <w:bookmarkEnd w:id="15"/>
      <w:r>
        <w:rPr/>
        <w:t xml:space="preserve">2.7.3. Departmental Development Plan “Por Antioquia firme” 2024-2027</w:t>
      </w:r>
    </w:p>
    <w:p>
      <w:pPr>
        <w:pStyle w:val="ListParagraph"/>
        <w:numPr>
          <w:ilvl w:val="0"/>
          <w:numId w:val="1"/>
        </w:numPr>
        <w:spacing w:lineRule="exact" w:line="276" w:before="0" w:after="80"/>
        <w:jc w:val="both"/>
        <w:rPr/>
      </w:pPr>
      <w:r>
        <w:rPr>
          <w:b/>
          <w:bCs/>
        </w:rPr>
        <w:t xml:space="preserve">Strategic line 3:</w:t>
      </w:r>
      <w:r>
        <w:rPr/>
        <w:t xml:space="preserve"> Investment built on trust.</w:t>
      </w:r>
    </w:p>
    <w:p>
      <w:pPr>
        <w:pStyle w:val="ListParagraph"/>
        <w:numPr>
          <w:ilvl w:val="0"/>
          <w:numId w:val="1"/>
        </w:numPr>
        <w:spacing w:lineRule="exact" w:line="276" w:before="0" w:after="80"/>
        <w:jc w:val="both"/>
        <w:rPr/>
      </w:pPr>
      <w:r>
        <w:rPr>
          <w:b/>
          <w:bCs/>
        </w:rPr>
        <w:t xml:space="preserve">Component 3.1:</w:t>
      </w:r>
      <w:r>
        <w:rPr/>
        <w:t xml:space="preserve"> Infrastructure for equity and competitiveness.</w:t>
      </w:r>
    </w:p>
    <w:p>
      <w:pPr>
        <w:pStyle w:val="Heading3"/>
        <w:rPr/>
      </w:pPr>
      <w:bookmarkStart w:id="16" w:name="__RefHeading___Toc7899_1931662957"/>
      <w:bookmarkEnd w:id="16"/>
      <w:r>
        <w:rPr/>
        <w:t xml:space="preserve">2.7.4. Municipal Development Plan of San Francisco 2024-2027</w:t>
      </w:r>
    </w:p>
    <w:p>
      <w:pPr>
        <w:pStyle w:val="Normal"/>
        <w:spacing w:lineRule="exact" w:line="288" w:before="0" w:after="140"/>
        <w:jc w:val="both"/>
        <w:rPr/>
      </w:pPr>
      <w:r>
        <w:rPr/>
        <w:t xml:space="preserve">The project supports the municipal actions for disaster risk knowledge and reduction in the Medellín–Bogotá Highway corridor, in coordination with DAGRAN and the Municipal Risk Management Council, and contributes to the road connectivity on which the municipality's economy depends.</w:t>
      </w:r>
      <w:r>
        <w:br w:type="page"/>
      </w:r>
    </w:p>
    <w:p>
      <w:pPr>
        <w:pStyle w:val="Heading1"/>
        <w:rPr/>
      </w:pPr>
      <w:bookmarkStart w:id="17" w:name="__RefHeading___Toc7901_1931662957"/>
      <w:bookmarkEnd w:id="17"/>
      <w:r>
        <w:rPr/>
        <w:t xml:space="preserve">3. Executive summary</w:t>
      </w:r>
    </w:p>
    <w:p>
      <w:pPr>
        <w:pStyle w:val="Normal"/>
        <w:spacing w:lineRule="exact" w:line="288" w:before="0" w:after="140"/>
        <w:jc w:val="both"/>
        <w:rPr/>
      </w:pPr>
      <w:r>
        <w:rPr/>
        <w:t xml:space="preserve">Landslides are a problem that affects the infrastructure of mountainous countries, especially during rainy seasons. These events can cause serious damage to a region's road infrastructure, interrupt traffic and endanger the safety of road users. Identifying areas of potential risk therefore becomes a crucial task that allows preventive measures to be taken to minimize the impacts of these events (United Nations Office for Disaster Risk Reduction, 2018; Paisaje Cultural Cafetero PCC, 2021).</w:t>
      </w:r>
    </w:p>
    <w:p>
      <w:pPr>
        <w:pStyle w:val="Normal"/>
        <w:spacing w:lineRule="exact" w:line="288" w:before="0" w:after="140"/>
        <w:jc w:val="both"/>
        <w:rPr/>
      </w:pPr>
      <w:r>
        <w:rPr/>
        <w:t xml:space="preserve">To address this problem, a monitoring system is proposed that can warn of potential landslides that may affect a region's road infrastructure. This project proposes developing a tool based on a computer vision algorithm that will identify landslide-prone areas using NASA satellite data. The tool will build on the LHASA algorithm, which analyzes satellite imagery to measure ground temperature and detect fluctuations that could indicate an imminent landslide (Kirschbaum et al., 2020). By combining this technology with a historical analysis of occurrences, the aim is to create an early warning system that allows local authorities to implement prevention and risk-mitigation plans, safeguarding the integrity of the road infrastructure and the safety of its users (Cruz et al., 2022; FEMA, 2020).</w:t>
      </w:r>
    </w:p>
    <w:p>
      <w:pPr>
        <w:pStyle w:val="Normal"/>
        <w:spacing w:lineRule="exact" w:line="288" w:before="0" w:after="140"/>
        <w:jc w:val="both"/>
        <w:rPr/>
      </w:pPr>
      <w:r>
        <w:rPr/>
        <w:t xml:space="preserve">The project methodology consists of using computer vision to monitor landslide-prone areas, taking into account drainage problems and specific geological characteristics. This requires access to the data provided by NASA, identifying areas with a history of recurrent landslides. This will make it possible to train the algorithm to identify behavior patterns that precede landslides, which will facilitate the prediction of future events (Zhou et al., 2023; Amatya et al., 2021).</w:t>
      </w:r>
    </w:p>
    <w:p>
      <w:pPr>
        <w:pStyle w:val="Normal"/>
        <w:spacing w:lineRule="exact" w:line="288" w:before="0" w:after="140"/>
        <w:jc w:val="both"/>
        <w:rPr/>
      </w:pPr>
      <w:r>
        <w:rPr/>
        <w:t xml:space="preserve">The project arises from the need to improve landslide warning systems, together with road safety and disaster prevention. Expected results include the identification of high-risk areas, with detailed mapping of landslide-prone road sections and their classification by risk level. Preventive strategies will also be developed, such as recommendations to improve drainage on critical sections and proposals for engineering measures to stabilize slopes and soils (Giri et al., 2019). An early warning system will be implemented, creating alert protocols based on real-time data and coordinating with local authorities for a fast and effective response (UNDRR, 2022).</w:t>
      </w:r>
    </w:p>
    <w:p>
      <w:pPr>
        <w:pStyle w:val="Normal"/>
        <w:spacing w:lineRule="exact" w:line="288" w:before="0" w:after="140"/>
        <w:jc w:val="both"/>
        <w:rPr/>
      </w:pPr>
      <w:r>
        <w:rPr/>
        <w:t xml:space="preserve">In addition to this background, the proposing entity, Universidad EAFIT, has carried out several initiatives on landslide risk, especially through its Center for Urban and Environmental Studies (URBAM). A highlight is the work done jointly with the Harvard Graduate School of Design, </w:t>
      </w:r>
      <w:r>
        <w:rPr>
          <w:i/>
          <w:iCs/>
        </w:rPr>
        <w:t xml:space="preserve">Re Habita la ladera</w:t>
      </w:r>
      <w:r>
        <w:rPr/>
        <w:t xml:space="preserve"> (Echeverri et al., 2012), a study that reflects the landslide risk on the hillsides of the Aburrá Valley.</w:t>
      </w:r>
    </w:p>
    <w:p>
      <w:pPr>
        <w:pStyle w:val="Normal"/>
        <w:spacing w:lineRule="exact" w:line="288" w:before="0" w:after="140"/>
        <w:jc w:val="both"/>
        <w:rPr/>
      </w:pPr>
      <w:r>
        <w:rPr/>
        <w:t xml:space="preserve">Ultimately, this proposal is expected not only to improve the safety of road users, but also to contribute to the continuity and efficiency of road transport, reducing the economic costs related to logistics and the transport of valuable goods in vulnerable regions (World Bank, 2021).</w:t>
      </w:r>
      <w:r>
        <w:br w:type="page"/>
      </w:r>
    </w:p>
    <w:p>
      <w:pPr>
        <w:pStyle w:val="Heading1"/>
        <w:rPr/>
      </w:pPr>
      <w:bookmarkStart w:id="18" w:name="__RefHeading___Toc7903_1931662957"/>
      <w:bookmarkEnd w:id="18"/>
      <w:r>
        <w:rPr/>
        <w:t xml:space="preserve">4. Background</w:t>
      </w:r>
    </w:p>
    <w:p>
      <w:pPr>
        <w:pStyle w:val="Normal"/>
        <w:spacing w:lineRule="exact" w:line="288" w:before="0" w:after="140"/>
        <w:jc w:val="both"/>
        <w:rPr/>
      </w:pPr>
      <w:r>
        <w:rPr/>
        <w:t xml:space="preserve">Landslides or “mass movements” are a phenomenon of high recurrence and impact; so much so that, despite being events confined to smaller disaster areas, according to World Bank figures (Campos et al., 2012) they have caused a greater cumulative number of deaths throughout history than earthquakes. Their mitigation is therefore of global importance, as can be seen in Section 2 of this document under Sustainable Development Goal target 11.5 (UNEP, 2024), which specifies the need to reduce human deaths caused by this natural phenomenon.</w:t>
      </w:r>
    </w:p>
    <w:p>
      <w:pPr>
        <w:pStyle w:val="Normal"/>
        <w:spacing w:lineRule="exact" w:line="288" w:before="0" w:after="140"/>
        <w:jc w:val="both"/>
        <w:rPr/>
      </w:pPr>
      <w:r>
        <w:rPr/>
        <w:t xml:space="preserve">In Colombia the situation is no different from the one referenced by the SDG: the risk map produced by the Colombian Geological Survey in 2018 places more than 80% of the Colombian population in areas of “High” mass-movement risk. Historically, according to the UNGRD (2020), more than 11,800 landslides have occurred in Colombia alone in the last 100 years, claiming the lives of about 7,590 people and affecting approximately 239,740 families in some way. The region with the most records in this history is the Department of Antioquia, with 1,393 cases. Notably, Antioquia is affected even in its most populated area, the Aburrá Valley, where the geomorphological formation, lithological composition, crust, slopes, climatic factors, current and growing urban occupation, and informal occupation and construction all favor landslides. These affect the integrity and functionality of the roads, which represents high costs for the department's economy, loss of human life and damage to its logistics capacity (Restrepo, 2023).</w:t>
      </w:r>
    </w:p>
    <w:p>
      <w:pPr>
        <w:pStyle w:val="Normal"/>
        <w:spacing w:lineRule="exact" w:line="288" w:before="0" w:after="140"/>
        <w:jc w:val="both"/>
        <w:rPr/>
      </w:pPr>
      <w:r>
        <w:rPr/>
        <w:t xml:space="preserve">This situation has been studied on several occasions by the Center for Urban and Environmental Studies (URBAM) of Universidad EAFIT, which has built an outstanding track record in researching and managing risks associated with landslides, mass movements and slope failures. Since its founding in 2010, URBAM has worked at the intersection of academia, institutions and communities, focusing on creating sustainable and inclusive urban and rural environments.</w:t>
      </w:r>
    </w:p>
    <w:p>
      <w:pPr>
        <w:pStyle w:val="Normal"/>
        <w:spacing w:lineRule="exact" w:line="288" w:before="0" w:after="140"/>
        <w:jc w:val="both"/>
        <w:rPr/>
      </w:pPr>
      <w:r>
        <w:rPr/>
        <w:t xml:space="preserve">Its flagship project in the assessment of landslide risks and losses is “Rehabitar la ladera” (Echeverri et al., 2012), a scientific work that, in addition to studying these landslide risks, proposes urban and social strategies to take advantage of this risk situation, eliminate the risk and turn it into an advantage. This project has evolved into more recent ones such as “Rehabitar la montaña” (Echeverri et al., 2013).</w:t>
      </w:r>
    </w:p>
    <w:p>
      <w:pPr>
        <w:pStyle w:val="Normal"/>
        <w:spacing w:lineRule="exact" w:line="288" w:before="0" w:after="140"/>
        <w:jc w:val="both"/>
        <w:rPr/>
      </w:pPr>
      <w:r>
        <w:rPr/>
        <w:t xml:space="preserve">URBAM has also collaborated with various government entities and non-governmental organizations in implementing disaster mitigation and prevention strategies. A notable example is the “Urban Resilience Program” (Olarte, 2014), which seeks to strengthen the capacity of communities to respond to and adapt to natural disasters, including landslides. URBAM has also carried out the </w:t>
      </w:r>
      <w:r>
        <w:rPr>
          <w:b/>
          <w:bCs/>
        </w:rPr>
        <w:t xml:space="preserve">“</w:t>
      </w:r>
      <w:r>
        <w:rPr/>
        <w:t xml:space="preserve">Community Education and Awareness Project</w:t>
      </w:r>
      <w:r>
        <w:rPr>
          <w:b/>
          <w:bCs/>
        </w:rPr>
        <w:t xml:space="preserve">”</w:t>
      </w:r>
      <w:r>
        <w:rPr/>
        <w:t xml:space="preserve">, which aims to educate local communities about landslide risks and the preventive measures they can take within the framework of “Rehabitar la ladera”. This project has included workshops, awareness campaigns and the distribution of educational materials1.</w:t>
      </w:r>
    </w:p>
    <w:p>
      <w:pPr>
        <w:pStyle w:val="Normal"/>
        <w:spacing w:lineRule="exact" w:line="288" w:before="0" w:after="140"/>
        <w:jc w:val="both"/>
        <w:rPr/>
      </w:pPr>
      <w:r>
        <w:rPr/>
        <w:t xml:space="preserve">In Antioquia, departmental initiatives that bring together the state and academia stand out, such as the Early Warning System of Medellín and the Aburrá Valley (SIATA), which uses cameras and sensors to monitor hydrometeorological and air-quality variables, making it possible to manage landslide-related risks.</w:t>
      </w:r>
    </w:p>
    <w:p>
      <w:pPr>
        <w:pStyle w:val="Normal"/>
        <w:spacing w:lineRule="exact" w:line="288" w:before="0" w:after="140"/>
        <w:jc w:val="both"/>
        <w:rPr/>
      </w:pPr>
      <w:r>
        <w:rPr/>
        <w:t xml:space="preserve">Internationally, the implementation of monitoring systems for landslide identification has gained relevance in recent years. Research published in high-impact scientific journals such as Stochastic Environmental Research and Risk Assessment and Multimedia Tools and Applications has demonstrated the effectiveness of deep-learning models in predicting the occurrence and location of these geological events. This research laid the foundations for increasingly sophisticated and accessible technological tools, such as hierarchical neural networks and lightweight deep-learning models. These tools have enabled the early identification of vulnerable areas, significantly improving the capacity to respond to landslide events (Benavides, 2019). One of the most notable examples of these capabilities is the Landslide Hazard Assessment for Situational Awareness (LHASA) system, whose team has over the years become a reference on several assumptions used in the study of these phenomena, such as the relationship between landslides and the El Niño phenomenon (Emberson et al., 2021), logical frameworks for characterizing these phenomena (Emberson et al., 2020) within the free catalog they offer to the general public, and open-source tools for detecting mass movements (Amatya et al., 2021).</w:t>
      </w:r>
    </w:p>
    <w:p>
      <w:pPr>
        <w:pStyle w:val="Normal"/>
        <w:spacing w:lineRule="exact" w:line="288" w:before="0" w:after="140"/>
        <w:jc w:val="both"/>
        <w:rPr/>
      </w:pPr>
      <w:r>
        <w:rPr/>
        <w:t xml:space="preserve">The use of computer vision for detecting landslides is supported by precedents such as Aguilera et al. (2022), which highlights the usefulness of hierarchical neural networks for predicting the occurrence and size of landslides. Their research presents planimetric landslide data classified into different risk categories, reflecting the ability of these technologies to identify vulnerable areas and anticipate possible geological events. The attached image illustrates the classification of different areas by landslide risk level, with a clear distinction between risk classes (Class 0 to Class 3), which shows the accuracy of the proposed model in identifying critical areas.</w:t>
      </w:r>
    </w:p>
    <w:p>
      <w:pPr>
        <w:pStyle w:val="Normal"/>
        <w:spacing w:lineRule="exact" w:line="288" w:before="0" w:after="140"/>
        <w:jc w:val="both"/>
        <w:rPr/>
      </w:pPr>
      <w:r>
        <w:rPr/>
        <w:t xml:space="preserve">These experiences, combined with the advances reported in other studies, underline the importance of advanced monitoring systems that can identify early signs of slope instability. The proposed technology seeks not only to prevent disasters, but also to protect human lives and property, which is crucial in regions prone to these natural phenomena.</w:t>
      </w:r>
    </w:p>
    <w:p>
      <w:pPr>
        <w:pStyle w:val="Normal"/>
        <w:keepNext w:val="true"/>
        <w:spacing w:before="160" w:after="60"/>
        <w:jc w:val="center"/>
        <w:rPr/>
      </w:pPr>
      <w:r>
        <w:rPr/>
        <w:drawing>
          <wp:inline distT="0" distB="0" distL="0" distR="0">
            <wp:extent cx="4210050" cy="3009900"/>
            <wp:effectExtent l="0" t="0" r="0" b="0"/>
            <wp:docPr id="1" name="Clasificación de áreas de riesgo de desl" descr="Clasificación de áreas de riesgo de deslizamiento basada en datos planimétricos Clasificación de áreas de riesgo de deslizamiento basada en datos planimé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ificación de áreas de riesgo de desl" descr="Clasificación de áreas de riesgo de deslizamiento basada en datos planimétricos Clasificación de áreas de riesgo de deslizamiento basada en datos planimétricos"/>
                    <pic:cNvPicPr>
                      <a:picLocks noChangeAspect="1" noChangeArrowheads="1"/>
                    </pic:cNvPicPr>
                  </pic:nvPicPr>
                  <pic:blipFill>
                    <a:blip r:embed="rId4"/>
                    <a:stretch>
                      <a:fillRect/>
                    </a:stretch>
                  </pic:blipFill>
                  <pic:spPr bwMode="auto">
                    <a:xfrm>
                      <a:off x="0" y="0"/>
                      <a:ext cx="4210050" cy="3009900"/>
                    </a:xfrm>
                    <a:prstGeom prst="rect">
                      <a:avLst/>
                    </a:prstGeom>
                  </pic:spPr>
                </pic:pic>
              </a:graphicData>
            </a:graphic>
          </wp:inline>
        </w:drawing>
      </w:r>
    </w:p>
    <w:p>
      <w:pPr>
        <w:pStyle w:val="FigureCaption"/>
        <w:keepNext w:val="true"/>
        <w:spacing w:before="200" w:after="80"/>
        <w:rPr/>
      </w:pPr>
      <w:bookmarkStart w:id="19" w:name="__RefHeading___Toc8089_1931662957"/>
      <w:bookmarkEnd w:id="19"/>
      <w:r>
        <w:rPr>
          <w:b/>
          <w:bCs/>
          <w:color w:val="1F3864"/>
        </w:rPr>
        <w:t xml:space="preserve">Figure </w:t>
        <w:fldChar w:fldCharType="begin"/>
        <w:instrText xml:space="preserve"> SEQ Figura \* ARABIC </w:instrText>
        <w:fldChar w:fldCharType="separate"/>
        <w:t xml:space="preserve">1</w:t>
        <w:fldChar w:fldCharType="end"/>
        <w:t xml:space="preserve">. </w:t>
      </w:r>
      <w:r>
        <w:rPr>
          <w:i/>
          <w:iCs/>
        </w:rPr>
        <w:t xml:space="preserve">Classification of landslide risk areas based on planimetric data</w:t>
      </w:r>
    </w:p>
    <w:p>
      <w:pPr>
        <w:pStyle w:val="Normal"/>
        <w:spacing w:before="60" w:after="240"/>
        <w:jc w:val="left"/>
        <w:rPr/>
      </w:pPr>
      <w:r>
        <w:rPr>
          <w:i/>
          <w:iCs/>
          <w:color w:val="595959"/>
          <w:sz w:val="17"/>
          <w:szCs w:val="17"/>
        </w:rPr>
        <w:t xml:space="preserve">Note. </w:t>
      </w:r>
      <w:r>
        <w:rPr>
          <w:color w:val="595959"/>
          <w:sz w:val="17"/>
          <w:szCs w:val="17"/>
        </w:rPr>
        <w:t xml:space="preserve">Taken from Aguilera et al. (2022).</w:t>
      </w:r>
      <w:r>
        <w:br w:type="page"/>
      </w:r>
    </w:p>
    <w:p>
      <w:pPr>
        <w:pStyle w:val="Heading1"/>
        <w:rPr/>
      </w:pPr>
      <w:bookmarkStart w:id="20" w:name="__RefHeading___Toc7905_1931662957"/>
      <w:bookmarkEnd w:id="20"/>
      <w:r>
        <w:rPr/>
        <w:t xml:space="preserve">5. Stakeholder analysis</w:t>
      </w:r>
    </w:p>
    <w:p>
      <w:pPr>
        <w:pStyle w:val="Normal"/>
        <w:spacing w:lineRule="exact" w:line="288" w:before="0" w:after="140"/>
        <w:jc w:val="both"/>
        <w:rPr/>
      </w:pPr>
      <w:r>
        <w:rPr/>
        <w:t xml:space="preserve">Table 4 identifies the stakeholders, their position with respect to the project (executor, funder, authority, beneficiary, cooperating party, opponent and adversely affected party), their interests and their possible contribution or management.</w:t>
      </w:r>
    </w:p>
    <w:p>
      <w:pPr>
        <w:pStyle w:val="TableCaption"/>
        <w:keepNext w:val="true"/>
        <w:spacing w:before="200" w:after="80"/>
        <w:rPr/>
      </w:pPr>
      <w:bookmarkStart w:id="21" w:name="__RefHeading___Toc8083_1931662957"/>
      <w:bookmarkEnd w:id="21"/>
      <w:r>
        <w:rPr>
          <w:b/>
          <w:bCs/>
          <w:color w:val="1F3864"/>
        </w:rPr>
        <w:t xml:space="preserve">Table </w:t>
        <w:fldChar w:fldCharType="begin"/>
        <w:instrText xml:space="preserve"> SEQ Tabla \* ARABIC </w:instrText>
        <w:fldChar w:fldCharType="separate"/>
        <w:t xml:space="preserve">4</w:t>
        <w:fldChar w:fldCharType="end"/>
        <w:t xml:space="preserve">. </w:t>
      </w:r>
      <w:r>
        <w:rPr>
          <w:i/>
          <w:iCs/>
        </w:rPr>
        <w:t xml:space="preserve">Stakeholder analysis</w:t>
      </w:r>
    </w:p>
    <w:tbl>
      <w:tblPr>
        <w:tblW w:w="9406" w:type="dxa"/>
        <w:jc w:val="left"/>
        <w:tblInd w:w="0" w:type="dxa"/>
        <w:tblLayout w:type="fixed"/>
        <w:tblCellMar>
          <w:top w:w="50" w:type="dxa"/>
          <w:left w:w="80" w:type="dxa"/>
          <w:bottom w:w="50" w:type="dxa"/>
          <w:right w:w="80" w:type="dxa"/>
        </w:tblCellMar>
      </w:tblPr>
      <w:tblGrid>
        <w:gridCol w:w="2538"/>
        <w:gridCol w:w="1316"/>
        <w:gridCol w:w="2540"/>
        <w:gridCol w:w="3011"/>
      </w:tblGrid>
      <w:tr>
        <w:trPr>
          <w:tblHeader w:val="true"/>
          <w:cantSplit w:val="true"/>
        </w:trPr>
        <w:tc>
          <w:tcPr>
            <w:tcW w:w="253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 xml:space="preserve">Entity data</w:t>
            </w:r>
          </w:p>
        </w:tc>
        <w:tc>
          <w:tcPr>
            <w:tcW w:w="131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 xml:space="preserve">Position</w:t>
            </w:r>
          </w:p>
        </w:tc>
        <w:tc>
          <w:tcPr>
            <w:tcW w:w="254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 xml:space="preserve">Interests or expectations</w:t>
            </w:r>
          </w:p>
        </w:tc>
        <w:tc>
          <w:tcPr>
            <w:tcW w:w="301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7"/>
                <w:szCs w:val="17"/>
              </w:rPr>
              <w:t xml:space="preserve">Contribution or management</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MinCiencias</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Contribute to knowledge generation, solutions for the community and innovation in science.</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 Fund the project with resources from the Science, Technology and Innovation Fund (FCTeI) of the General Royalties System (SGR).</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Fondo Adaptación</w:t>
            </w:r>
          </w:p>
          <w:p>
            <w:pPr>
              <w:pStyle w:val="Normal"/>
              <w:keepNext w:val="false"/>
              <w:spacing w:lineRule="exact" w:line="252" w:before="0" w:after="20"/>
              <w:jc w:val="left"/>
              <w:rPr/>
            </w:pPr>
            <w:r>
              <w:rPr>
                <w:b w:val="false"/>
                <w:bCs w:val="false"/>
                <w:color w:val="1A1A1A"/>
                <w:sz w:val="17"/>
                <w:szCs w:val="17"/>
              </w:rPr>
              <w:t xml:space="preserve">Agency: Ministry of Finance</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Funder</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Execute comprehensive risk-management and climate-change adaptation projects with a multisectoral and regional approach, as well as those related to the La Niña phenomenon.</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 Fund the project with resources from the Fondo Adaptación National Bank of Investment Programs and Projects.</w:t>
            </w:r>
          </w:p>
          <w:p>
            <w:pPr>
              <w:pStyle w:val="Normal"/>
              <w:keepNext w:val="false"/>
              <w:spacing w:lineRule="exact" w:line="252" w:before="0" w:after="20"/>
              <w:jc w:val="left"/>
              <w:rPr/>
            </w:pPr>
            <w:r>
              <w:rPr>
                <w:b w:val="false"/>
                <w:bCs w:val="false"/>
                <w:color w:val="1A1A1A"/>
                <w:sz w:val="17"/>
                <w:szCs w:val="17"/>
              </w:rPr>
              <w:t xml:space="preserve">- Supervise the project.</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Academic</w:t>
            </w:r>
          </w:p>
          <w:p>
            <w:pPr>
              <w:pStyle w:val="Normal"/>
              <w:keepNext w:val="false"/>
              <w:spacing w:lineRule="exact" w:line="252" w:before="0" w:after="20"/>
              <w:jc w:val="left"/>
              <w:rPr/>
            </w:pPr>
            <w:r>
              <w:rPr>
                <w:b w:val="false"/>
                <w:bCs w:val="false"/>
                <w:color w:val="1A1A1A"/>
                <w:sz w:val="17"/>
                <w:szCs w:val="17"/>
              </w:rPr>
              <w:t xml:space="preserve">Entity: Urbam Center for Urban and Environmental Studies</w:t>
            </w:r>
          </w:p>
          <w:p>
            <w:pPr>
              <w:pStyle w:val="Normal"/>
              <w:keepNext w:val="false"/>
              <w:spacing w:lineRule="exact" w:line="252" w:before="0" w:after="20"/>
              <w:jc w:val="left"/>
              <w:rPr/>
            </w:pPr>
            <w:r>
              <w:rPr>
                <w:b w:val="false"/>
                <w:bCs w:val="false"/>
                <w:color w:val="1A1A1A"/>
                <w:sz w:val="17"/>
                <w:szCs w:val="17"/>
              </w:rPr>
              <w:t xml:space="preserve">Universidad EAFIT.</w:t>
            </w:r>
          </w:p>
          <w:p>
            <w:pPr>
              <w:pStyle w:val="Normal"/>
              <w:keepNext w:val="false"/>
              <w:spacing w:lineRule="exact" w:line="252" w:before="0" w:after="20"/>
              <w:jc w:val="left"/>
              <w:rPr/>
            </w:pPr>
            <w:r>
              <w:rPr>
                <w:b w:val="false"/>
                <w:bCs w:val="false"/>
                <w:color w:val="1A1A1A"/>
                <w:sz w:val="17"/>
                <w:szCs w:val="17"/>
              </w:rPr>
              <w:t xml:space="preserve">Position: Executor</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Executor</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 Participate in the implementation of the proposed monitoring and prediction tools.</w:t>
            </w:r>
          </w:p>
          <w:p>
            <w:pPr>
              <w:pStyle w:val="Normal"/>
              <w:keepNext w:val="false"/>
              <w:spacing w:lineRule="exact" w:line="252" w:before="0" w:after="20"/>
              <w:jc w:val="left"/>
              <w:rPr/>
            </w:pPr>
            <w:r>
              <w:rPr>
                <w:b w:val="false"/>
                <w:bCs w:val="false"/>
                <w:color w:val="1A1A1A"/>
                <w:sz w:val="17"/>
                <w:szCs w:val="17"/>
              </w:rPr>
              <w:t xml:space="preserve">- Produce relevant scientific material and have a positive impact on society.</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 Formulate and execute the project.</w:t>
            </w:r>
          </w:p>
          <w:p>
            <w:pPr>
              <w:pStyle w:val="Normal"/>
              <w:keepNext w:val="false"/>
              <w:spacing w:lineRule="exact" w:line="252" w:before="0" w:after="20"/>
              <w:jc w:val="left"/>
              <w:rPr/>
            </w:pPr>
            <w:r>
              <w:rPr>
                <w:b w:val="false"/>
                <w:bCs w:val="false"/>
                <w:color w:val="1A1A1A"/>
                <w:sz w:val="17"/>
                <w:szCs w:val="17"/>
              </w:rPr>
              <w:t xml:space="preserve">- Establish the mechanism for operating the project</w:t>
            </w:r>
          </w:p>
          <w:p>
            <w:pPr>
              <w:pStyle w:val="Normal"/>
              <w:keepNext w:val="false"/>
              <w:spacing w:lineRule="exact" w:line="252" w:before="0" w:after="20"/>
              <w:jc w:val="left"/>
              <w:rPr/>
            </w:pPr>
            <w:r>
              <w:rPr>
                <w:b w:val="false"/>
                <w:bCs w:val="false"/>
                <w:color w:val="1A1A1A"/>
                <w:sz w:val="17"/>
                <w:szCs w:val="17"/>
              </w:rPr>
              <w:t xml:space="preserve">- Supervise and carry out the technical and financial monitoring of the project.</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National Unit for Disaster Risk Management (UNGRD)</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Authority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Mitigation of mass-movement risks.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Monitoring and control of the execution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Departmental</w:t>
            </w:r>
          </w:p>
          <w:p>
            <w:pPr>
              <w:pStyle w:val="Normal"/>
              <w:keepNext w:val="false"/>
              <w:spacing w:lineRule="exact" w:line="252" w:before="0" w:after="20"/>
              <w:jc w:val="left"/>
              <w:rPr/>
            </w:pPr>
            <w:r>
              <w:rPr>
                <w:b w:val="false"/>
                <w:bCs w:val="false"/>
                <w:color w:val="1A1A1A"/>
                <w:sz w:val="17"/>
                <w:szCs w:val="17"/>
              </w:rPr>
              <w:t xml:space="preserve">Entity: Administrative Department for Disaster Risk Management of Antioquia (DAGRAN)</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Authority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Mitigation of mass-movement risks.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Monitoring and control of the execution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INVIAS</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Authority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Mitigation of road maintenance costs.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Monitoring and control of the execution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Ministry of Transport and Infrastructure</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Authority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Mitigation of damage to national infrastructure and solutions for logistics efficiency.</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Monitoring and control of the execution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National Infrastructure Agency (ANI)</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Authority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Mitigation of damage to national infrastructure</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Mitigation of damage to national infrastructure and solutions for logistics efficiency.</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Farming and merchant community of eastern Antioquia (near San Francisco)</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Beneficiary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Better income and access to services thanks to improved road conditions.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 Feedback on the monitoring process and its results.</w:t>
            </w:r>
          </w:p>
          <w:p>
            <w:pPr>
              <w:pStyle w:val="Normal"/>
              <w:keepNext w:val="false"/>
              <w:spacing w:lineRule="exact" w:line="252" w:before="0" w:after="20"/>
              <w:jc w:val="left"/>
              <w:rPr/>
            </w:pPr>
            <w:r>
              <w:rPr>
                <w:b w:val="false"/>
                <w:bCs w:val="false"/>
                <w:color w:val="1A1A1A"/>
                <w:sz w:val="17"/>
                <w:szCs w:val="17"/>
              </w:rPr>
              <w:t xml:space="preserve">- Qualitative experiences that help identify possible quantitative parameters for a more robust evaluation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Communities living at the foot of and near the Medellín–Bogotá Highway</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Beneficiary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Survival. Improved well-being and quality of life for their community and families.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 Feedback on the monitoring process and its results.</w:t>
            </w:r>
          </w:p>
          <w:p>
            <w:pPr>
              <w:pStyle w:val="Normal"/>
              <w:keepNext w:val="false"/>
              <w:spacing w:lineRule="exact" w:line="252" w:before="0" w:after="20"/>
              <w:jc w:val="left"/>
              <w:rPr/>
            </w:pPr>
            <w:r>
              <w:rPr>
                <w:b w:val="false"/>
                <w:bCs w:val="false"/>
                <w:color w:val="1A1A1A"/>
                <w:sz w:val="17"/>
                <w:szCs w:val="17"/>
              </w:rPr>
              <w:t xml:space="preserve">- Qualitative experiences that help identify possible quantitative parameters for a more robust evaluation of the proposal.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Private</w:t>
            </w:r>
          </w:p>
          <w:p>
            <w:pPr>
              <w:pStyle w:val="Normal"/>
              <w:keepNext w:val="false"/>
              <w:spacing w:lineRule="exact" w:line="252" w:before="0" w:after="20"/>
              <w:jc w:val="left"/>
              <w:rPr/>
            </w:pPr>
            <w:r>
              <w:rPr>
                <w:b w:val="false"/>
                <w:bCs w:val="false"/>
                <w:color w:val="1A1A1A"/>
                <w:sz w:val="17"/>
                <w:szCs w:val="17"/>
              </w:rPr>
              <w:t xml:space="preserve">Entity: Devimed, the concession in charge of the section proposed for monitoring</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Beneficiary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Lower costs for maintenance and for works to mitigate mass-movement damage.</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First-hand technical information on disaster behavior, causes and concrete consequences.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Colombian State</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Beneficiary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Reduction of material and non-material costs from deaths and injuries.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Provides the legal framework and funding for developing the proposed monitoring.</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IDEAM</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Good use of the environmental data it collects for better decision-making.</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Provide information on environmental variables at or near the monitoring site.</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Foreign/International</w:t>
            </w:r>
          </w:p>
          <w:p>
            <w:pPr>
              <w:pStyle w:val="Normal"/>
              <w:keepNext w:val="false"/>
              <w:spacing w:lineRule="exact" w:line="252" w:before="0" w:after="20"/>
              <w:jc w:val="left"/>
              <w:rPr/>
            </w:pPr>
            <w:r>
              <w:rPr>
                <w:b w:val="false"/>
                <w:bCs w:val="false"/>
                <w:color w:val="1A1A1A"/>
                <w:sz w:val="17"/>
                <w:szCs w:val="17"/>
              </w:rPr>
              <w:t xml:space="preserve">Entity: NASA</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Interest in expanding its database for detecting mass movements (LHASA)</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 Provide free real-time satellite information on the environmental variables of the monitoring site.</w:t>
            </w:r>
          </w:p>
          <w:p>
            <w:pPr>
              <w:pStyle w:val="Normal"/>
              <w:keepNext w:val="false"/>
              <w:spacing w:lineRule="exact" w:line="252" w:before="0" w:after="20"/>
              <w:jc w:val="left"/>
              <w:rPr/>
            </w:pPr>
            <w:r>
              <w:rPr>
                <w:b w:val="false"/>
                <w:bCs w:val="false"/>
                <w:color w:val="1A1A1A"/>
                <w:sz w:val="17"/>
                <w:szCs w:val="17"/>
              </w:rPr>
              <w:t xml:space="preserve">- Provide free tools and conceptual frameworks for the early detection of possible mass movements with satellite imagery.</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SIATA</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Interest in the good use of the environmental information it collects to improve the well-being of the region's inhabitants.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Provide free, real-time information on environmental variables (especially rainfall) in the area of interest.</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Actor: National</w:t>
            </w:r>
          </w:p>
          <w:p>
            <w:pPr>
              <w:pStyle w:val="Normal"/>
              <w:keepNext w:val="false"/>
              <w:spacing w:lineRule="exact" w:line="252" w:before="0" w:after="20"/>
              <w:jc w:val="left"/>
              <w:rPr/>
            </w:pPr>
            <w:r>
              <w:rPr>
                <w:b w:val="false"/>
                <w:bCs w:val="false"/>
                <w:color w:val="1A1A1A"/>
                <w:sz w:val="17"/>
                <w:szCs w:val="17"/>
              </w:rPr>
              <w:t xml:space="preserve">Entity: IGAC</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Interest in the use of its geography and land-property catalogs</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Provide free complementary information from its environmental and physical-geography data portal.</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Actor: Foreign/International</w:t>
            </w:r>
          </w:p>
          <w:p>
            <w:pPr>
              <w:pStyle w:val="Normal"/>
              <w:keepNext w:val="false"/>
              <w:spacing w:lineRule="exact" w:line="252" w:before="0" w:after="20"/>
              <w:jc w:val="left"/>
              <w:rPr/>
            </w:pPr>
            <w:r>
              <w:rPr>
                <w:b w:val="false"/>
                <w:bCs w:val="false"/>
                <w:color w:val="1A1A1A"/>
                <w:sz w:val="17"/>
                <w:szCs w:val="17"/>
              </w:rPr>
              <w:t xml:space="preserve">Entity: Group on Earth Observations (GEO)</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Cooperating party</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Interest in improving the quality of life of communities and making better decisions with satellite imagery.</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 Provide free real-time satellite information on the environmental variables of the monitoring site.</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Third-party companies that carry out road maintenance.</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Opponent /</w:t>
            </w:r>
          </w:p>
          <w:p>
            <w:pPr>
              <w:pStyle w:val="Normal"/>
              <w:keepNext w:val="false"/>
              <w:spacing w:lineRule="exact" w:line="252" w:before="0" w:after="20"/>
              <w:jc w:val="left"/>
              <w:rPr/>
            </w:pPr>
            <w:r>
              <w:rPr>
                <w:b w:val="false"/>
                <w:bCs w:val="false"/>
                <w:color w:val="1A1A1A"/>
                <w:sz w:val="17"/>
                <w:szCs w:val="17"/>
              </w:rPr>
              <w:t xml:space="preserve">Adversely affected</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Receive payment for sporadic maintenance, as well as for the periodic maintenance associated with the rainy season. Also, receive a contract for disaster-preventive maintenance.</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Take action so that their capital is not compromised by the solution for detecting mass movements.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Local population</w:t>
            </w:r>
          </w:p>
        </w:tc>
        <w:tc>
          <w:tcPr>
            <w:tcW w:w="131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Adversely affected</w:t>
            </w:r>
          </w:p>
        </w:tc>
        <w:tc>
          <w:tcPr>
            <w:tcW w:w="254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Interest in not having their lives, dignity and honor affected by the prevention of these disasters</w:t>
            </w:r>
          </w:p>
        </w:tc>
        <w:tc>
          <w:tcPr>
            <w:tcW w:w="301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7"/>
                <w:szCs w:val="17"/>
              </w:rPr>
              <w:t xml:space="preserve">Interventions on the infrastructure may require the use of productive land, homes and businesses.</w:t>
            </w:r>
          </w:p>
        </w:tc>
      </w:tr>
      <w:tr>
        <w:trPr>
          <w:cantSplit w:val="true"/>
        </w:trPr>
        <w:tc>
          <w:tcPr>
            <w:tcW w:w="253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Local fauna and flora</w:t>
            </w:r>
          </w:p>
        </w:tc>
        <w:tc>
          <w:tcPr>
            <w:tcW w:w="131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Adversely affected</w:t>
            </w:r>
          </w:p>
        </w:tc>
        <w:tc>
          <w:tcPr>
            <w:tcW w:w="254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Maintain their integrity for the full development of their life.</w:t>
            </w:r>
          </w:p>
        </w:tc>
        <w:tc>
          <w:tcPr>
            <w:tcW w:w="301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7"/>
                <w:szCs w:val="17"/>
              </w:rPr>
              <w:t xml:space="preserve">If preventive actions are taken on the infrastructure, they face the risk of being physically affected.</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22" w:name="__RefHeading___Toc7907_1931662957"/>
      <w:bookmarkEnd w:id="22"/>
      <w:r>
        <w:rPr/>
        <w:t xml:space="preserve">5.1. Management strategies for opponents and adversely affected parties</w:t>
      </w:r>
    </w:p>
    <w:p>
      <w:pPr>
        <w:pStyle w:val="Normal"/>
        <w:spacing w:lineRule="exact" w:line="288" w:before="0" w:after="140"/>
        <w:jc w:val="both"/>
        <w:rPr/>
      </w:pPr>
      <w:r>
        <w:rPr/>
        <w:t xml:space="preserve">To prevent the third-party companies hired by the concessions and/or the state to mitigate mass-movement damage on the roads from becoming adversely affected parties, it is proposed to turn them into direct beneficiaries of the monitoring system. The activities of this proposal must include a work plan to make them companies specialized in carrying out prevention actions rather than damage-mitigation actions. This is very plausible because, as explained in the next section, according to data from the Banco de la República (Ayala et al., 2013), departmental governments already invest more in disaster prevention than in disaster response. The capital is therefore already in preventive services, and these road risk-management companies can become companies dedicated to responding to the alerts issued by the monitoring system, focusing their preventive efforts more efficiently. They could even become direct clients of the system when the concession is not interested in disaster prevention because it legally assigns all of this responsibility to third parties.</w:t>
      </w:r>
    </w:p>
    <w:p>
      <w:pPr>
        <w:pStyle w:val="Normal"/>
        <w:spacing w:lineRule="exact" w:line="288" w:before="0" w:after="140"/>
        <w:jc w:val="both"/>
        <w:rPr/>
      </w:pPr>
      <w:r>
        <w:rPr/>
        <w:t xml:space="preserve">To avoid possible harm to residents, action must be taken within the legal framework. One of the reasons that justify the project is SDG 11, indicator 11.5.1, which explicitly refers to reducing harm to the population, including its displacement. Therefore, if the population has to be relocated to prevent injury or even death, adequate facilities for temporary housing, or the relevant legal and financial arrangements for relocation, must be included in the budget of the prevention task triggered by the monitoring system's alarm.</w:t>
      </w:r>
    </w:p>
    <w:p>
      <w:pPr>
        <w:pStyle w:val="Normal"/>
        <w:spacing w:lineRule="exact" w:line="288" w:before="0" w:after="140"/>
        <w:jc w:val="both"/>
        <w:rPr/>
      </w:pPr>
      <w:r>
        <w:rPr/>
        <w:t xml:space="preserve">As for wildlife, the executables of the entity intervening on the ground must include a program to evacuate as many of these animals as possible, including activities to verify and delimit the area. For flora, if the preventive activities include clearing forests, this must be offset by replanting in new locations or by purchasing carbon credits, as established by current policies and laws.</w:t>
      </w:r>
      <w:r>
        <w:br w:type="page"/>
      </w:r>
    </w:p>
    <w:p>
      <w:pPr>
        <w:pStyle w:val="Heading1"/>
        <w:rPr/>
      </w:pPr>
      <w:bookmarkStart w:id="23" w:name="__RefHeading___Toc7909_1931662957"/>
      <w:bookmarkEnd w:id="23"/>
      <w:r>
        <w:rPr/>
        <w:t xml:space="preserve">6. Problem analysis</w:t>
      </w:r>
    </w:p>
    <w:p>
      <w:pPr>
        <w:pStyle w:val="Heading2"/>
        <w:rPr/>
      </w:pPr>
      <w:bookmarkStart w:id="24" w:name="__RefHeading___Toc7911_1931662957"/>
      <w:bookmarkEnd w:id="24"/>
      <w:r>
        <w:rPr/>
        <w:t xml:space="preserve">6.1. Central problem</w:t>
      </w:r>
    </w:p>
    <w:p>
      <w:pPr>
        <w:pStyle w:val="Normal"/>
        <w:spacing w:lineRule="exact" w:line="288" w:before="0" w:after="140"/>
        <w:jc w:val="both"/>
        <w:rPr/>
      </w:pPr>
      <w:r>
        <w:rPr/>
        <w:t xml:space="preserve">Landslides in geologically critical areas of the road infrastructure that threaten the safety, economy and integrity of the population that depends on it.</w:t>
      </w:r>
    </w:p>
    <w:p>
      <w:pPr>
        <w:pStyle w:val="Heading2"/>
        <w:rPr/>
      </w:pPr>
      <w:bookmarkStart w:id="25" w:name="__RefHeading___Toc7913_1931662957"/>
      <w:bookmarkEnd w:id="25"/>
      <w:r>
        <w:rPr/>
        <w:t xml:space="preserve">6.2. Causes and effects</w:t>
      </w:r>
    </w:p>
    <w:p>
      <w:pPr>
        <w:pStyle w:val="Normal"/>
        <w:spacing w:lineRule="exact" w:line="288" w:before="0" w:after="140"/>
        <w:jc w:val="both"/>
        <w:rPr/>
      </w:pPr>
      <w:r>
        <w:rPr/>
        <w:t xml:space="preserve">Four direct causes —technical, economic, environmental and design-related— were identified from the central problem, together with their indirect causes, and four direct effects with their indirect effects (Table 5).</w:t>
      </w:r>
    </w:p>
    <w:p>
      <w:pPr>
        <w:pStyle w:val="TableCaption"/>
        <w:keepNext w:val="true"/>
        <w:spacing w:before="200" w:after="80"/>
        <w:rPr/>
      </w:pPr>
      <w:bookmarkStart w:id="26" w:name="__RefHeading___Toc8081_1931662957"/>
      <w:bookmarkEnd w:id="26"/>
      <w:r>
        <w:rPr>
          <w:b/>
          <w:bCs/>
          <w:color w:val="1F3864"/>
        </w:rPr>
        <w:t xml:space="preserve">Table </w:t>
        <w:fldChar w:fldCharType="begin"/>
        <w:instrText xml:space="preserve"> SEQ Tabla \* ARABIC </w:instrText>
        <w:fldChar w:fldCharType="separate"/>
        <w:t xml:space="preserve">5</w:t>
        <w:fldChar w:fldCharType="end"/>
        <w:t xml:space="preserve">. </w:t>
      </w:r>
      <w:r>
        <w:rPr>
          <w:i/>
          <w:iCs/>
        </w:rPr>
        <w:t xml:space="preserve">Causes and effects of the central problem</w:t>
      </w:r>
    </w:p>
    <w:tbl>
      <w:tblPr>
        <w:tblW w:w="9406" w:type="dxa"/>
        <w:jc w:val="left"/>
        <w:tblInd w:w="0" w:type="dxa"/>
        <w:tblLayout w:type="fixed"/>
        <w:tblCellMar>
          <w:top w:w="50" w:type="dxa"/>
          <w:left w:w="80" w:type="dxa"/>
          <w:bottom w:w="50" w:type="dxa"/>
          <w:right w:w="80" w:type="dxa"/>
        </w:tblCellMar>
      </w:tblPr>
      <w:tblGrid>
        <w:gridCol w:w="1504"/>
        <w:gridCol w:w="1975"/>
        <w:gridCol w:w="1974"/>
        <w:gridCol w:w="1975"/>
        <w:gridCol w:w="1978"/>
      </w:tblGrid>
      <w:tr>
        <w:trPr>
          <w:tblHeader w:val="true"/>
          <w:cantSplit w:val="true"/>
        </w:trPr>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Level</w:t>
            </w:r>
          </w:p>
        </w:tc>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Social / urban</w:t>
            </w:r>
          </w:p>
        </w:tc>
        <w:tc>
          <w:tcPr>
            <w:tcW w:w="19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Economic</w:t>
            </w:r>
          </w:p>
        </w:tc>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Environmental</w:t>
            </w:r>
          </w:p>
        </w:tc>
        <w:tc>
          <w:tcPr>
            <w:tcW w:w="197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Technical</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 xml:space="preserve">Indirect effects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Displacement of communities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Higher transport costs</w:t>
            </w:r>
          </w:p>
          <w:p>
            <w:pPr>
              <w:pStyle w:val="Normal"/>
              <w:keepNext w:val="true"/>
              <w:spacing w:lineRule="exact" w:line="252" w:before="0" w:after="20"/>
              <w:jc w:val="left"/>
              <w:rPr/>
            </w:pPr>
            <w:r>
              <w:rPr>
                <w:b w:val="false"/>
                <w:bCs w:val="false"/>
                <w:color w:val="1A1A1A"/>
                <w:sz w:val="18"/>
                <w:szCs w:val="18"/>
              </w:rPr>
              <w:t xml:space="preserve">Loss of income</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Contamination of water bodies</w:t>
            </w:r>
          </w:p>
          <w:p>
            <w:pPr>
              <w:pStyle w:val="Normal"/>
              <w:keepNext w:val="true"/>
              <w:spacing w:lineRule="exact" w:line="252" w:before="0" w:after="20"/>
              <w:jc w:val="left"/>
              <w:rPr/>
            </w:pPr>
            <w:r>
              <w:rPr>
                <w:b w:val="false"/>
                <w:bCs w:val="false"/>
                <w:color w:val="1A1A1A"/>
                <w:sz w:val="18"/>
                <w:szCs w:val="18"/>
              </w:rPr>
              <w:t xml:space="preserve">Loss of biodiversity</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Higher repair costs</w:t>
            </w:r>
          </w:p>
          <w:p>
            <w:pPr>
              <w:pStyle w:val="Normal"/>
              <w:keepNext w:val="true"/>
              <w:spacing w:lineRule="exact" w:line="252" w:before="0" w:after="20"/>
              <w:jc w:val="left"/>
              <w:rPr/>
            </w:pPr>
            <w:r>
              <w:rPr>
                <w:b w:val="false"/>
                <w:bCs w:val="false"/>
                <w:color w:val="1A1A1A"/>
                <w:sz w:val="18"/>
                <w:szCs w:val="18"/>
              </w:rPr>
              <w:t xml:space="preserve">Prolonged interruption of road connectivity</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 xml:space="preserve">Direct effects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Risks to road users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Interruption of economic activities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Ecosystem degradation</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Deterioration of road infrastructure</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 xml:space="preserve">Central problem</w:t>
            </w:r>
          </w:p>
        </w:tc>
        <w:tc>
          <w:tcPr>
            <w:tcW w:w="7902" w:type="dxa"/>
            <w:gridSpan w:val="4"/>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Landslides in critical areas that threaten the safety and integrity of road infrastructure</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true"/>
              <w:spacing w:lineRule="exact" w:line="252" w:before="0" w:after="20"/>
              <w:jc w:val="left"/>
              <w:rPr/>
            </w:pPr>
            <w:r>
              <w:rPr>
                <w:b/>
                <w:bCs/>
                <w:color w:val="1A1A1A"/>
                <w:sz w:val="18"/>
                <w:szCs w:val="18"/>
              </w:rPr>
              <w:t xml:space="preserve">Direct causes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Unplanned urban development</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Lack of investment in maintenance</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Deforestation and heavy rainfall</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Inadequate design of slopes and drainage</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8"/>
                <w:szCs w:val="18"/>
              </w:rPr>
              <w:t xml:space="preserve">Indirect causes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Occupation of unstable land</w:t>
            </w:r>
          </w:p>
          <w:p>
            <w:pPr>
              <w:pStyle w:val="Normal"/>
              <w:keepNext w:val="false"/>
              <w:spacing w:lineRule="exact" w:line="252" w:before="0" w:after="20"/>
              <w:jc w:val="left"/>
              <w:rPr/>
            </w:pPr>
            <w:r>
              <w:rPr>
                <w:b w:val="false"/>
                <w:bCs w:val="false"/>
                <w:color w:val="1A1A1A"/>
                <w:sz w:val="18"/>
                <w:szCs w:val="18"/>
              </w:rPr>
              <w:t xml:space="preserve">Informal construction</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Poorly managed budget priorities</w:t>
            </w:r>
          </w:p>
          <w:p>
            <w:pPr>
              <w:pStyle w:val="Normal"/>
              <w:keepNext w:val="false"/>
              <w:spacing w:lineRule="exact" w:line="252" w:before="0" w:after="20"/>
              <w:jc w:val="left"/>
              <w:rPr/>
            </w:pPr>
            <w:r>
              <w:rPr>
                <w:b w:val="false"/>
                <w:bCs w:val="false"/>
                <w:color w:val="1A1A1A"/>
                <w:sz w:val="18"/>
                <w:szCs w:val="18"/>
              </w:rPr>
              <w:t xml:space="preserve">Cumulative wear of infrastructure</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Accelerated soil erosion</w:t>
            </w:r>
          </w:p>
          <w:p>
            <w:pPr>
              <w:pStyle w:val="Normal"/>
              <w:keepNext w:val="false"/>
              <w:spacing w:lineRule="exact" w:line="252" w:before="0" w:after="20"/>
              <w:jc w:val="left"/>
              <w:rPr/>
            </w:pPr>
            <w:r>
              <w:rPr>
                <w:b w:val="false"/>
                <w:bCs w:val="false"/>
                <w:color w:val="1A1A1A"/>
                <w:sz w:val="18"/>
                <w:szCs w:val="18"/>
              </w:rPr>
              <w:t xml:space="preserve">Reduced water-absorption capacity</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Water accumulation in the ground</w:t>
            </w:r>
          </w:p>
          <w:p>
            <w:pPr>
              <w:pStyle w:val="Normal"/>
              <w:keepNext w:val="false"/>
              <w:spacing w:lineRule="exact" w:line="252" w:before="0" w:after="20"/>
              <w:jc w:val="left"/>
              <w:rPr/>
            </w:pPr>
            <w:r>
              <w:rPr>
                <w:b w:val="false"/>
                <w:bCs w:val="false"/>
                <w:color w:val="1A1A1A"/>
                <w:sz w:val="18"/>
                <w:szCs w:val="18"/>
              </w:rPr>
              <w:t xml:space="preserve">Unsafe slopes</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27" w:name="__RefHeading___Toc7915_1931662957"/>
      <w:bookmarkEnd w:id="27"/>
      <w:r>
        <w:rPr/>
        <w:t xml:space="preserve">6.3. Problem tree</w:t>
      </w:r>
    </w:p>
    <w:p>
      <w:pPr>
        <w:pStyle w:val="Normal"/>
        <w:spacing w:lineRule="exact" w:line="288" w:before="0" w:after="140"/>
        <w:jc w:val="both"/>
        <w:rPr/>
      </w:pPr>
      <w:r>
        <w:rPr/>
        <w:t xml:space="preserve">Figure 2 shows the relationship between the causes, the central problem and the effects.</w:t>
      </w:r>
    </w:p>
    <w:p>
      <w:pPr>
        <w:pStyle w:val="Normal"/>
        <w:keepNext w:val="true"/>
        <w:spacing w:before="160" w:after="60"/>
        <w:jc w:val="center"/>
        <w:rPr/>
      </w:pPr>
      <w:r>
        <w:rPr/>
        <w:drawing>
          <wp:inline distT="0" distB="0" distL="0" distR="0">
            <wp:extent cx="5848350" cy="2771775"/>
            <wp:effectExtent l="0" t="0" r="0" b="0"/>
            <wp:docPr id="2" name="Árbol del problema" descr="Árbol del problema Árbol d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Árbol del problema" descr="Árbol del problema Árbol del problema"/>
                    <pic:cNvPicPr>
                      <a:picLocks noChangeAspect="1" noChangeArrowheads="1"/>
                    </pic:cNvPicPr>
                  </pic:nvPicPr>
                  <pic:blipFill>
                    <a:blip r:embed="rId5"/>
                    <a:stretch>
                      <a:fillRect/>
                    </a:stretch>
                  </pic:blipFill>
                  <pic:spPr bwMode="auto">
                    <a:xfrm>
                      <a:off x="0" y="0"/>
                      <a:ext cx="5848350" cy="2771775"/>
                    </a:xfrm>
                    <a:prstGeom prst="rect">
                      <a:avLst/>
                    </a:prstGeom>
                  </pic:spPr>
                </pic:pic>
              </a:graphicData>
            </a:graphic>
          </wp:inline>
        </w:drawing>
      </w:r>
    </w:p>
    <w:p>
      <w:pPr>
        <w:pStyle w:val="FigureCaption"/>
        <w:keepNext w:val="true"/>
        <w:spacing w:before="200" w:after="80"/>
        <w:rPr/>
      </w:pPr>
      <w:bookmarkStart w:id="28" w:name="__RefHeading___Toc8111_1931662957"/>
      <w:bookmarkEnd w:id="28"/>
      <w:r>
        <w:rPr>
          <w:b/>
          <w:bCs/>
          <w:color w:val="1F3864"/>
        </w:rPr>
        <w:t xml:space="preserve">Figure </w:t>
        <w:fldChar w:fldCharType="begin"/>
        <w:instrText xml:space="preserve"> SEQ Figura \* ARABIC </w:instrText>
        <w:fldChar w:fldCharType="separate"/>
        <w:t xml:space="preserve">2</w:t>
        <w:fldChar w:fldCharType="end"/>
        <w:t xml:space="preserve">. </w:t>
      </w:r>
      <w:r>
        <w:rPr>
          <w:i/>
          <w:iCs/>
        </w:rPr>
        <w:t xml:space="preserve">Problem tree</w:t>
      </w:r>
    </w:p>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29" w:name="__RefHeading___Toc7917_1931662957"/>
      <w:bookmarkEnd w:id="29"/>
      <w:r>
        <w:rPr/>
        <w:t xml:space="preserve">6.4. Description of the problem and the existing situation</w:t>
      </w:r>
    </w:p>
    <w:p>
      <w:pPr>
        <w:pStyle w:val="Normal"/>
        <w:spacing w:lineRule="exact" w:line="288" w:before="0" w:after="140"/>
        <w:jc w:val="both"/>
        <w:rPr/>
      </w:pPr>
      <w:r>
        <w:rPr/>
        <w:t xml:space="preserve">As set out in the selection of the technical system, the site must be a curve with a back slope, which increases the likelihood of landslides (Federal Highway Administration, 2002). It must also have a history of landslides in the area, especially periodic ones. This is the case of the Medellín–Bogotá Highway, Cocorná Toll – Route 45 junction, DeviMed concession, San Luis – Cocorná Toll section, in the municipality of San Francisco, the municipality with the most landslides in the Department of Antioquia according to the DAGRAN records from 1992 to 2022 (Gómez, 2023).</w:t>
      </w:r>
    </w:p>
    <w:p>
      <w:pPr>
        <w:pStyle w:val="Normal"/>
        <w:spacing w:lineRule="exact" w:line="288" w:before="0" w:after="140"/>
        <w:jc w:val="both"/>
        <w:rPr/>
      </w:pPr>
      <w:r>
        <w:rPr/>
        <w:t xml:space="preserve">This area was chosen because of the causes and effects mentioned: it suffers from heavy seasonal rainfall and runoff is a common sight; activities such as limestone mining, livestock farming and agriculture can be seen along the road; there is the Río Claro canyon, an example of the natural erosion of the area; and, finally, the social problems left by the armed conflict in Colombia have resulted in unplanned urbanization, with many homes along the roadside at direct risk from mass movements. The little or no action taken by governments to relocate or improve these Colombian homes can be understood as a consequence of insufficient monitoring and failures in the early warning system. Examples are the San Luis landslides of October 2020 (Colombia Reports, 2020), which left 2 dead and 3 injured, and, more recently, the landslide of 22 June 2024 that completely closed the highway but fortunately did not claim any lives (El Colombiano, 2024).</w:t>
      </w:r>
    </w:p>
    <w:p>
      <w:pPr>
        <w:pStyle w:val="Normal"/>
        <w:spacing w:lineRule="exact" w:line="288" w:before="0" w:after="140"/>
        <w:jc w:val="both"/>
        <w:rPr/>
      </w:pPr>
      <w:r>
        <w:rPr/>
        <w:t xml:space="preserve">Although monitoring systems and warning alarms exist, they have been insufficient to prevent disasters; improvement initiatives have been limited and have not been able to fully address the magnitude of the problem.</w:t>
      </w:r>
    </w:p>
    <w:p>
      <w:pPr>
        <w:pStyle w:val="Heading2"/>
        <w:rPr/>
      </w:pPr>
      <w:bookmarkStart w:id="30" w:name="__RefHeading___Toc7919_1931662957"/>
      <w:bookmarkEnd w:id="30"/>
      <w:r>
        <w:rPr/>
        <w:t xml:space="preserve">6.5. Magnitude of the problem</w:t>
      </w:r>
    </w:p>
    <w:p>
      <w:pPr>
        <w:pStyle w:val="Normal"/>
        <w:spacing w:lineRule="exact" w:line="288" w:before="0" w:after="140"/>
        <w:jc w:val="both"/>
        <w:rPr/>
      </w:pPr>
      <w:r>
        <w:rPr/>
        <w:t xml:space="preserve">This section identifies the magnitude of the problem using metrics that corroborate the correlation with the main causes of landslides and their effects, presenting in particular the upward trend of these phenomena in the country where the proposal will be carried out, Colombia. To do so, the causes with the greatest weight in the expert literature are identified first: as described by NASA's Hydrological Sciences Laboratory (NASA Global Precipitation Measurement Mission, 2024), the main natural causes of landslides are heavy rainfall and earthquakes, and there are two artificial causes: infrastructure construction and mining, both closely linked to the modification of an area's geology.</w:t>
      </w:r>
    </w:p>
    <w:p>
      <w:pPr>
        <w:pStyle w:val="Normal"/>
        <w:spacing w:lineRule="exact" w:line="288" w:before="0" w:after="140"/>
        <w:jc w:val="both"/>
        <w:rPr/>
      </w:pPr>
      <w:r>
        <w:rPr/>
        <w:t xml:space="preserve">To analyze the causes of the problem, and therefore to evaluate the effectiveness of the proposal, a metric for these causes is needed. Among the natural causes, earthquakes have been studied as triggers of landslides (Vega, 2013); however, they have not yet been modeled, and the literature has not found a correlation between the number or intensity of earthquakes and other natural phenomena over the years. This is unlike the rainfall load of an area, especially in Colombia, which is explained by phenomena such as La Niña and intensified over time by global warming.</w:t>
      </w:r>
    </w:p>
    <w:p>
      <w:pPr>
        <w:pStyle w:val="Normal"/>
        <w:spacing w:lineRule="exact" w:line="288" w:before="0" w:after="140"/>
        <w:jc w:val="both"/>
        <w:rPr/>
      </w:pPr>
      <w:r>
        <w:rPr/>
        <w:t xml:space="preserve">This correlation was recently studied by Universidad de Medellín professor Johnny Vega and his co-authors (Vega et al., 2024), who found an upward trend in landslides over the years even though the five-year rainfall cycles (El Niño and La Niña) remain constant, as shown in Figure 3. The same study found that most landslides occurred in June, July and August in La Niña years, which was evident in 2022, when there were more than 300 landslides in that month.</w:t>
      </w:r>
    </w:p>
    <w:p>
      <w:pPr>
        <w:pStyle w:val="Normal"/>
        <w:spacing w:lineRule="exact" w:line="288" w:before="0" w:after="140"/>
        <w:jc w:val="both"/>
        <w:rPr/>
      </w:pPr>
      <w:r>
        <w:rPr/>
        <w:t xml:space="preserve">The study correlated not only mud and debris avalanches with rainfall in the Colombian Andean region, but also other related phenomena such as </w:t>
      </w:r>
      <w:r>
        <w:rPr>
          <w:i/>
          <w:iCs/>
        </w:rPr>
        <w:t xml:space="preserve">creep</w:t>
      </w:r>
      <w:r>
        <w:rPr/>
        <w:t xml:space="preserve"> (slow-flow failure), Fall (rockfall), Flow (earth flow), Slide (debris slide), L. Spread (lateral spread) and Topple, differences illustrated in Figure 4.</w:t>
      </w:r>
    </w:p>
    <w:p>
      <w:pPr>
        <w:pStyle w:val="Normal"/>
        <w:keepNext w:val="true"/>
        <w:spacing w:before="160" w:after="60"/>
        <w:jc w:val="center"/>
        <w:rPr/>
      </w:pPr>
      <w:r>
        <w:rPr/>
        <w:drawing>
          <wp:inline distT="0" distB="0" distL="0" distR="0">
            <wp:extent cx="5667375" cy="3019425"/>
            <wp:effectExtent l="0" t="0" r="0" b="0"/>
            <wp:docPr id="3" name="Distribución de deslizamientos por tipo " descr="Distribución de deslizamientos por tipo en Colombia (izquierda) y relación entre la precipitación media anual y el número de deslizamientos (derecha) Distribución de deslizamientos por tipo en Colombia (izquierda) y relación entre la precipitación media anual y el número de deslizamiento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ción de deslizamientos por tipo " descr="Distribución de deslizamientos por tipo en Colombia (izquierda) y relación entre la precipitación media anual y el número de deslizamientos (derecha) Distribución de deslizamientos por tipo en Colombia (izquierda) y relación entre la precipitación media anual y el número de deslizamientos (derecha)"/>
                    <pic:cNvPicPr>
                      <a:picLocks noChangeAspect="1" noChangeArrowheads="1"/>
                    </pic:cNvPicPr>
                  </pic:nvPicPr>
                  <pic:blipFill>
                    <a:blip r:embed="rId6"/>
                    <a:stretch>
                      <a:fillRect/>
                    </a:stretch>
                  </pic:blipFill>
                  <pic:spPr bwMode="auto">
                    <a:xfrm>
                      <a:off x="0" y="0"/>
                      <a:ext cx="5667375" cy="3019425"/>
                    </a:xfrm>
                    <a:prstGeom prst="rect">
                      <a:avLst/>
                    </a:prstGeom>
                  </pic:spPr>
                </pic:pic>
              </a:graphicData>
            </a:graphic>
          </wp:inline>
        </w:drawing>
      </w:r>
    </w:p>
    <w:p>
      <w:pPr>
        <w:pStyle w:val="FigureCaption"/>
        <w:keepNext w:val="true"/>
        <w:spacing w:before="200" w:after="80"/>
        <w:rPr/>
      </w:pPr>
      <w:bookmarkStart w:id="31" w:name="__RefHeading___Toc8109_1931662957"/>
      <w:bookmarkEnd w:id="31"/>
      <w:r>
        <w:rPr>
          <w:b/>
          <w:bCs/>
          <w:color w:val="1F3864"/>
        </w:rPr>
        <w:t xml:space="preserve">Figure </w:t>
        <w:fldChar w:fldCharType="begin"/>
        <w:instrText xml:space="preserve"> SEQ Figura \* ARABIC </w:instrText>
        <w:fldChar w:fldCharType="separate"/>
        <w:t xml:space="preserve">3</w:t>
        <w:fldChar w:fldCharType="end"/>
        <w:t xml:space="preserve">. </w:t>
      </w:r>
      <w:r>
        <w:rPr>
          <w:i/>
          <w:iCs/>
        </w:rPr>
        <w:t xml:space="preserve">Distribution of landslides by type in Colombia (left) and relationship between mean annual precipitation and number of landslides (right)</w:t>
      </w:r>
    </w:p>
    <w:p>
      <w:pPr>
        <w:pStyle w:val="Normal"/>
        <w:spacing w:before="60" w:after="240"/>
        <w:jc w:val="left"/>
        <w:rPr/>
      </w:pPr>
      <w:r>
        <w:rPr>
          <w:i/>
          <w:iCs/>
          <w:color w:val="595959"/>
          <w:sz w:val="17"/>
          <w:szCs w:val="17"/>
        </w:rPr>
        <w:t xml:space="preserve">Note. </w:t>
      </w:r>
      <w:r>
        <w:rPr>
          <w:color w:val="595959"/>
          <w:sz w:val="17"/>
          <w:szCs w:val="17"/>
        </w:rPr>
        <w:t xml:space="preserve">Taken from Vega et al. (2024).</w:t>
      </w:r>
    </w:p>
    <w:p>
      <w:pPr>
        <w:pStyle w:val="Normal"/>
        <w:keepNext w:val="true"/>
        <w:spacing w:before="160" w:after="60"/>
        <w:jc w:val="center"/>
        <w:rPr/>
      </w:pPr>
      <w:r>
        <w:rPr/>
        <w:drawing>
          <wp:inline distT="0" distB="0" distL="0" distR="0">
            <wp:extent cx="3105150" cy="3762375"/>
            <wp:effectExtent l="0" t="0" r="0" b="0"/>
            <wp:docPr id="4" name="Tipos de movimientos en masa" descr="Tipos de movimientos en masa Tipos de movimientos en m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pos de movimientos en masa" descr="Tipos de movimientos en masa Tipos de movimientos en masa"/>
                    <pic:cNvPicPr>
                      <a:picLocks noChangeAspect="1" noChangeArrowheads="1"/>
                    </pic:cNvPicPr>
                  </pic:nvPicPr>
                  <pic:blipFill>
                    <a:blip r:embed="rId7"/>
                    <a:stretch>
                      <a:fillRect/>
                    </a:stretch>
                  </pic:blipFill>
                  <pic:spPr bwMode="auto">
                    <a:xfrm>
                      <a:off x="0" y="0"/>
                      <a:ext cx="3105150" cy="3762375"/>
                    </a:xfrm>
                    <a:prstGeom prst="rect">
                      <a:avLst/>
                    </a:prstGeom>
                  </pic:spPr>
                </pic:pic>
              </a:graphicData>
            </a:graphic>
          </wp:inline>
        </w:drawing>
      </w:r>
    </w:p>
    <w:p>
      <w:pPr>
        <w:pStyle w:val="FigureCaption"/>
        <w:keepNext w:val="true"/>
        <w:spacing w:before="200" w:after="80"/>
        <w:rPr/>
      </w:pPr>
      <w:bookmarkStart w:id="32" w:name="__RefHeading___Toc8107_1931662957"/>
      <w:bookmarkEnd w:id="32"/>
      <w:r>
        <w:rPr>
          <w:b/>
          <w:bCs/>
          <w:color w:val="1F3864"/>
        </w:rPr>
        <w:t xml:space="preserve">Figure </w:t>
        <w:fldChar w:fldCharType="begin"/>
        <w:instrText xml:space="preserve"> SEQ Figura \* ARABIC </w:instrText>
        <w:fldChar w:fldCharType="separate"/>
        <w:t xml:space="preserve">4</w:t>
        <w:fldChar w:fldCharType="end"/>
        <w:t xml:space="preserve">. </w:t>
      </w:r>
      <w:r>
        <w:rPr>
          <w:i/>
          <w:iCs/>
        </w:rPr>
        <w:t xml:space="preserve">Types of mass movements</w:t>
      </w:r>
    </w:p>
    <w:p>
      <w:pPr>
        <w:pStyle w:val="Normal"/>
        <w:spacing w:before="60" w:after="240"/>
        <w:jc w:val="left"/>
        <w:rPr/>
      </w:pPr>
      <w:r>
        <w:rPr>
          <w:i/>
          <w:iCs/>
          <w:color w:val="595959"/>
          <w:sz w:val="17"/>
          <w:szCs w:val="17"/>
        </w:rPr>
        <w:t xml:space="preserve">Note. </w:t>
      </w:r>
      <w:r>
        <w:rPr>
          <w:color w:val="595959"/>
          <w:sz w:val="17"/>
          <w:szCs w:val="17"/>
        </w:rPr>
        <w:t xml:space="preserve">Taken from Highland (2004), U.S. Geological Survey.</w:t>
      </w:r>
    </w:p>
    <w:p>
      <w:pPr>
        <w:pStyle w:val="Normal"/>
        <w:spacing w:lineRule="exact" w:line="288" w:before="0" w:after="140"/>
        <w:jc w:val="both"/>
        <w:rPr/>
      </w:pPr>
      <w:r>
        <w:rPr/>
        <w:t xml:space="preserve">As for artificial causes, adapting mountainous terrain for infrastructure construction can greatly affect landslide incidence. This is shown by the study by McAdoo et al. (2018) on the increased landslide risk caused by building tertiary roads in western Nepal; these works have smaller effects than the paved roads studied in this proposal, but a correlation is still found, as shown in Figure 5.</w:t>
      </w:r>
    </w:p>
    <w:p>
      <w:pPr>
        <w:pStyle w:val="Normal"/>
        <w:spacing w:lineRule="exact" w:line="288" w:before="0" w:after="140"/>
        <w:jc w:val="both"/>
        <w:rPr/>
      </w:pPr>
      <w:r>
        <w:rPr/>
        <w:t xml:space="preserve">McAdoo's study saw promise in analyzing this area because of the combination of the two natural causes mentioned above: the high rainfall due to the monsoons and the then-recent Gorkha earthquake that struck that region of Asia in 2015. The study compares the distance between landslides and tertiary roads to verify the correlation between infrastructure works and increased avalanche risk.</w:t>
      </w:r>
    </w:p>
    <w:p>
      <w:pPr>
        <w:pStyle w:val="Normal"/>
        <w:spacing w:lineRule="exact" w:line="288" w:before="0" w:after="140"/>
        <w:jc w:val="both"/>
        <w:rPr/>
      </w:pPr>
      <w:r>
        <w:rPr/>
        <w:t xml:space="preserve">Assuming that the rains caused the same number of landslides with the same periodicity, the study focuses on the earthquake as an event that marks a before and after in the area's geology: if the pre-earthquake trend of more landslides closer to the roads continued after the earthquake, then the roads could be directly linked as a cause of probable landslides. The study concluded that in the areas most advanced in terms of infrastructure, landslide risk increased by up to 100% —double— compared with areas where tertiary roads were minimal or non-existent.</w:t>
      </w:r>
    </w:p>
    <w:p>
      <w:pPr>
        <w:pStyle w:val="Normal"/>
        <w:keepNext w:val="true"/>
        <w:spacing w:before="160" w:after="60"/>
        <w:jc w:val="center"/>
        <w:rPr/>
      </w:pPr>
      <w:r>
        <w:rPr/>
        <w:drawing>
          <wp:inline distT="0" distB="0" distL="0" distR="0">
            <wp:extent cx="4933950" cy="2590800"/>
            <wp:effectExtent l="0" t="0" r="0" b="0"/>
            <wp:docPr id="5" name="Porcentaje de deslizamientos según la di" descr="Porcentaje de deslizamientos según la distancia a las vías, antes y después del terremoto de Gorkha Porcentaje de deslizamientos según la distancia a las vías, antes y después del terremoto de Gork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rcentaje de deslizamientos según la di" descr="Porcentaje de deslizamientos según la distancia a las vías, antes y después del terremoto de Gorkha Porcentaje de deslizamientos según la distancia a las vías, antes y después del terremoto de Gorkha"/>
                    <pic:cNvPicPr>
                      <a:picLocks noChangeAspect="1" noChangeArrowheads="1"/>
                    </pic:cNvPicPr>
                  </pic:nvPicPr>
                  <pic:blipFill>
                    <a:blip r:embed="rId8"/>
                    <a:stretch>
                      <a:fillRect/>
                    </a:stretch>
                  </pic:blipFill>
                  <pic:spPr bwMode="auto">
                    <a:xfrm>
                      <a:off x="0" y="0"/>
                      <a:ext cx="4933950" cy="2590800"/>
                    </a:xfrm>
                    <a:prstGeom prst="rect">
                      <a:avLst/>
                    </a:prstGeom>
                  </pic:spPr>
                </pic:pic>
              </a:graphicData>
            </a:graphic>
          </wp:inline>
        </w:drawing>
      </w:r>
    </w:p>
    <w:p>
      <w:pPr>
        <w:pStyle w:val="FigureCaption"/>
        <w:keepNext w:val="true"/>
        <w:spacing w:before="200" w:after="80"/>
        <w:rPr/>
      </w:pPr>
      <w:bookmarkStart w:id="33" w:name="__RefHeading___Toc8105_1931662957"/>
      <w:bookmarkEnd w:id="33"/>
      <w:r>
        <w:rPr>
          <w:b/>
          <w:bCs/>
          <w:color w:val="1F3864"/>
        </w:rPr>
        <w:t xml:space="preserve">Figure </w:t>
        <w:fldChar w:fldCharType="begin"/>
        <w:instrText xml:space="preserve"> SEQ Figura \* ARABIC </w:instrText>
        <w:fldChar w:fldCharType="separate"/>
        <w:t xml:space="preserve">5</w:t>
        <w:fldChar w:fldCharType="end"/>
        <w:t xml:space="preserve">. </w:t>
      </w:r>
      <w:r>
        <w:rPr>
          <w:i/>
          <w:iCs/>
        </w:rPr>
        <w:t xml:space="preserve">Percentage of landslides by distance to roads, before and after the Gorkha earthquake</w:t>
      </w:r>
    </w:p>
    <w:p>
      <w:pPr>
        <w:pStyle w:val="Normal"/>
        <w:spacing w:before="60" w:after="240"/>
        <w:jc w:val="left"/>
        <w:rPr/>
      </w:pPr>
      <w:r>
        <w:rPr>
          <w:i/>
          <w:iCs/>
          <w:color w:val="595959"/>
          <w:sz w:val="17"/>
          <w:szCs w:val="17"/>
        </w:rPr>
        <w:t xml:space="preserve">Note. </w:t>
      </w:r>
      <w:r>
        <w:rPr>
          <w:color w:val="595959"/>
          <w:sz w:val="17"/>
          <w:szCs w:val="17"/>
        </w:rPr>
        <w:t xml:space="preserve">Taken from McAdoo et al. (2018).</w:t>
      </w:r>
    </w:p>
    <w:p>
      <w:pPr>
        <w:pStyle w:val="Normal"/>
        <w:spacing w:lineRule="exact" w:line="288" w:before="0" w:after="140"/>
        <w:jc w:val="both"/>
        <w:rPr/>
      </w:pPr>
      <w:r>
        <w:rPr/>
        <w:t xml:space="preserve">To conclude this section, the main metrics of the effects of these causes are presented: the loss of human life and the injection of emergency resources to mitigate these disasters rather than to prevent them. This is reflected in Figure 6 (Marín et al., 2024), which shows that the money spent on immediate disaster response in 2022 alone was much higher than the total spent between 2002 and 2021, and also highlights the excessive increase in these losses in the Americas compared with the rest of the world.</w:t>
      </w:r>
    </w:p>
    <w:p>
      <w:pPr>
        <w:pStyle w:val="Normal"/>
        <w:keepNext w:val="true"/>
        <w:spacing w:before="160" w:after="60"/>
        <w:jc w:val="center"/>
        <w:rPr/>
      </w:pPr>
      <w:r>
        <w:rPr/>
        <w:drawing>
          <wp:inline distT="0" distB="0" distL="0" distR="0">
            <wp:extent cx="4391025" cy="2447925"/>
            <wp:effectExtent l="0" t="0" r="0" b="0"/>
            <wp:docPr id="6" name="Recursos destinados a la atención inmedi" descr="Recursos destinados a la atención inmediata de desastres en 2022 frente al periodo 2002-2021, por región Recursos destinados a la atención inmediata de desastres en 2022 frente al periodo 2002-2021,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ursos destinados a la atención inmedi" descr="Recursos destinados a la atención inmediata de desastres en 2022 frente al periodo 2002-2021, por región Recursos destinados a la atención inmediata de desastres en 2022 frente al periodo 2002-2021, por región"/>
                    <pic:cNvPicPr>
                      <a:picLocks noChangeAspect="1" noChangeArrowheads="1"/>
                    </pic:cNvPicPr>
                  </pic:nvPicPr>
                  <pic:blipFill>
                    <a:blip r:embed="rId9"/>
                    <a:stretch>
                      <a:fillRect/>
                    </a:stretch>
                  </pic:blipFill>
                  <pic:spPr bwMode="auto">
                    <a:xfrm>
                      <a:off x="0" y="0"/>
                      <a:ext cx="4391025" cy="2447925"/>
                    </a:xfrm>
                    <a:prstGeom prst="rect">
                      <a:avLst/>
                    </a:prstGeom>
                  </pic:spPr>
                </pic:pic>
              </a:graphicData>
            </a:graphic>
          </wp:inline>
        </w:drawing>
      </w:r>
    </w:p>
    <w:p>
      <w:pPr>
        <w:pStyle w:val="FigureCaption"/>
        <w:keepNext w:val="true"/>
        <w:spacing w:before="200" w:after="80"/>
        <w:rPr/>
      </w:pPr>
      <w:bookmarkStart w:id="34" w:name="__RefHeading___Toc8103_1931662957"/>
      <w:bookmarkEnd w:id="34"/>
      <w:r>
        <w:rPr>
          <w:b/>
          <w:bCs/>
          <w:color w:val="1F3864"/>
        </w:rPr>
        <w:t xml:space="preserve">Figure </w:t>
        <w:fldChar w:fldCharType="begin"/>
        <w:instrText xml:space="preserve"> SEQ Figura \* ARABIC </w:instrText>
        <w:fldChar w:fldCharType="separate"/>
        <w:t xml:space="preserve">6</w:t>
        <w:fldChar w:fldCharType="end"/>
        <w:t xml:space="preserve">. </w:t>
      </w:r>
      <w:r>
        <w:rPr>
          <w:i/>
          <w:iCs/>
        </w:rPr>
        <w:t xml:space="preserve">Resources allocated to immediate disaster response in 2022 versus the 2002-2021 period, by region</w:t>
      </w:r>
    </w:p>
    <w:p>
      <w:pPr>
        <w:pStyle w:val="Normal"/>
        <w:spacing w:before="60" w:after="240"/>
        <w:jc w:val="left"/>
        <w:rPr/>
      </w:pPr>
      <w:r>
        <w:rPr>
          <w:i/>
          <w:iCs/>
          <w:color w:val="595959"/>
          <w:sz w:val="17"/>
          <w:szCs w:val="17"/>
        </w:rPr>
        <w:t xml:space="preserve">Note. </w:t>
      </w:r>
      <w:r>
        <w:rPr>
          <w:color w:val="595959"/>
          <w:sz w:val="17"/>
          <w:szCs w:val="17"/>
        </w:rPr>
        <w:t xml:space="preserve">Taken from Marín et al. (2024).</w:t>
      </w:r>
    </w:p>
    <w:p>
      <w:pPr>
        <w:pStyle w:val="Normal"/>
        <w:spacing w:lineRule="exact" w:line="288" w:before="0" w:after="140"/>
        <w:jc w:val="both"/>
        <w:rPr/>
      </w:pPr>
      <w:r>
        <w:rPr/>
        <w:t xml:space="preserve">Between 1970 and 2019, natural disasters cost the world more than 2 million deaths and USD 3.64 trillion in economic losses (Douris and Kim, 2021). In Colombia, more than 37,590 people have lost their lives to landslides in the last 100 years (García-Delgado et al., 2022). Most of these victims are in the study area, the Department of Antioquia, according to the latest study by the Banco de la República with UNGRD data (Ayala and Ospino, 2023), as shown in Figure 7. Regarding monetary losses, the Banco de la República estimates an average departmental loss for disaster response of up to COP 5,000,000,000, which is considerably lower than what the departments are willing to pay for prevention, as shown in Figure 8. The same study shows that landslides are the leading cause of deaths from natural disasters in Colombia, accounting for 40% of them (Figure 9).</w:t>
      </w:r>
    </w:p>
    <w:p>
      <w:pPr>
        <w:pStyle w:val="Normal"/>
        <w:keepNext w:val="true"/>
        <w:spacing w:before="160" w:after="60"/>
        <w:jc w:val="center"/>
        <w:rPr/>
      </w:pPr>
      <w:r>
        <w:rPr/>
        <w:drawing>
          <wp:inline distT="0" distB="0" distL="0" distR="0">
            <wp:extent cx="4019550" cy="3800475"/>
            <wp:effectExtent l="0" t="0" r="0" b="0"/>
            <wp:docPr id="7" name="Afectados graves por eventos naturales p" descr="Afectados graves por eventos naturales por departamento, 1998-2021 Afectados graves por eventos naturales por departamento, 199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ectados graves por eventos naturales p" descr="Afectados graves por eventos naturales por departamento, 1998-2021 Afectados graves por eventos naturales por departamento, 1998-2021"/>
                    <pic:cNvPicPr>
                      <a:picLocks noChangeAspect="1" noChangeArrowheads="1"/>
                    </pic:cNvPicPr>
                  </pic:nvPicPr>
                  <pic:blipFill>
                    <a:blip r:embed="rId10"/>
                    <a:stretch>
                      <a:fillRect/>
                    </a:stretch>
                  </pic:blipFill>
                  <pic:spPr bwMode="auto">
                    <a:xfrm>
                      <a:off x="0" y="0"/>
                      <a:ext cx="4019550" cy="3800475"/>
                    </a:xfrm>
                    <a:prstGeom prst="rect">
                      <a:avLst/>
                    </a:prstGeom>
                  </pic:spPr>
                </pic:pic>
              </a:graphicData>
            </a:graphic>
          </wp:inline>
        </w:drawing>
      </w:r>
    </w:p>
    <w:p>
      <w:pPr>
        <w:pStyle w:val="FigureCaption"/>
        <w:keepNext w:val="true"/>
        <w:spacing w:before="200" w:after="80"/>
        <w:rPr/>
      </w:pPr>
      <w:bookmarkStart w:id="35" w:name="__RefHeading___Toc8101_1931662957"/>
      <w:bookmarkEnd w:id="35"/>
      <w:r>
        <w:rPr>
          <w:b/>
          <w:bCs/>
          <w:color w:val="1F3864"/>
        </w:rPr>
        <w:t xml:space="preserve">Figure </w:t>
        <w:fldChar w:fldCharType="begin"/>
        <w:instrText xml:space="preserve"> SEQ Figura \* ARABIC </w:instrText>
        <w:fldChar w:fldCharType="separate"/>
        <w:t xml:space="preserve">7</w:t>
        <w:fldChar w:fldCharType="end"/>
        <w:t xml:space="preserve">. </w:t>
      </w:r>
      <w:r>
        <w:rPr>
          <w:i/>
          <w:iCs/>
        </w:rPr>
        <w:t xml:space="preserve">People seriously affected by natural events, by department, 1998-2021</w:t>
      </w:r>
    </w:p>
    <w:p>
      <w:pPr>
        <w:pStyle w:val="Normal"/>
        <w:spacing w:before="60" w:after="240"/>
        <w:jc w:val="left"/>
        <w:rPr/>
      </w:pPr>
      <w:r>
        <w:rPr>
          <w:i/>
          <w:iCs/>
          <w:color w:val="595959"/>
          <w:sz w:val="17"/>
          <w:szCs w:val="17"/>
        </w:rPr>
        <w:t xml:space="preserve">Note. </w:t>
      </w:r>
      <w:r>
        <w:rPr>
          <w:color w:val="595959"/>
          <w:sz w:val="17"/>
          <w:szCs w:val="17"/>
        </w:rPr>
        <w:t xml:space="preserve">Taken from Ayala and Ospino (2023), with UNGRD data.</w:t>
      </w:r>
    </w:p>
    <w:p>
      <w:pPr>
        <w:pStyle w:val="Normal"/>
        <w:keepNext w:val="true"/>
        <w:spacing w:before="160" w:after="60"/>
        <w:jc w:val="center"/>
        <w:rPr/>
      </w:pPr>
      <w:r>
        <w:rPr/>
        <w:drawing>
          <wp:inline distT="0" distB="0" distL="0" distR="0">
            <wp:extent cx="4572000" cy="2543175"/>
            <wp:effectExtent l="0" t="0" r="0" b="0"/>
            <wp:docPr id="8" name="Evolución del gasto departamental per cá" descr="Evolución del gasto departamental per cápita en atención y prevención de desastres, 2012-2020 Evolución del gasto departamental per cápita en atención y prevención de desastres, 2012-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volución del gasto departamental per cá" descr="Evolución del gasto departamental per cápita en atención y prevención de desastres, 2012-2020 Evolución del gasto departamental per cápita en atención y prevención de desastres, 2012-2020"/>
                    <pic:cNvPicPr>
                      <a:picLocks noChangeAspect="1" noChangeArrowheads="1"/>
                    </pic:cNvPicPr>
                  </pic:nvPicPr>
                  <pic:blipFill>
                    <a:blip r:embed="rId11"/>
                    <a:stretch>
                      <a:fillRect/>
                    </a:stretch>
                  </pic:blipFill>
                  <pic:spPr bwMode="auto">
                    <a:xfrm>
                      <a:off x="0" y="0"/>
                      <a:ext cx="4572000" cy="2543175"/>
                    </a:xfrm>
                    <a:prstGeom prst="rect">
                      <a:avLst/>
                    </a:prstGeom>
                  </pic:spPr>
                </pic:pic>
              </a:graphicData>
            </a:graphic>
          </wp:inline>
        </w:drawing>
      </w:r>
    </w:p>
    <w:p>
      <w:pPr>
        <w:pStyle w:val="FigureCaption"/>
        <w:keepNext w:val="true"/>
        <w:spacing w:before="200" w:after="80"/>
        <w:rPr/>
      </w:pPr>
      <w:bookmarkStart w:id="36" w:name="__RefHeading___Toc8099_1931662957"/>
      <w:bookmarkEnd w:id="36"/>
      <w:r>
        <w:rPr>
          <w:b/>
          <w:bCs/>
          <w:color w:val="1F3864"/>
        </w:rPr>
        <w:t xml:space="preserve">Figure </w:t>
        <w:fldChar w:fldCharType="begin"/>
        <w:instrText xml:space="preserve"> SEQ Figura \* ARABIC </w:instrText>
        <w:fldChar w:fldCharType="separate"/>
        <w:t xml:space="preserve">8</w:t>
        <w:fldChar w:fldCharType="end"/>
        <w:t xml:space="preserve">. </w:t>
      </w:r>
      <w:r>
        <w:rPr>
          <w:i/>
          <w:iCs/>
        </w:rPr>
        <w:t xml:space="preserve">Evolution of departmental per-capita spending on disaster response and prevention, 2012-2020</w:t>
      </w:r>
    </w:p>
    <w:p>
      <w:pPr>
        <w:pStyle w:val="Normal"/>
        <w:spacing w:before="60" w:after="240"/>
        <w:jc w:val="left"/>
        <w:rPr/>
      </w:pPr>
      <w:r>
        <w:rPr>
          <w:i/>
          <w:iCs/>
          <w:color w:val="595959"/>
          <w:sz w:val="17"/>
          <w:szCs w:val="17"/>
        </w:rPr>
        <w:t xml:space="preserve">Note. </w:t>
      </w:r>
      <w:r>
        <w:rPr>
          <w:color w:val="595959"/>
          <w:sz w:val="17"/>
          <w:szCs w:val="17"/>
        </w:rPr>
        <w:t xml:space="preserve">Taken from Ayala and Ospino (2023), with data from the National Planning Department.</w:t>
      </w:r>
    </w:p>
    <w:p>
      <w:pPr>
        <w:pStyle w:val="Normal"/>
        <w:keepNext w:val="true"/>
        <w:spacing w:before="160" w:after="60"/>
        <w:jc w:val="center"/>
        <w:rPr/>
      </w:pPr>
      <w:r>
        <w:rPr/>
        <w:drawing>
          <wp:inline distT="0" distB="0" distL="0" distR="0">
            <wp:extent cx="4210050" cy="2876550"/>
            <wp:effectExtent l="0" t="0" r="0" b="0"/>
            <wp:docPr id="9" name="Muertos, heridos y desaparecidos por tip" descr="Muertos, heridos y desaparecidos por tipo de evento natural, 1998-2021 Muertos, heridos y desaparecidos por tipo de evento natural, 199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uertos, heridos y desaparecidos por tip" descr="Muertos, heridos y desaparecidos por tipo de evento natural, 1998-2021 Muertos, heridos y desaparecidos por tipo de evento natural, 1998-2021"/>
                    <pic:cNvPicPr>
                      <a:picLocks noChangeAspect="1" noChangeArrowheads="1"/>
                    </pic:cNvPicPr>
                  </pic:nvPicPr>
                  <pic:blipFill>
                    <a:blip r:embed="rId12"/>
                    <a:stretch>
                      <a:fillRect/>
                    </a:stretch>
                  </pic:blipFill>
                  <pic:spPr bwMode="auto">
                    <a:xfrm>
                      <a:off x="0" y="0"/>
                      <a:ext cx="4210050" cy="2876550"/>
                    </a:xfrm>
                    <a:prstGeom prst="rect">
                      <a:avLst/>
                    </a:prstGeom>
                  </pic:spPr>
                </pic:pic>
              </a:graphicData>
            </a:graphic>
          </wp:inline>
        </w:drawing>
      </w:r>
    </w:p>
    <w:p>
      <w:pPr>
        <w:pStyle w:val="FigureCaption"/>
        <w:keepNext w:val="true"/>
        <w:spacing w:before="200" w:after="80"/>
        <w:rPr/>
      </w:pPr>
      <w:bookmarkStart w:id="37" w:name="__RefHeading___Toc8097_1931662957"/>
      <w:bookmarkEnd w:id="37"/>
      <w:r>
        <w:rPr>
          <w:b/>
          <w:bCs/>
          <w:color w:val="1F3864"/>
        </w:rPr>
        <w:t xml:space="preserve">Figure </w:t>
        <w:fldChar w:fldCharType="begin"/>
        <w:instrText xml:space="preserve"> SEQ Figura \* ARABIC </w:instrText>
        <w:fldChar w:fldCharType="separate"/>
        <w:t xml:space="preserve">9</w:t>
        <w:fldChar w:fldCharType="end"/>
        <w:t xml:space="preserve">. </w:t>
      </w:r>
      <w:r>
        <w:rPr>
          <w:i/>
          <w:iCs/>
        </w:rPr>
        <w:t xml:space="preserve">Deaths, injuries and missing persons by type of natural event, 1998-2021</w:t>
      </w:r>
    </w:p>
    <w:p>
      <w:pPr>
        <w:pStyle w:val="Normal"/>
        <w:spacing w:before="60" w:after="240"/>
        <w:jc w:val="left"/>
        <w:rPr/>
      </w:pPr>
      <w:r>
        <w:rPr>
          <w:i/>
          <w:iCs/>
          <w:color w:val="595959"/>
          <w:sz w:val="17"/>
          <w:szCs w:val="17"/>
        </w:rPr>
        <w:t xml:space="preserve">Note. </w:t>
      </w:r>
      <w:r>
        <w:rPr>
          <w:color w:val="595959"/>
          <w:sz w:val="17"/>
          <w:szCs w:val="17"/>
        </w:rPr>
        <w:t xml:space="preserve">Taken from Ayala and Ospino (2023), with UNGRD data.</w:t>
      </w:r>
    </w:p>
    <w:p>
      <w:pPr>
        <w:pStyle w:val="Normal"/>
        <w:spacing w:lineRule="exact" w:line="288" w:before="0" w:after="140"/>
        <w:jc w:val="both"/>
        <w:rPr/>
      </w:pPr>
      <w:r>
        <w:rPr/>
        <w:t xml:space="preserve">In summary, the reference indicators of the problem are: more than 11,800 landslides recorded in Colombia in the last 100 years, with Antioquia as the department with the most records (1,393 cases; UNGRD, 2020); landslides as the leading cause of deaths from natural events in the country (40%; Ayala and Ospino, 2023); and departmental spending on disaster response that consistently exceeds spending on prevention.</w:t>
      </w:r>
      <w:r>
        <w:br w:type="page"/>
      </w:r>
    </w:p>
    <w:p>
      <w:pPr>
        <w:pStyle w:val="Heading1"/>
        <w:rPr/>
      </w:pPr>
      <w:bookmarkStart w:id="38" w:name="__RefHeading___Toc7921_1931662957"/>
      <w:bookmarkEnd w:id="38"/>
      <w:r>
        <w:rPr/>
        <w:t xml:space="preserve">7. State of the art</w:t>
      </w:r>
    </w:p>
    <w:p>
      <w:pPr>
        <w:pStyle w:val="Normal"/>
        <w:spacing w:lineRule="exact" w:line="288" w:before="0" w:after="140"/>
        <w:jc w:val="both"/>
        <w:rPr/>
      </w:pPr>
      <w:r>
        <w:rPr/>
        <w:t xml:space="preserve">Permanently and promptly monitoring the condition of a region's road infrastructure is an extremely demanding and costly task for the administrative and government entities and the users of that infrastructure. In addition, factors such as climate change, deforestation and longer periods of intense drought followed by heavy rainfall increase the risk of landslides in vulnerable areas. With the aim of developing a monitoring system assisted by computer vision to identify potential landslides, the following state of the art was prepared, covering current progress, local and international regulations, relevant scientific studies, patents and pertinent advances.</w:t>
      </w:r>
    </w:p>
    <w:p>
      <w:pPr>
        <w:pStyle w:val="Heading2"/>
        <w:rPr/>
      </w:pPr>
      <w:bookmarkStart w:id="39" w:name="__RefHeading___Toc7923_1931662957"/>
      <w:bookmarkEnd w:id="39"/>
      <w:r>
        <w:rPr/>
        <w:t xml:space="preserve">7.1. Regulatory and normative framework</w:t>
      </w:r>
    </w:p>
    <w:p>
      <w:pPr>
        <w:pStyle w:val="Normal"/>
        <w:spacing w:lineRule="exact" w:line="288" w:before="0" w:after="140"/>
        <w:jc w:val="both"/>
        <w:rPr/>
      </w:pPr>
      <w:r>
        <w:rPr/>
        <w:t xml:space="preserve">Regarding the regulatory framework, infrastructure risk management in Colombia is governed by the Slope Stability Manual – Road Geotechnics (INVIAS, 2015) and Decree 1807 of 2014, which set out the technical criteria and responsibilities for disaster risk management in road infrastructure. Law 1523 of 2012 requires contingency plans to be integrated for risk management and the protection of road infrastructure, ensuring that infrastructure is designed and maintained under strict safety criteria.</w:t>
      </w:r>
    </w:p>
    <w:p>
      <w:pPr>
        <w:pStyle w:val="Normal"/>
        <w:spacing w:lineRule="exact" w:line="288" w:before="0" w:after="140"/>
        <w:jc w:val="both"/>
        <w:rPr/>
      </w:pPr>
      <w:r>
        <w:rPr/>
        <w:t xml:space="preserve">Internationally, standards such as ISO 19111 define models for accurately describing and structuring geotechnical information, while ISO/IEC 27001:2022 and ISO/IEC 24762:2008 ensure the protection, confidentiality and integrity of data, and other standards such as ISO/DIS 37179:2023 set out the importance of infrastructure and technology capable of identifying risks in order to reduce them.</w:t>
      </w:r>
    </w:p>
    <w:p>
      <w:pPr>
        <w:pStyle w:val="Normal"/>
        <w:spacing w:lineRule="exact" w:line="288" w:before="0" w:after="140"/>
        <w:jc w:val="both"/>
        <w:rPr/>
      </w:pPr>
      <w:r>
        <w:rPr/>
        <w:t xml:space="preserve">For Latin America, guidelines from the Economic Commission for Latin America and the Caribbean (ECLAC, 2017) and Eurocode 7 (CEN, 2004) provide frameworks for reducing landslide risk in transport infrastructure, promoting structural safety by analyzing unstable areas and carrying out corrective measures.</w:t>
      </w:r>
    </w:p>
    <w:p>
      <w:pPr>
        <w:pStyle w:val="Normal"/>
        <w:spacing w:lineRule="exact" w:line="288" w:before="0" w:after="140"/>
        <w:jc w:val="both"/>
        <w:rPr/>
      </w:pPr>
      <w:r>
        <w:rPr/>
        <w:t xml:space="preserve">ISO 37179 (2023) is a draft standard under development that aims to establish a baseline framework for disaster risk reduction, providing practices for allocating and optimizing resources, disseminating technologies, ensuring the robustness and redundancy of the model to be implemented, and the necessary integration of the parties.</w:t>
      </w:r>
    </w:p>
    <w:p>
      <w:pPr>
        <w:pStyle w:val="Normal"/>
        <w:spacing w:lineRule="exact" w:line="288" w:before="0" w:after="140"/>
        <w:jc w:val="both"/>
        <w:rPr/>
      </w:pPr>
      <w:r>
        <w:rPr/>
        <w:t xml:space="preserve">Table 6 summarizes the national and international technical standards and regulations consulted.</w:t>
      </w:r>
    </w:p>
    <w:p>
      <w:pPr>
        <w:pStyle w:val="TableCaption"/>
        <w:keepNext w:val="true"/>
        <w:spacing w:before="200" w:after="80"/>
        <w:rPr/>
      </w:pPr>
      <w:bookmarkStart w:id="40" w:name="__RefHeading___Toc8079_1931662957"/>
      <w:bookmarkEnd w:id="40"/>
      <w:r>
        <w:rPr>
          <w:b/>
          <w:bCs/>
          <w:color w:val="1F3864"/>
        </w:rPr>
        <w:t xml:space="preserve">Table </w:t>
        <w:fldChar w:fldCharType="begin"/>
        <w:instrText xml:space="preserve"> SEQ Tabla \* ARABIC </w:instrText>
        <w:fldChar w:fldCharType="separate"/>
        <w:t xml:space="preserve">6</w:t>
        <w:fldChar w:fldCharType="end"/>
        <w:t xml:space="preserve">. </w:t>
      </w:r>
      <w:r>
        <w:rPr>
          <w:i/>
          <w:iCs/>
        </w:rPr>
        <w:t xml:space="preserve">Technical standards and regulations consulted</w:t>
      </w:r>
    </w:p>
    <w:tbl>
      <w:tblPr>
        <w:tblW w:w="9406" w:type="dxa"/>
        <w:jc w:val="left"/>
        <w:tblInd w:w="0" w:type="dxa"/>
        <w:tblLayout w:type="fixed"/>
        <w:tblCellMar>
          <w:top w:w="50" w:type="dxa"/>
          <w:left w:w="80" w:type="dxa"/>
          <w:bottom w:w="50" w:type="dxa"/>
          <w:right w:w="80" w:type="dxa"/>
        </w:tblCellMar>
      </w:tblPr>
      <w:tblGrid>
        <w:gridCol w:w="2820"/>
        <w:gridCol w:w="1599"/>
        <w:gridCol w:w="4987"/>
      </w:tblGrid>
      <w:tr>
        <w:trPr>
          <w:tblHeader w:val="true"/>
          <w:cantSplit w:val="true"/>
        </w:trPr>
        <w:tc>
          <w:tcPr>
            <w:tcW w:w="2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Standard / regulation</w:t>
            </w:r>
          </w:p>
        </w:tc>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Issuer</w:t>
            </w:r>
          </w:p>
        </w:tc>
        <w:tc>
          <w:tcPr>
            <w:tcW w:w="49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Application in the project</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Law 1523 of 2012</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Congress of Colombia</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Adopts the National Disaster Risk Management Policy and creates the National Risk Management System.</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Decree 1807 of 2014</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Presidency of the Republic</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Regulates the incorporation of risk management into land-use plans.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Law 2294 of 2023</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Congress of Colombia</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National Development Plan 2022-2026; policy framework for climate-resilient territories.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Slope Stability Manual – Road Geotechnics</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INVIAS</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Technical criteria for the study, design and stabilization of road slopes.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EN 1997-1:2004 + A1:2013 (Eurocode 7)</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CEN</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Geotechnical design: general rules for the stability analysis of slopes and embankments.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ISO 19111</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Geographic information: spatial referencing by coordinates.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ISO 19157</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ISO</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Geographic information: data quality.</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ISO/IEC 27001:2022</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ISO/IEC</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Information security management systems (protection of platform data).</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ISO/IEC 24762:2008</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ISO/IEC</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Guidelines for ICT disaster recovery services.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ISO 37179 (draft, 2023)</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Smart community infrastructure: continuity of urban services in the face of disasters.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ISO 22475-2</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ISO/CEN</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Geotechnical investigation and testing: sampling methods and groundwater measurements.</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ISO 31000:2018</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ISO</w:t>
            </w:r>
          </w:p>
        </w:tc>
        <w:tc>
          <w:tcPr>
            <w:tcW w:w="498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Risk management: principles and guidelines (basis of the process in Figure 10).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ISO/IEC 25010:2011</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ISO/IEC</w:t>
            </w:r>
          </w:p>
        </w:tc>
        <w:tc>
          <w:tcPr>
            <w:tcW w:w="49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Software product quality model (basis of the pilot tests).</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41" w:name="__RefHeading___Toc7925_1931662957"/>
      <w:bookmarkEnd w:id="41"/>
      <w:r>
        <w:rPr/>
        <w:t xml:space="preserve">7.2. Scientific articles</w:t>
      </w:r>
    </w:p>
    <w:p>
      <w:pPr>
        <w:pStyle w:val="Normal"/>
        <w:spacing w:lineRule="exact" w:line="288" w:before="0" w:after="140"/>
        <w:jc w:val="both"/>
        <w:rPr/>
      </w:pPr>
      <w:r>
        <w:rPr/>
        <w:t xml:space="preserve">Kirschbaum et al. (2020) and Akosah et al. (2024) highlight Big Data and deep-learning technologies for monitoring structures, showing that these technologies outperform traditional monitoring methods by generating early warnings from the integration of remote-sensing and environmental data that feed deep neural networks. These advances offer more accurate predictions and faster responses to prevent or reduce the impact of potentially dangerous events, improving risk management in road infrastructure.</w:t>
      </w:r>
    </w:p>
    <w:p>
      <w:pPr>
        <w:pStyle w:val="Normal"/>
        <w:spacing w:lineRule="exact" w:line="288" w:before="0" w:after="140"/>
        <w:jc w:val="both"/>
        <w:rPr/>
      </w:pPr>
      <w:r>
        <w:rPr/>
        <w:t xml:space="preserve">Zhang and Wang (2024) highlight how hybrid deep-learning frameworks that combine spatial and temporal approaches improve the accuracy and reliability of landslide monitoring and prediction. Spatial frameworks are effective at classifying, detecting and segmenting data on the study space or area, while temporal-sequence frameworks process data related to variations in those environmental characteristics. This algorithm configuration enables more complex tasks in analyzing landslide dynamics, improving the accuracy of early warning systems.</w:t>
      </w:r>
    </w:p>
    <w:p>
      <w:pPr>
        <w:pStyle w:val="Normal"/>
        <w:spacing w:lineRule="exact" w:line="288" w:before="0" w:after="140"/>
        <w:jc w:val="both"/>
        <w:rPr/>
      </w:pPr>
      <w:r>
        <w:rPr/>
        <w:t xml:space="preserve">Brunetti et al. (2021) describe how rainfall, specifically the analysis of rainfall thresholds (intensity and duration), influences landslides, using information obtained from satellites and sensors. They also highlight that this prediction method is more effective than ground observations for predicting landslides.</w:t>
      </w:r>
    </w:p>
    <w:p>
      <w:pPr>
        <w:pStyle w:val="Normal"/>
        <w:spacing w:lineRule="exact" w:line="288" w:before="0" w:after="140"/>
        <w:jc w:val="both"/>
        <w:rPr/>
      </w:pPr>
      <w:r>
        <w:rPr/>
        <w:t xml:space="preserve">Ghorbanzadeh, Xu, Ghamisi, Kopp and Kreil (2022) address landslide detection using deep learning (DL) and remote-sensing data. The paper evaluates 11 DL segmentation models and concludes that combining multiple optical and topographic layers obtained with technologies such as Sentinel-2 is important for better detection.</w:t>
      </w:r>
    </w:p>
    <w:p>
      <w:pPr>
        <w:pStyle w:val="Normal"/>
        <w:spacing w:lineRule="exact" w:line="288" w:before="0" w:after="140"/>
        <w:jc w:val="both"/>
        <w:rPr/>
      </w:pPr>
      <w:r>
        <w:rPr/>
        <w:t xml:space="preserve">Table 7 summarizes the indexed-journal articles reviewed and their contribution to the proposal.</w:t>
      </w:r>
    </w:p>
    <w:p>
      <w:pPr>
        <w:pStyle w:val="TableCaption"/>
        <w:keepNext w:val="true"/>
        <w:spacing w:before="200" w:after="80"/>
        <w:rPr/>
      </w:pPr>
      <w:bookmarkStart w:id="42" w:name="__RefHeading___Toc8077_1931662957"/>
      <w:bookmarkEnd w:id="42"/>
      <w:r>
        <w:rPr>
          <w:b/>
          <w:bCs/>
          <w:color w:val="1F3864"/>
        </w:rPr>
        <w:t xml:space="preserve">Table </w:t>
        <w:fldChar w:fldCharType="begin"/>
        <w:instrText xml:space="preserve"> SEQ Tabla \* ARABIC </w:instrText>
        <w:fldChar w:fldCharType="separate"/>
        <w:t xml:space="preserve">7</w:t>
        <w:fldChar w:fldCharType="end"/>
        <w:t xml:space="preserve">. </w:t>
      </w:r>
      <w:r>
        <w:rPr>
          <w:i/>
          <w:iCs/>
        </w:rPr>
        <w:t xml:space="preserve">Indexed-journal articles reviewed</w:t>
      </w:r>
    </w:p>
    <w:tbl>
      <w:tblPr>
        <w:tblW w:w="9406" w:type="dxa"/>
        <w:jc w:val="left"/>
        <w:tblInd w:w="0" w:type="dxa"/>
        <w:tblLayout w:type="fixed"/>
        <w:tblCellMar>
          <w:top w:w="50" w:type="dxa"/>
          <w:left w:w="80" w:type="dxa"/>
          <w:bottom w:w="50" w:type="dxa"/>
          <w:right w:w="80" w:type="dxa"/>
        </w:tblCellMar>
      </w:tblPr>
      <w:tblGrid>
        <w:gridCol w:w="2163"/>
        <w:gridCol w:w="2821"/>
        <w:gridCol w:w="4422"/>
      </w:tblGrid>
      <w:tr>
        <w:trPr>
          <w:tblHeader w:val="true"/>
          <w:cantSplit w:val="true"/>
        </w:trPr>
        <w:tc>
          <w:tcPr>
            <w:tcW w:w="216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Authors (year)</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Journal</w:t>
            </w:r>
          </w:p>
        </w:tc>
        <w:tc>
          <w:tcPr>
            <w:tcW w:w="44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Contribution to the proposal</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Akosah et al. (2024)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Remote Sensing</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Systematic review of the use of artificial intelligence and remote sensing to detect and predict landslides.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Aguilera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Stochastic Environmental Research and Risk Assessment</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Hierarchical neural networks to predict the occurrence and size of landslides.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Amatya et al. (2021)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Engineering Geology</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Landslide mapping with object-based image analysis and open tools.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Brunetti et al. (2021)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Hydrology and Earth System Sciences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Satellite rainfall products outperform ground observations for predicting landslides.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Emberson et al. (2020)</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Natural Hazards and Earth System Sciences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Global characterization of landslide exposure (LHASA team).</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Emberson et al. (2021)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Nature Communications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Global relationship between El Niño and landslide impacts.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García-Delgado et al. (2022)</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Inventory of fatal landslides in Colombia and their socioeconomic impacts.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Ghorbanzadeh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IEEE Transactions on Geoscience and Remote Sensing</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Landslide4Sense: benchmark data and 11 deep-learning models for detection.</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Hungr et al. (2014)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Update of the Varnes classification of landslide types.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McAdoo et al. (2018)</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Natural Hazards and Earth System Sciences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Relationship between road construction and increased landslides in Nepal.</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Mignan and Broccardo (2020)</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Seismological Research Letters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Meta-analysis of the limitations of neural networks in earthquake prediction.</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Tehrani et al. (2022)</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Natural Hazards</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Advances and applications of machine learning in landslide studies.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Vega et al. (2024)</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i/>
                <w:iCs/>
                <w:color w:val="1A1A1A"/>
                <w:sz w:val="18"/>
                <w:szCs w:val="18"/>
              </w:rPr>
              <w:t xml:space="preserve">Landslides</w:t>
            </w:r>
          </w:p>
        </w:tc>
        <w:tc>
          <w:tcPr>
            <w:tcW w:w="44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Spatio-temporal relationship between landslides, rainfall and ENSO in the Colombian Andes.</w:t>
            </w:r>
          </w:p>
        </w:tc>
      </w:tr>
      <w:tr>
        <w:trPr>
          <w:cantSplit w:val="true"/>
        </w:trPr>
        <w:tc>
          <w:tcPr>
            <w:tcW w:w="21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Zhang and Wang (2024)</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Remote Sensing</w:t>
            </w:r>
          </w:p>
        </w:tc>
        <w:tc>
          <w:tcPr>
            <w:tcW w:w="44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Spatio-temporal deep-learning frameworks with remote sensing and geo-environmental data.</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43" w:name="__RefHeading___Toc7927_1931662957"/>
      <w:bookmarkEnd w:id="43"/>
      <w:r>
        <w:rPr/>
        <w:t xml:space="preserve">7.3. Books and other literature</w:t>
      </w:r>
    </w:p>
    <w:p>
      <w:pPr>
        <w:pStyle w:val="Normal"/>
        <w:spacing w:lineRule="exact" w:line="288" w:before="0" w:after="140"/>
        <w:jc w:val="both"/>
        <w:rPr/>
      </w:pPr>
      <w:r>
        <w:rPr/>
        <w:t xml:space="preserve">The book Landslide Hazard and Environment Risk Assessment, a compilation of articles from MDPI's journal </w:t>
      </w:r>
      <w:r>
        <w:rPr>
          <w:i/>
          <w:iCs/>
        </w:rPr>
        <w:t xml:space="preserve">Land</w:t>
      </w:r>
      <w:r>
        <w:rPr/>
        <w:t xml:space="preserve"> edited by Miccadei, Carabella and Paglia (2022), highlights the article Definition of Environmental Indicators for a Fast Estimation of Landslide Risk at National Scale (Segoni and Caleca, 2021), which provides a “classic” natural-hazard risk-probability model adapted to mass movements:</w:t>
      </w:r>
    </w:p>
    <w:p>
      <w:pPr>
        <w:pStyle w:val="Normal"/>
        <w:tabs>
          <w:tab w:val="clear" w:pos="720"/>
          <w:tab w:val="right" w:pos="9406" w:leader="none"/>
        </w:tabs>
        <w:spacing w:before="120" w:after="160"/>
        <w:jc w:val="center"/>
        <w:rPr/>
      </w:pPr>
      <w:r>
        <w:rPr>
          <w:i/>
          <w:iCs/>
          <w:sz w:val="26"/>
          <w:szCs w:val="26"/>
        </w:rPr>
        <w:t xml:space="preserve">R = H × V × E</w:t>
      </w:r>
      <w:r>
        <w:rPr>
          <w:sz w:val="22"/>
          <w:szCs w:val="22"/>
        </w:rPr>
        <w:tab/>
        <w:t xml:space="preserve">(1)</w:t>
      </w:r>
    </w:p>
    <w:p>
      <w:pPr>
        <w:pStyle w:val="Normal"/>
        <w:spacing w:lineRule="exact" w:line="288" w:before="0" w:after="140"/>
        <w:jc w:val="both"/>
        <w:rPr/>
      </w:pPr>
      <w:r>
        <w:rPr/>
        <w:t xml:space="preserve">Here, R represents the risk probability, H the hazard probability associated with a specific type of mass movement, V the vulnerability or degree of expected losses in the event of a disaster, and E the value of those losses. These three parameters are essential for building a model that can predict risks effectively.</w:t>
      </w:r>
    </w:p>
    <w:p>
      <w:pPr>
        <w:pStyle w:val="Normal"/>
        <w:spacing w:lineRule="exact" w:line="288" w:before="0" w:after="140"/>
        <w:jc w:val="both"/>
        <w:rPr/>
      </w:pPr>
      <w:r>
        <w:rPr/>
        <w:t xml:space="preserve">It is crucial to size these parameters correctly, starting from the classification of mass-movement types by Varnes (1978), which remains a reference today (Hungr et al., 2014). From this classification, the hazard probability can be calculated and the possible damage assessed, which makes it possible to determine the risk probability using only information from satellite imagery. These images require suitable processing algorithms to generate timely alerts.</w:t>
      </w:r>
    </w:p>
    <w:p>
      <w:pPr>
        <w:pStyle w:val="Normal"/>
        <w:spacing w:lineRule="exact" w:line="288" w:before="0" w:after="140"/>
        <w:jc w:val="both"/>
        <w:rPr/>
      </w:pPr>
      <w:r>
        <w:rPr/>
        <w:t xml:space="preserve">The use of neural networks as the main tool for automatically processing satellite images related to mass movements is widely documented in the scientific literature. Among various sources, chapter 9 of the book </w:t>
      </w:r>
      <w:r>
        <w:rPr>
          <w:i/>
          <w:iCs/>
        </w:rPr>
        <w:t xml:space="preserve">Building Computer Vision Applications Using Artificial Neural Networks: With Step-by-Step Examples in OpenCV and TensorFlow with Python</w:t>
      </w:r>
      <w:r>
        <w:rPr/>
        <w:t xml:space="preserve"> stands out; it addresses the industrial application of real-time defect detection. This chapter presents the development of neural networks with the TensorFlow library, based on a Single Shot MultiBox Detector (SSD) model pre-trained on an image dataset.</w:t>
      </w:r>
    </w:p>
    <w:p>
      <w:pPr>
        <w:pStyle w:val="Normal"/>
        <w:spacing w:lineRule="exact" w:line="288" w:before="0" w:after="140"/>
        <w:jc w:val="both"/>
        <w:rPr/>
      </w:pPr>
      <w:r>
        <w:rPr/>
        <w:t xml:space="preserve">The books, chapters and other technical literature consulted are listed in Table 8.</w:t>
      </w:r>
    </w:p>
    <w:p>
      <w:pPr>
        <w:pStyle w:val="TableCaption"/>
        <w:keepNext w:val="true"/>
        <w:spacing w:before="200" w:after="80"/>
        <w:rPr/>
      </w:pPr>
      <w:bookmarkStart w:id="44" w:name="__RefHeading___Toc8075_1931662957"/>
      <w:bookmarkEnd w:id="44"/>
      <w:r>
        <w:rPr>
          <w:b/>
          <w:bCs/>
          <w:color w:val="1F3864"/>
        </w:rPr>
        <w:t xml:space="preserve">Table </w:t>
        <w:fldChar w:fldCharType="begin"/>
        <w:instrText xml:space="preserve"> SEQ Tabla \* ARABIC </w:instrText>
        <w:fldChar w:fldCharType="separate"/>
        <w:t xml:space="preserve">8</w:t>
        <w:fldChar w:fldCharType="end"/>
        <w:t xml:space="preserve">. </w:t>
      </w:r>
      <w:r>
        <w:rPr>
          <w:i/>
          <w:iCs/>
        </w:rPr>
        <w:t xml:space="preserve">Books and other literature consulted</w:t>
      </w:r>
    </w:p>
    <w:tbl>
      <w:tblPr>
        <w:tblW w:w="9406" w:type="dxa"/>
        <w:jc w:val="left"/>
        <w:tblInd w:w="0" w:type="dxa"/>
        <w:tblLayout w:type="fixed"/>
        <w:tblCellMar>
          <w:top w:w="50" w:type="dxa"/>
          <w:left w:w="80" w:type="dxa"/>
          <w:bottom w:w="50" w:type="dxa"/>
          <w:right w:w="80" w:type="dxa"/>
        </w:tblCellMar>
      </w:tblPr>
      <w:tblGrid>
        <w:gridCol w:w="2632"/>
        <w:gridCol w:w="1504"/>
        <w:gridCol w:w="5270"/>
      </w:tblGrid>
      <w:tr>
        <w:trPr>
          <w:tblHeader w:val="true"/>
          <w:cantSplit w:val="true"/>
        </w:trPr>
        <w:tc>
          <w:tcPr>
            <w:tcW w:w="263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Authors (year)</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Type</w:t>
            </w:r>
          </w:p>
        </w:tc>
        <w:tc>
          <w:tcPr>
            <w:tcW w:w="527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Work and contribution</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Ansari (2020)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Book</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 xml:space="preserve">Building Computer Vision Applications Using Artificial Neural Networks</w:t>
            </w:r>
            <w:r>
              <w:rPr>
                <w:b w:val="false"/>
                <w:bCs w:val="false"/>
                <w:color w:val="1A1A1A"/>
                <w:sz w:val="18"/>
                <w:szCs w:val="18"/>
              </w:rPr>
              <w:t xml:space="preserve"> (Apress). Implementing detectors with TensorFlow and OpenCV.</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Miccadei, Carabella and Paglia (Eds.) (2022)</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Book</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 xml:space="preserve">Landslide Hazard and Environment Risk Assessment</w:t>
            </w:r>
            <w:r>
              <w:rPr>
                <w:b w:val="false"/>
                <w:bCs w:val="false"/>
                <w:color w:val="1A1A1A"/>
                <w:sz w:val="18"/>
                <w:szCs w:val="18"/>
              </w:rPr>
              <w:t xml:space="preserve"> (MDPI). Classic risk model R = H × V × E.</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Ahmed and Alam (Eds.) (2022)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Book</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 xml:space="preserve">Remote Sensing of Natural Hazards</w:t>
            </w:r>
            <w:r>
              <w:rPr>
                <w:b w:val="false"/>
                <w:bCs w:val="false"/>
                <w:color w:val="1A1A1A"/>
                <w:sz w:val="18"/>
                <w:szCs w:val="18"/>
              </w:rPr>
              <w:t xml:space="preserve"> (MDPI). Remote sensing applied to natural hazards.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Cruden and Varnes (1996)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Book chapter</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 xml:space="preserve">Landslides: Investigation and Mitigation</w:t>
            </w:r>
            <w:r>
              <w:rPr>
                <w:b w:val="false"/>
                <w:bCs w:val="false"/>
                <w:color w:val="1A1A1A"/>
                <w:sz w:val="18"/>
                <w:szCs w:val="18"/>
              </w:rPr>
              <w:t xml:space="preserve"> (TRB). Landslide types and processes.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Varnes (1978)</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Book chapter</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 xml:space="preserve">Landslides, analysis and control</w:t>
            </w:r>
            <w:r>
              <w:rPr>
                <w:b w:val="false"/>
                <w:bCs w:val="false"/>
                <w:color w:val="1A1A1A"/>
                <w:sz w:val="18"/>
                <w:szCs w:val="18"/>
              </w:rPr>
              <w:t xml:space="preserve"> (TRB). Classification of slope movements.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INVIAS (n.d.)</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Technical manual</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i/>
                <w:iCs/>
                <w:color w:val="1A1A1A"/>
                <w:sz w:val="18"/>
                <w:szCs w:val="18"/>
              </w:rPr>
              <w:t xml:space="preserve">Manual de Estabilidad de Taludes – Geotecnia Vial</w:t>
            </w:r>
            <w:r>
              <w:rPr>
                <w:b w:val="false"/>
                <w:bCs w:val="false"/>
                <w:color w:val="1A1A1A"/>
                <w:sz w:val="18"/>
                <w:szCs w:val="18"/>
              </w:rPr>
              <w:t xml:space="preserve"> (Slope Stability Manual – Road Geotechnics). Design and stabilization of road slopes.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Lund University (2012)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Academic material</w:t>
            </w:r>
          </w:p>
        </w:tc>
        <w:tc>
          <w:tcPr>
            <w:tcW w:w="527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i/>
                <w:iCs/>
                <w:color w:val="1A1A1A"/>
                <w:sz w:val="18"/>
                <w:szCs w:val="18"/>
              </w:rPr>
              <w:t xml:space="preserve">Introduction to Remote Sensing and Geographical Information Systems</w:t>
            </w:r>
            <w:r>
              <w:rPr>
                <w:b w:val="false"/>
                <w:bCs w:val="false"/>
                <w:color w:val="1A1A1A"/>
                <w:sz w:val="18"/>
                <w:szCs w:val="18"/>
              </w:rPr>
              <w:t xml:space="preserve">. Fundamentals of remote sensing and GIS.</w:t>
            </w:r>
          </w:p>
        </w:tc>
      </w:tr>
      <w:tr>
        <w:trPr>
          <w:cantSplit w:val="true"/>
        </w:trPr>
        <w:tc>
          <w:tcPr>
            <w:tcW w:w="263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Campos and Holm-Nielsen (Eds.) (2012)</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Report</w:t>
            </w:r>
          </w:p>
        </w:tc>
        <w:tc>
          <w:tcPr>
            <w:tcW w:w="527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i/>
                <w:iCs/>
                <w:color w:val="1A1A1A"/>
                <w:sz w:val="18"/>
                <w:szCs w:val="18"/>
              </w:rPr>
              <w:t xml:space="preserve">Análisis de la gestión del riesgo de desastres en Colombia</w:t>
            </w:r>
            <w:r>
              <w:rPr>
                <w:b w:val="false"/>
                <w:bCs w:val="false"/>
                <w:color w:val="1A1A1A"/>
                <w:sz w:val="18"/>
                <w:szCs w:val="18"/>
              </w:rPr>
              <w:t xml:space="preserve"> (Analysis of disaster risk management in Colombia, World Bank).</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45" w:name="__RefHeading___Toc7929_1931662957"/>
      <w:bookmarkEnd w:id="45"/>
      <w:r>
        <w:rPr/>
        <w:t xml:space="preserve">7.4. Patents</w:t>
      </w:r>
    </w:p>
    <w:p>
      <w:pPr>
        <w:pStyle w:val="Normal"/>
        <w:spacing w:lineRule="exact" w:line="288" w:before="0" w:after="140"/>
        <w:jc w:val="both"/>
        <w:rPr/>
      </w:pPr>
      <w:r>
        <w:rPr/>
        <w:t xml:space="preserve">“Landslide early warning method and device for linear engineering and electronic equipment” describes a landslide early warning method based on warning devices designed for linear infrastructure or roads. The model is fed with geological variables such as terrain slope and lithology obtained from satellite data, which are then evaluated in a risk matrix; the vulnerability of the area is defined from the result.</w:t>
      </w:r>
    </w:p>
    <w:p>
      <w:pPr>
        <w:pStyle w:val="Normal"/>
        <w:spacing w:lineRule="exact" w:line="288" w:before="0" w:after="140"/>
        <w:jc w:val="both"/>
        <w:rPr/>
      </w:pPr>
      <w:r>
        <w:rPr/>
        <w:t xml:space="preserve">Patents such as US 11,610,466 B2 (Ramesh et al., 2023) describe the operation of landslide early warning systems based on multiple levels of risk assessment; that patent highlights the use of sensors and real-time analysis that issue alerts based on critical thresholds of rainfall and ground movement. There are also patents such as WO 2018/027332 A1 (Comercial e Industrial Geosecology, 2018), which focuses on the predictive analysis of slope stability in open-pit mines. These innovations enable proactive responses to possible infrastructure failures, contributing to risk reduction, the protection of human lives and shorter emergency response times.</w:t>
      </w:r>
    </w:p>
    <w:p>
      <w:pPr>
        <w:pStyle w:val="Normal"/>
        <w:spacing w:lineRule="exact" w:line="288" w:before="0" w:after="140"/>
        <w:jc w:val="both"/>
        <w:rPr/>
      </w:pPr>
      <w:r>
        <w:rPr/>
        <w:t xml:space="preserve">The patents reviewed are summarized in Table 9.</w:t>
      </w:r>
    </w:p>
    <w:p>
      <w:pPr>
        <w:pStyle w:val="TableCaption"/>
        <w:keepNext w:val="true"/>
        <w:spacing w:before="200" w:after="80"/>
        <w:rPr/>
      </w:pPr>
      <w:bookmarkStart w:id="46" w:name="__RefHeading___Toc8073_1931662957"/>
      <w:bookmarkEnd w:id="46"/>
      <w:r>
        <w:rPr>
          <w:b/>
          <w:bCs/>
          <w:color w:val="1F3864"/>
        </w:rPr>
        <w:t xml:space="preserve">Table </w:t>
        <w:fldChar w:fldCharType="begin"/>
        <w:instrText xml:space="preserve"> SEQ Tabla \* ARABIC </w:instrText>
        <w:fldChar w:fldCharType="separate"/>
        <w:t xml:space="preserve">9</w:t>
        <w:fldChar w:fldCharType="end"/>
        <w:t xml:space="preserve">. </w:t>
      </w:r>
      <w:r>
        <w:rPr>
          <w:i/>
          <w:iCs/>
        </w:rPr>
        <w:t xml:space="preserve">Patents reviewed</w:t>
      </w:r>
    </w:p>
    <w:tbl>
      <w:tblPr>
        <w:tblW w:w="9406" w:type="dxa"/>
        <w:jc w:val="left"/>
        <w:tblInd w:w="0" w:type="dxa"/>
        <w:tblLayout w:type="fixed"/>
        <w:tblCellMar>
          <w:top w:w="50" w:type="dxa"/>
          <w:left w:w="80" w:type="dxa"/>
          <w:bottom w:w="50" w:type="dxa"/>
          <w:right w:w="80" w:type="dxa"/>
        </w:tblCellMar>
      </w:tblPr>
      <w:tblGrid>
        <w:gridCol w:w="2257"/>
        <w:gridCol w:w="2445"/>
        <w:gridCol w:w="4704"/>
      </w:tblGrid>
      <w:tr>
        <w:trPr>
          <w:tblHeader w:val="true"/>
          <w:cantSplit w:val="true"/>
        </w:trPr>
        <w:tc>
          <w:tcPr>
            <w:tcW w:w="22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Patent</w:t>
            </w:r>
          </w:p>
        </w:tc>
        <w:tc>
          <w:tcPr>
            <w:tcW w:w="24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Holder</w:t>
            </w:r>
          </w:p>
        </w:tc>
        <w:tc>
          <w:tcPr>
            <w:tcW w:w="47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Scope</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US 11,610,466 B2 (2023)</w:t>
            </w:r>
          </w:p>
        </w:tc>
        <w:tc>
          <w:tcPr>
            <w:tcW w:w="24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Amrita Vishwa Vidyapeetham</w:t>
            </w:r>
          </w:p>
        </w:tc>
        <w:tc>
          <w:tcPr>
            <w:tcW w:w="47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Multilevel rapid warning system for landslide detection (rainfall, soil moisture, pore pressure and movement).</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WO 2018/027332 A1 (2018)</w:t>
            </w:r>
          </w:p>
        </w:tc>
        <w:tc>
          <w:tcPr>
            <w:tcW w:w="24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Comercial e Industrial Geosecology Ltda.</w:t>
            </w:r>
          </w:p>
        </w:tc>
        <w:tc>
          <w:tcPr>
            <w:tcW w:w="47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Method and system for analyzing and generating early warnings of slope stability in open-pit mines.</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CN 118379853 A (2024)</w:t>
            </w:r>
          </w:p>
        </w:tc>
        <w:tc>
          <w:tcPr>
            <w:tcW w:w="244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Chinese application</w:t>
            </w:r>
          </w:p>
        </w:tc>
        <w:tc>
          <w:tcPr>
            <w:tcW w:w="47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Landslide early warning method and device for linear works (roads) based on geological variables and a risk matrix.</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47" w:name="__RefHeading___Toc7931_1931662957"/>
      <w:bookmarkEnd w:id="47"/>
      <w:r>
        <w:rPr/>
        <w:t xml:space="preserve">7.5. Synthesis and proposed solution</w:t>
      </w:r>
    </w:p>
    <w:p>
      <w:pPr>
        <w:pStyle w:val="Normal"/>
        <w:spacing w:lineRule="exact" w:line="288" w:before="0" w:after="140"/>
        <w:jc w:val="both"/>
        <w:rPr/>
      </w:pPr>
      <w:r>
        <w:rPr/>
        <w:t xml:space="preserve">This project focuses on developing software to predict landslides on Route 60, section 5, specifically on the Medellín–Bogotá highway. The study section runs from coordinates 5.951316, -74.865089 to 5.950459, -74.861388, both in the jurisdiction of San Francisco, Antioquia, in a sector known as El Alto de Pavas, located at kilometer 87 heading towards Medellín. An area of 1 km around the road section will be considered to assess landslide risk in this region.</w:t>
      </w:r>
    </w:p>
    <w:p>
      <w:pPr>
        <w:pStyle w:val="Normal"/>
        <w:spacing w:lineRule="exact" w:line="288" w:before="0" w:after="140"/>
        <w:jc w:val="both"/>
        <w:rPr/>
      </w:pPr>
      <w:r>
        <w:rPr/>
        <w:t xml:space="preserve">To do so, a deep-learning neural network will be implemented that uses images to feed a computer vision system. This system will identify spatial and temporal parameters that could compromise the structural integrity of the road section. The software will be able to access public databases such as NASA's landslide catalogs, the Group on Earth Observations catalog, IGAC's geological information and SIATA's rainfall information for the Department of Antioquia.</w:t>
      </w:r>
    </w:p>
    <w:p>
      <w:pPr>
        <w:pStyle w:val="Normal"/>
        <w:spacing w:lineRule="exact" w:line="288" w:before="0" w:after="140"/>
        <w:jc w:val="both"/>
        <w:rPr/>
      </w:pPr>
      <w:r>
        <w:rPr/>
        <w:t xml:space="preserve">The algorithm will incorporate a hybrid model to identify state conditions such as geological, geographical and topographic conditions, rainfall, land use and other climatic variables. These conditions will be linked to a temporal model that records and compares changes in the state variables to identify patterns and anomalies that may increase landslide risk in these areas.</w:t>
      </w:r>
    </w:p>
    <w:p>
      <w:pPr>
        <w:pStyle w:val="Normal"/>
        <w:spacing w:lineRule="exact" w:line="288" w:before="0" w:after="140"/>
        <w:jc w:val="both"/>
        <w:rPr/>
      </w:pPr>
      <w:r>
        <w:rPr/>
        <w:t xml:space="preserve">The model will support decision-making based on risk matrices derived from a classic risk-probability model described by Segoni and Caleca (2021). These matrices will be fed with the historical records of the Colombian Geological Survey and updated with the information available in the public databases provided by satellite services.</w:t>
      </w:r>
    </w:p>
    <w:p>
      <w:pPr>
        <w:pStyle w:val="Normal"/>
        <w:spacing w:lineRule="exact" w:line="288" w:before="0" w:after="140"/>
        <w:jc w:val="both"/>
        <w:rPr/>
      </w:pPr>
      <w:r>
        <w:rPr/>
        <w:t xml:space="preserve">The software leverages the ability of neural networks to process large volumes of data accurately, generating objective early warnings that allow intervention in risk areas. This facilitates better resource management and disaster prevention, in line with the ISO 37179 standard.</w:t>
      </w:r>
      <w:r>
        <w:br w:type="page"/>
      </w:r>
    </w:p>
    <w:p>
      <w:pPr>
        <w:pStyle w:val="Heading1"/>
        <w:rPr/>
      </w:pPr>
      <w:bookmarkStart w:id="48" w:name="__RefHeading___Toc7933_1931662957"/>
      <w:bookmarkEnd w:id="48"/>
      <w:r>
        <w:rPr/>
        <w:t xml:space="preserve">8. Objective analysis</w:t>
      </w:r>
    </w:p>
    <w:p>
      <w:pPr>
        <w:pStyle w:val="Normal"/>
        <w:spacing w:lineRule="exact" w:line="288" w:before="0" w:after="140"/>
        <w:jc w:val="both"/>
        <w:rPr/>
      </w:pPr>
      <w:r>
        <w:rPr/>
        <w:t xml:space="preserve">This section presents the objective tree (Table 10) and the actions to achieve the objectives through their respective indirect means, leading to the alternatives (Table 11): subsets of these actions aligned to solve the problems set out in Section 6 from technical, social, environmental and financial points of view.</w:t>
      </w:r>
    </w:p>
    <w:p>
      <w:pPr>
        <w:pStyle w:val="Normal"/>
        <w:spacing w:lineRule="exact" w:line="288" w:before="0" w:after="140"/>
        <w:jc w:val="both"/>
        <w:rPr/>
      </w:pPr>
      <w:r>
        <w:rPr/>
        <w:t xml:space="preserve">The objective tree (Table 10) turns the negative conditions of the problem tree into desired situations: the central problem becomes the central objective, the causes become means and the effects become ends.</w:t>
      </w:r>
    </w:p>
    <w:p>
      <w:pPr>
        <w:pStyle w:val="TableCaption"/>
        <w:keepNext w:val="true"/>
        <w:spacing w:before="200" w:after="80"/>
        <w:rPr/>
      </w:pPr>
      <w:bookmarkStart w:id="49" w:name="__RefHeading___Toc8071_1931662957"/>
      <w:bookmarkEnd w:id="49"/>
      <w:r>
        <w:rPr>
          <w:b/>
          <w:bCs/>
          <w:color w:val="1F3864"/>
        </w:rPr>
        <w:t xml:space="preserve">Table </w:t>
        <w:fldChar w:fldCharType="begin"/>
        <w:instrText xml:space="preserve"> SEQ Tabla \* ARABIC </w:instrText>
        <w:fldChar w:fldCharType="separate"/>
        <w:t xml:space="preserve">10</w:t>
        <w:fldChar w:fldCharType="end"/>
        <w:t xml:space="preserve">. </w:t>
      </w:r>
      <w:r>
        <w:rPr>
          <w:i/>
          <w:iCs/>
        </w:rPr>
        <w:t xml:space="preserve">Objective tree</w:t>
      </w:r>
    </w:p>
    <w:tbl>
      <w:tblPr>
        <w:tblW w:w="9406" w:type="dxa"/>
        <w:jc w:val="left"/>
        <w:tblInd w:w="0" w:type="dxa"/>
        <w:tblLayout w:type="fixed"/>
        <w:tblCellMar>
          <w:top w:w="50" w:type="dxa"/>
          <w:left w:w="80" w:type="dxa"/>
          <w:bottom w:w="50" w:type="dxa"/>
          <w:right w:w="80" w:type="dxa"/>
        </w:tblCellMar>
      </w:tblPr>
      <w:tblGrid>
        <w:gridCol w:w="1504"/>
        <w:gridCol w:w="1975"/>
        <w:gridCol w:w="1974"/>
        <w:gridCol w:w="1975"/>
        <w:gridCol w:w="1978"/>
      </w:tblGrid>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Indirect ends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1.1. Reduce loss of life within the framework of</w:t>
            </w:r>
          </w:p>
          <w:p>
            <w:pPr>
              <w:pStyle w:val="Normal"/>
              <w:keepNext w:val="false"/>
              <w:spacing w:lineRule="exact" w:line="252" w:before="0" w:after="20"/>
              <w:jc w:val="left"/>
              <w:rPr/>
            </w:pPr>
            <w:r>
              <w:rPr>
                <w:b w:val="false"/>
                <w:bCs w:val="false"/>
                <w:color w:val="1A1A1A"/>
                <w:sz w:val="16"/>
                <w:szCs w:val="16"/>
              </w:rPr>
              <w:t xml:space="preserve">SDG 11, target 5,</w:t>
            </w:r>
          </w:p>
          <w:p>
            <w:pPr>
              <w:pStyle w:val="Normal"/>
              <w:keepNext w:val="false"/>
              <w:spacing w:lineRule="exact" w:line="252" w:before="0" w:after="20"/>
              <w:jc w:val="left"/>
              <w:rPr/>
            </w:pPr>
            <w:r>
              <w:rPr>
                <w:b w:val="false"/>
                <w:bCs w:val="false"/>
                <w:color w:val="1A1A1A"/>
                <w:sz w:val="16"/>
                <w:szCs w:val="16"/>
              </w:rPr>
              <w:t xml:space="preserve">Indicator 11.5.1 “Number of deaths, missing persons and directly affected persons attributed to disasters per 100,000 population</w:t>
            </w:r>
          </w:p>
          <w:p>
            <w:pPr>
              <w:pStyle w:val="Normal"/>
              <w:keepNext w:val="false"/>
              <w:spacing w:lineRule="exact" w:line="252" w:before="0" w:after="20"/>
              <w:jc w:val="left"/>
              <w:rPr/>
            </w:pPr>
            <w:r>
              <w:rPr>
                <w:b w:val="false"/>
                <w:bCs w:val="false"/>
                <w:color w:val="1A1A1A"/>
                <w:sz w:val="16"/>
                <w:szCs w:val="16"/>
              </w:rPr>
              <w:t xml:space="preserve">issued by the UNDRR.” and SDG 3: Good health and well-being</w:t>
            </w:r>
          </w:p>
          <w:p>
            <w:pPr>
              <w:pStyle w:val="Normal"/>
              <w:keepNext w:val="false"/>
              <w:spacing w:lineRule="exact" w:line="252" w:before="0" w:after="20"/>
              <w:jc w:val="left"/>
              <w:rPr/>
            </w:pPr>
            <w:r>
              <w:rPr>
                <w:b w:val="false"/>
                <w:bCs w:val="false"/>
                <w:color w:val="1A1A1A"/>
                <w:sz w:val="16"/>
                <w:szCs w:val="16"/>
              </w:rPr>
              <w:t xml:space="preserve">Target 3.d “Strengthen the capacity of all countries, in particular developing countries, for early</w:t>
            </w:r>
          </w:p>
          <w:p>
            <w:pPr>
              <w:pStyle w:val="Normal"/>
              <w:keepNext w:val="false"/>
              <w:spacing w:lineRule="exact" w:line="252" w:before="0" w:after="20"/>
              <w:jc w:val="left"/>
              <w:rPr/>
            </w:pPr>
            <w:r>
              <w:rPr>
                <w:b w:val="false"/>
                <w:bCs w:val="false"/>
                <w:color w:val="1A1A1A"/>
                <w:sz w:val="16"/>
                <w:szCs w:val="16"/>
              </w:rPr>
              <w:t xml:space="preserve">warning, risk reduction and management of national and global health risks.”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2.1. Reduce fluctuations in</w:t>
            </w:r>
          </w:p>
          <w:p>
            <w:pPr>
              <w:pStyle w:val="Normal"/>
              <w:keepNext w:val="false"/>
              <w:spacing w:lineRule="exact" w:line="252" w:before="0" w:after="20"/>
              <w:jc w:val="left"/>
              <w:rPr/>
            </w:pPr>
            <w:r>
              <w:rPr>
                <w:b w:val="false"/>
                <w:bCs w:val="false"/>
                <w:color w:val="1A1A1A"/>
                <w:sz w:val="16"/>
                <w:szCs w:val="16"/>
              </w:rPr>
              <w:t xml:space="preserve">the costs of</w:t>
            </w:r>
          </w:p>
          <w:p>
            <w:pPr>
              <w:pStyle w:val="Normal"/>
              <w:keepNext w:val="false"/>
              <w:spacing w:lineRule="exact" w:line="252" w:before="0" w:after="20"/>
              <w:jc w:val="left"/>
              <w:rPr/>
            </w:pPr>
            <w:r>
              <w:rPr>
                <w:b w:val="false"/>
                <w:bCs w:val="false"/>
                <w:color w:val="1A1A1A"/>
                <w:sz w:val="16"/>
                <w:szCs w:val="16"/>
              </w:rPr>
              <w:t xml:space="preserve">transport resulting from traffic interruptions caused by landslides, in</w:t>
            </w:r>
          </w:p>
          <w:p>
            <w:pPr>
              <w:pStyle w:val="Normal"/>
              <w:keepNext w:val="false"/>
              <w:spacing w:lineRule="exact" w:line="252" w:before="0" w:after="20"/>
              <w:jc w:val="left"/>
              <w:rPr/>
            </w:pPr>
            <w:r>
              <w:rPr>
                <w:b w:val="false"/>
                <w:bCs w:val="false"/>
                <w:color w:val="1A1A1A"/>
                <w:sz w:val="16"/>
                <w:szCs w:val="16"/>
              </w:rPr>
              <w:t xml:space="preserve">line with</w:t>
            </w:r>
          </w:p>
          <w:p>
            <w:pPr>
              <w:pStyle w:val="Normal"/>
              <w:keepNext w:val="false"/>
              <w:spacing w:lineRule="exact" w:line="252" w:before="0" w:after="20"/>
              <w:jc w:val="left"/>
              <w:rPr/>
            </w:pPr>
            <w:r>
              <w:rPr>
                <w:b w:val="false"/>
                <w:bCs w:val="false"/>
                <w:color w:val="1A1A1A"/>
                <w:sz w:val="16"/>
                <w:szCs w:val="16"/>
              </w:rPr>
              <w:t xml:space="preserve">Component 3.1.</w:t>
            </w:r>
          </w:p>
          <w:p>
            <w:pPr>
              <w:pStyle w:val="Normal"/>
              <w:keepNext w:val="false"/>
              <w:spacing w:lineRule="exact" w:line="252" w:before="0" w:after="20"/>
              <w:jc w:val="left"/>
              <w:rPr/>
            </w:pPr>
            <w:r>
              <w:rPr>
                <w:b w:val="false"/>
                <w:bCs w:val="false"/>
                <w:color w:val="1A1A1A"/>
                <w:sz w:val="16"/>
                <w:szCs w:val="16"/>
              </w:rPr>
              <w:t xml:space="preserve">of the Departmental</w:t>
            </w:r>
          </w:p>
          <w:p>
            <w:pPr>
              <w:pStyle w:val="Normal"/>
              <w:keepNext w:val="false"/>
              <w:spacing w:lineRule="exact" w:line="252" w:before="0" w:after="20"/>
              <w:jc w:val="left"/>
              <w:rPr/>
            </w:pPr>
            <w:r>
              <w:rPr>
                <w:b w:val="false"/>
                <w:bCs w:val="false"/>
                <w:color w:val="1A1A1A"/>
                <w:sz w:val="16"/>
                <w:szCs w:val="16"/>
              </w:rPr>
              <w:t xml:space="preserve">Development Plan:</w:t>
            </w:r>
          </w:p>
          <w:p>
            <w:pPr>
              <w:pStyle w:val="Normal"/>
              <w:keepNext w:val="false"/>
              <w:spacing w:lineRule="exact" w:line="252" w:before="0" w:after="20"/>
              <w:jc w:val="left"/>
              <w:rPr/>
            </w:pPr>
            <w:r>
              <w:rPr>
                <w:b w:val="false"/>
                <w:bCs w:val="false"/>
                <w:color w:val="1A1A1A"/>
                <w:sz w:val="16"/>
                <w:szCs w:val="16"/>
              </w:rPr>
              <w:t xml:space="preserve">“Infrastructure for</w:t>
            </w:r>
          </w:p>
          <w:p>
            <w:pPr>
              <w:pStyle w:val="Normal"/>
              <w:keepNext w:val="false"/>
              <w:spacing w:lineRule="exact" w:line="252" w:before="0" w:after="20"/>
              <w:jc w:val="left"/>
              <w:rPr/>
            </w:pPr>
            <w:r>
              <w:rPr>
                <w:b w:val="false"/>
                <w:bCs w:val="false"/>
                <w:color w:val="1A1A1A"/>
                <w:sz w:val="16"/>
                <w:szCs w:val="16"/>
              </w:rPr>
              <w:t xml:space="preserve">equity and</w:t>
            </w:r>
          </w:p>
          <w:p>
            <w:pPr>
              <w:pStyle w:val="Normal"/>
              <w:keepNext w:val="false"/>
              <w:spacing w:lineRule="exact" w:line="252" w:before="0" w:after="20"/>
              <w:jc w:val="left"/>
              <w:rPr/>
            </w:pPr>
            <w:r>
              <w:rPr>
                <w:b w:val="false"/>
                <w:bCs w:val="false"/>
                <w:color w:val="1A1A1A"/>
                <w:sz w:val="16"/>
                <w:szCs w:val="16"/>
              </w:rPr>
              <w:t xml:space="preserve">competitiveness.”</w:t>
            </w:r>
          </w:p>
          <w:p>
            <w:pPr>
              <w:pStyle w:val="Normal"/>
              <w:keepNext w:val="false"/>
              <w:spacing w:lineRule="exact" w:line="252" w:before="0" w:after="20"/>
              <w:jc w:val="left"/>
              <w:rPr/>
            </w:pPr>
            <w:r>
              <w:rPr>
                <w:b w:val="false"/>
                <w:bCs w:val="false"/>
                <w:color w:val="1A1A1A"/>
                <w:sz w:val="16"/>
                <w:szCs w:val="16"/>
              </w:rPr>
              <w:t xml:space="preserve">2.2. Reduce the loss of</w:t>
            </w:r>
          </w:p>
          <w:p>
            <w:pPr>
              <w:pStyle w:val="Normal"/>
              <w:keepNext w:val="false"/>
              <w:spacing w:lineRule="exact" w:line="252" w:before="0" w:after="20"/>
              <w:jc w:val="left"/>
              <w:rPr/>
            </w:pPr>
            <w:r>
              <w:rPr>
                <w:b w:val="false"/>
                <w:bCs w:val="false"/>
                <w:color w:val="1A1A1A"/>
                <w:sz w:val="16"/>
                <w:szCs w:val="16"/>
              </w:rPr>
              <w:t xml:space="preserve">income of</w:t>
            </w:r>
          </w:p>
          <w:p>
            <w:pPr>
              <w:pStyle w:val="Normal"/>
              <w:keepNext w:val="false"/>
              <w:spacing w:lineRule="exact" w:line="252" w:before="0" w:after="20"/>
              <w:jc w:val="left"/>
              <w:rPr/>
            </w:pPr>
            <w:r>
              <w:rPr>
                <w:b w:val="false"/>
                <w:bCs w:val="false"/>
                <w:color w:val="1A1A1A"/>
                <w:sz w:val="16"/>
                <w:szCs w:val="16"/>
              </w:rPr>
              <w:t xml:space="preserve">communities and the</w:t>
            </w:r>
          </w:p>
          <w:p>
            <w:pPr>
              <w:pStyle w:val="Normal"/>
              <w:keepNext w:val="false"/>
              <w:spacing w:lineRule="exact" w:line="252" w:before="0" w:after="20"/>
              <w:jc w:val="left"/>
              <w:rPr/>
            </w:pPr>
            <w:r>
              <w:rPr>
                <w:b w:val="false"/>
                <w:bCs w:val="false"/>
                <w:color w:val="1A1A1A"/>
                <w:sz w:val="16"/>
                <w:szCs w:val="16"/>
              </w:rPr>
              <w:t xml:space="preserve">Nation due to natural disasters, under</w:t>
            </w:r>
          </w:p>
          <w:p>
            <w:pPr>
              <w:pStyle w:val="Normal"/>
              <w:keepNext w:val="false"/>
              <w:spacing w:lineRule="exact" w:line="252" w:before="0" w:after="20"/>
              <w:jc w:val="left"/>
              <w:rPr/>
            </w:pPr>
            <w:r>
              <w:rPr>
                <w:b w:val="false"/>
                <w:bCs w:val="false"/>
                <w:color w:val="1A1A1A"/>
                <w:sz w:val="16"/>
                <w:szCs w:val="16"/>
              </w:rPr>
              <w:t xml:space="preserve">line with</w:t>
            </w:r>
          </w:p>
          <w:p>
            <w:pPr>
              <w:pStyle w:val="Normal"/>
              <w:keepNext w:val="false"/>
              <w:spacing w:lineRule="exact" w:line="252" w:before="0" w:after="20"/>
              <w:jc w:val="left"/>
              <w:rPr/>
            </w:pPr>
            <w:r>
              <w:rPr>
                <w:b w:val="false"/>
                <w:bCs w:val="false"/>
                <w:color w:val="1A1A1A"/>
                <w:sz w:val="16"/>
                <w:szCs w:val="16"/>
              </w:rPr>
              <w:t xml:space="preserve">SDG 11, Indicator</w:t>
            </w:r>
          </w:p>
          <w:p>
            <w:pPr>
              <w:pStyle w:val="Normal"/>
              <w:keepNext w:val="false"/>
              <w:spacing w:lineRule="exact" w:line="252" w:before="0" w:after="20"/>
              <w:jc w:val="left"/>
              <w:rPr/>
            </w:pPr>
            <w:r>
              <w:rPr>
                <w:b w:val="false"/>
                <w:bCs w:val="false"/>
                <w:color w:val="1A1A1A"/>
                <w:sz w:val="16"/>
                <w:szCs w:val="16"/>
              </w:rPr>
              <w:t xml:space="preserve">11.5.2 “Direct</w:t>
            </w:r>
          </w:p>
          <w:p>
            <w:pPr>
              <w:pStyle w:val="Normal"/>
              <w:keepNext w:val="false"/>
              <w:spacing w:lineRule="exact" w:line="252" w:before="0" w:after="20"/>
              <w:jc w:val="left"/>
              <w:rPr/>
            </w:pPr>
            <w:r>
              <w:rPr>
                <w:b w:val="false"/>
                <w:bCs w:val="false"/>
                <w:color w:val="1A1A1A"/>
                <w:sz w:val="16"/>
                <w:szCs w:val="16"/>
              </w:rPr>
              <w:t xml:space="preserve">economic loss</w:t>
            </w:r>
          </w:p>
          <w:p>
            <w:pPr>
              <w:pStyle w:val="Normal"/>
              <w:keepNext w:val="false"/>
              <w:spacing w:lineRule="exact" w:line="252" w:before="0" w:after="20"/>
              <w:jc w:val="left"/>
              <w:rPr/>
            </w:pPr>
            <w:r>
              <w:rPr>
                <w:b w:val="false"/>
                <w:bCs w:val="false"/>
                <w:color w:val="1A1A1A"/>
                <w:sz w:val="16"/>
                <w:szCs w:val="16"/>
              </w:rPr>
              <w:t xml:space="preserve">attributed to</w:t>
            </w:r>
          </w:p>
          <w:p>
            <w:pPr>
              <w:pStyle w:val="Normal"/>
              <w:keepNext w:val="false"/>
              <w:spacing w:lineRule="exact" w:line="252" w:before="0" w:after="20"/>
              <w:jc w:val="left"/>
              <w:rPr/>
            </w:pPr>
            <w:r>
              <w:rPr>
                <w:b w:val="false"/>
                <w:bCs w:val="false"/>
                <w:color w:val="1A1A1A"/>
                <w:sz w:val="16"/>
                <w:szCs w:val="16"/>
              </w:rPr>
              <w:t xml:space="preserve">disasters in</w:t>
            </w:r>
          </w:p>
          <w:p>
            <w:pPr>
              <w:pStyle w:val="Normal"/>
              <w:keepNext w:val="false"/>
              <w:spacing w:lineRule="exact" w:line="252" w:before="0" w:after="20"/>
              <w:jc w:val="left"/>
              <w:rPr/>
            </w:pPr>
            <w:r>
              <w:rPr>
                <w:b w:val="false"/>
                <w:bCs w:val="false"/>
                <w:color w:val="1A1A1A"/>
                <w:sz w:val="16"/>
                <w:szCs w:val="16"/>
              </w:rPr>
              <w:t xml:space="preserve">relation to</w:t>
            </w:r>
          </w:p>
          <w:p>
            <w:pPr>
              <w:pStyle w:val="Normal"/>
              <w:keepNext w:val="false"/>
              <w:spacing w:lineRule="exact" w:line="252" w:before="0" w:after="20"/>
              <w:jc w:val="left"/>
              <w:rPr/>
            </w:pPr>
            <w:r>
              <w:rPr>
                <w:b w:val="false"/>
                <w:bCs w:val="false"/>
                <w:color w:val="1A1A1A"/>
                <w:sz w:val="16"/>
                <w:szCs w:val="16"/>
              </w:rPr>
              <w:t xml:space="preserve">global gross</w:t>
            </w:r>
          </w:p>
          <w:p>
            <w:pPr>
              <w:pStyle w:val="Normal"/>
              <w:keepNext w:val="false"/>
              <w:spacing w:lineRule="exact" w:line="252" w:before="0" w:after="20"/>
              <w:jc w:val="left"/>
              <w:rPr/>
            </w:pPr>
            <w:r>
              <w:rPr>
                <w:b w:val="false"/>
                <w:bCs w:val="false"/>
                <w:color w:val="1A1A1A"/>
                <w:sz w:val="16"/>
                <w:szCs w:val="16"/>
              </w:rPr>
              <w:t xml:space="preserve">domestic product (GDP)</w:t>
            </w:r>
          </w:p>
          <w:p>
            <w:pPr>
              <w:pStyle w:val="Normal"/>
              <w:keepNext w:val="false"/>
              <w:spacing w:lineRule="exact" w:line="252" w:before="0" w:after="20"/>
              <w:jc w:val="left"/>
              <w:rPr/>
            </w:pPr>
            <w:r>
              <w:rPr>
                <w:b w:val="false"/>
                <w:bCs w:val="false"/>
                <w:color w:val="1A1A1A"/>
                <w:sz w:val="16"/>
                <w:szCs w:val="16"/>
              </w:rPr>
              <w:t xml:space="preserve">issued by the</w:t>
            </w:r>
          </w:p>
          <w:p>
            <w:pPr>
              <w:pStyle w:val="Normal"/>
              <w:keepNext w:val="false"/>
              <w:spacing w:lineRule="exact" w:line="252" w:before="0" w:after="20"/>
              <w:jc w:val="left"/>
              <w:rPr/>
            </w:pPr>
            <w:r>
              <w:rPr>
                <w:b w:val="false"/>
                <w:bCs w:val="false"/>
                <w:color w:val="1A1A1A"/>
                <w:sz w:val="16"/>
                <w:szCs w:val="16"/>
              </w:rPr>
              <w:t xml:space="preserve">UNDRR.”</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3.1. Recovery</w:t>
            </w:r>
          </w:p>
          <w:p>
            <w:pPr>
              <w:pStyle w:val="Normal"/>
              <w:keepNext w:val="false"/>
              <w:spacing w:lineRule="exact" w:line="252" w:before="0" w:after="20"/>
              <w:jc w:val="left"/>
              <w:rPr/>
            </w:pPr>
            <w:r>
              <w:rPr>
                <w:b w:val="false"/>
                <w:bCs w:val="false"/>
                <w:color w:val="1A1A1A"/>
                <w:sz w:val="16"/>
                <w:szCs w:val="16"/>
              </w:rPr>
              <w:t xml:space="preserve">of water</w:t>
            </w:r>
          </w:p>
          <w:p>
            <w:pPr>
              <w:pStyle w:val="Normal"/>
              <w:keepNext w:val="false"/>
              <w:spacing w:lineRule="exact" w:line="252" w:before="0" w:after="20"/>
              <w:jc w:val="left"/>
              <w:rPr/>
            </w:pPr>
            <w:r>
              <w:rPr>
                <w:b w:val="false"/>
                <w:bCs w:val="false"/>
                <w:color w:val="1A1A1A"/>
                <w:sz w:val="16"/>
                <w:szCs w:val="16"/>
              </w:rPr>
              <w:t xml:space="preserve">bodies, in</w:t>
            </w:r>
          </w:p>
          <w:p>
            <w:pPr>
              <w:pStyle w:val="Normal"/>
              <w:keepNext w:val="false"/>
              <w:spacing w:lineRule="exact" w:line="252" w:before="0" w:after="20"/>
              <w:jc w:val="left"/>
              <w:rPr/>
            </w:pPr>
            <w:r>
              <w:rPr>
                <w:b w:val="false"/>
                <w:bCs w:val="false"/>
                <w:color w:val="1A1A1A"/>
                <w:sz w:val="16"/>
                <w:szCs w:val="16"/>
              </w:rPr>
              <w:t xml:space="preserve">accordance with</w:t>
            </w:r>
          </w:p>
          <w:p>
            <w:pPr>
              <w:pStyle w:val="Normal"/>
              <w:keepNext w:val="false"/>
              <w:spacing w:lineRule="exact" w:line="252" w:before="0" w:after="20"/>
              <w:jc w:val="left"/>
              <w:rPr/>
            </w:pPr>
            <w:r>
              <w:rPr>
                <w:b w:val="false"/>
                <w:bCs w:val="false"/>
                <w:color w:val="1A1A1A"/>
                <w:sz w:val="16"/>
                <w:szCs w:val="16"/>
              </w:rPr>
              <w:t xml:space="preserve">SDG 15, target</w:t>
            </w:r>
          </w:p>
          <w:p>
            <w:pPr>
              <w:pStyle w:val="Normal"/>
              <w:keepNext w:val="false"/>
              <w:spacing w:lineRule="exact" w:line="252" w:before="0" w:after="20"/>
              <w:jc w:val="left"/>
              <w:rPr/>
            </w:pPr>
            <w:r>
              <w:rPr>
                <w:b w:val="false"/>
                <w:bCs w:val="false"/>
                <w:color w:val="1A1A1A"/>
                <w:sz w:val="16"/>
                <w:szCs w:val="16"/>
              </w:rPr>
              <w:t xml:space="preserve">15.1 “ensure the</w:t>
            </w:r>
          </w:p>
          <w:p>
            <w:pPr>
              <w:pStyle w:val="Normal"/>
              <w:keepNext w:val="false"/>
              <w:spacing w:lineRule="exact" w:line="252" w:before="0" w:after="20"/>
              <w:jc w:val="left"/>
              <w:rPr/>
            </w:pPr>
            <w:r>
              <w:rPr>
                <w:b w:val="false"/>
                <w:bCs w:val="false"/>
                <w:color w:val="1A1A1A"/>
                <w:sz w:val="16"/>
                <w:szCs w:val="16"/>
              </w:rPr>
              <w:t xml:space="preserve">conservation,</w:t>
            </w:r>
          </w:p>
          <w:p>
            <w:pPr>
              <w:pStyle w:val="Normal"/>
              <w:keepNext w:val="false"/>
              <w:spacing w:lineRule="exact" w:line="252" w:before="0" w:after="20"/>
              <w:jc w:val="left"/>
              <w:rPr/>
            </w:pPr>
            <w:r>
              <w:rPr>
                <w:b w:val="false"/>
                <w:bCs w:val="false"/>
                <w:color w:val="1A1A1A"/>
                <w:sz w:val="16"/>
                <w:szCs w:val="16"/>
              </w:rPr>
              <w:t xml:space="preserve">restoration and sustainable use of</w:t>
            </w:r>
          </w:p>
          <w:p>
            <w:pPr>
              <w:pStyle w:val="Normal"/>
              <w:keepNext w:val="false"/>
              <w:spacing w:lineRule="exact" w:line="252" w:before="0" w:after="20"/>
              <w:jc w:val="left"/>
              <w:rPr/>
            </w:pPr>
            <w:r>
              <w:rPr>
                <w:b w:val="false"/>
                <w:bCs w:val="false"/>
                <w:color w:val="1A1A1A"/>
                <w:sz w:val="16"/>
                <w:szCs w:val="16"/>
              </w:rPr>
              <w:t xml:space="preserve">terrestrial and</w:t>
            </w:r>
          </w:p>
          <w:p>
            <w:pPr>
              <w:pStyle w:val="Normal"/>
              <w:keepNext w:val="false"/>
              <w:spacing w:lineRule="exact" w:line="252" w:before="0" w:after="20"/>
              <w:jc w:val="left"/>
              <w:rPr/>
            </w:pPr>
            <w:r>
              <w:rPr>
                <w:b w:val="false"/>
                <w:bCs w:val="false"/>
                <w:color w:val="1A1A1A"/>
                <w:sz w:val="16"/>
                <w:szCs w:val="16"/>
              </w:rPr>
              <w:t xml:space="preserve">inland freshwater ecosystems and the services</w:t>
            </w:r>
          </w:p>
          <w:p>
            <w:pPr>
              <w:pStyle w:val="Normal"/>
              <w:keepNext w:val="false"/>
              <w:spacing w:lineRule="exact" w:line="252" w:before="0" w:after="20"/>
              <w:jc w:val="left"/>
              <w:rPr/>
            </w:pPr>
            <w:r>
              <w:rPr>
                <w:b w:val="false"/>
                <w:bCs w:val="false"/>
                <w:color w:val="1A1A1A"/>
                <w:sz w:val="16"/>
                <w:szCs w:val="16"/>
              </w:rPr>
              <w:t xml:space="preserve">that they provide,</w:t>
            </w:r>
          </w:p>
          <w:p>
            <w:pPr>
              <w:pStyle w:val="Normal"/>
              <w:keepNext w:val="false"/>
              <w:spacing w:lineRule="exact" w:line="252" w:before="0" w:after="20"/>
              <w:jc w:val="left"/>
              <w:rPr/>
            </w:pPr>
            <w:r>
              <w:rPr>
                <w:b w:val="false"/>
                <w:bCs w:val="false"/>
                <w:color w:val="1A1A1A"/>
                <w:sz w:val="16"/>
                <w:szCs w:val="16"/>
              </w:rPr>
              <w:t xml:space="preserve">in particular</w:t>
            </w:r>
          </w:p>
          <w:p>
            <w:pPr>
              <w:pStyle w:val="Normal"/>
              <w:keepNext w:val="false"/>
              <w:spacing w:lineRule="exact" w:line="252" w:before="0" w:after="20"/>
              <w:jc w:val="left"/>
              <w:rPr/>
            </w:pPr>
            <w:r>
              <w:rPr>
                <w:b w:val="false"/>
                <w:bCs w:val="false"/>
                <w:color w:val="1A1A1A"/>
                <w:sz w:val="16"/>
                <w:szCs w:val="16"/>
              </w:rPr>
              <w:t xml:space="preserve">forests,</w:t>
            </w:r>
          </w:p>
          <w:p>
            <w:pPr>
              <w:pStyle w:val="Normal"/>
              <w:keepNext w:val="false"/>
              <w:spacing w:lineRule="exact" w:line="252" w:before="0" w:after="20"/>
              <w:jc w:val="left"/>
              <w:rPr/>
            </w:pPr>
            <w:r>
              <w:rPr>
                <w:b w:val="false"/>
                <w:bCs w:val="false"/>
                <w:color w:val="1A1A1A"/>
                <w:sz w:val="16"/>
                <w:szCs w:val="16"/>
              </w:rPr>
              <w:t xml:space="preserve">wetlands,</w:t>
            </w:r>
          </w:p>
          <w:p>
            <w:pPr>
              <w:pStyle w:val="Normal"/>
              <w:keepNext w:val="false"/>
              <w:spacing w:lineRule="exact" w:line="252" w:before="0" w:after="20"/>
              <w:jc w:val="left"/>
              <w:rPr/>
            </w:pPr>
            <w:r>
              <w:rPr>
                <w:b w:val="false"/>
                <w:bCs w:val="false"/>
                <w:color w:val="1A1A1A"/>
                <w:sz w:val="16"/>
                <w:szCs w:val="16"/>
              </w:rPr>
              <w:t xml:space="preserve">mountains and</w:t>
            </w:r>
          </w:p>
          <w:p>
            <w:pPr>
              <w:pStyle w:val="Normal"/>
              <w:keepNext w:val="false"/>
              <w:spacing w:lineRule="exact" w:line="252" w:before="0" w:after="20"/>
              <w:jc w:val="left"/>
              <w:rPr/>
            </w:pPr>
            <w:r>
              <w:rPr>
                <w:b w:val="false"/>
                <w:bCs w:val="false"/>
                <w:color w:val="1A1A1A"/>
                <w:sz w:val="16"/>
                <w:szCs w:val="16"/>
              </w:rPr>
              <w:t xml:space="preserve">drylands, in</w:t>
            </w:r>
          </w:p>
          <w:p>
            <w:pPr>
              <w:pStyle w:val="Normal"/>
              <w:keepNext w:val="false"/>
              <w:spacing w:lineRule="exact" w:line="252" w:before="0" w:after="20"/>
              <w:jc w:val="left"/>
              <w:rPr/>
            </w:pPr>
            <w:r>
              <w:rPr>
                <w:b w:val="false"/>
                <w:bCs w:val="false"/>
                <w:color w:val="1A1A1A"/>
                <w:sz w:val="16"/>
                <w:szCs w:val="16"/>
              </w:rPr>
              <w:t xml:space="preserve">line with obligations under international agreements.”</w:t>
            </w:r>
          </w:p>
          <w:p>
            <w:pPr>
              <w:pStyle w:val="Normal"/>
              <w:keepNext w:val="false"/>
              <w:spacing w:lineRule="exact" w:line="252" w:before="0" w:after="20"/>
              <w:jc w:val="left"/>
              <w:rPr/>
            </w:pPr>
            <w:r>
              <w:rPr>
                <w:b w:val="false"/>
                <w:bCs w:val="false"/>
                <w:color w:val="1A1A1A"/>
                <w:sz w:val="16"/>
                <w:szCs w:val="16"/>
              </w:rPr>
              <w:t xml:space="preserve">3.2. Conservation</w:t>
            </w:r>
          </w:p>
          <w:p>
            <w:pPr>
              <w:pStyle w:val="Normal"/>
              <w:keepNext w:val="false"/>
              <w:spacing w:lineRule="exact" w:line="252" w:before="0" w:after="20"/>
              <w:jc w:val="left"/>
              <w:rPr/>
            </w:pPr>
            <w:r>
              <w:rPr>
                <w:b w:val="false"/>
                <w:bCs w:val="false"/>
                <w:color w:val="1A1A1A"/>
                <w:sz w:val="16"/>
                <w:szCs w:val="16"/>
              </w:rPr>
              <w:t xml:space="preserve">of biodiversity.</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4.1. Tools</w:t>
            </w:r>
          </w:p>
          <w:p>
            <w:pPr>
              <w:pStyle w:val="Normal"/>
              <w:keepNext w:val="false"/>
              <w:spacing w:lineRule="exact" w:line="252" w:before="0" w:after="20"/>
              <w:jc w:val="left"/>
              <w:rPr/>
            </w:pPr>
            <w:r>
              <w:rPr>
                <w:b w:val="false"/>
                <w:bCs w:val="false"/>
                <w:color w:val="1A1A1A"/>
                <w:sz w:val="16"/>
                <w:szCs w:val="16"/>
              </w:rPr>
              <w:t xml:space="preserve">that help reduce maintenance costs. In line with SDG 13, Indicator 13.1.3 Proportion of local governments that adopt</w:t>
            </w:r>
          </w:p>
          <w:p>
            <w:pPr>
              <w:pStyle w:val="Normal"/>
              <w:keepNext w:val="false"/>
              <w:spacing w:lineRule="exact" w:line="252" w:before="0" w:after="20"/>
              <w:jc w:val="left"/>
              <w:rPr/>
            </w:pPr>
            <w:r>
              <w:rPr>
                <w:b w:val="false"/>
                <w:bCs w:val="false"/>
                <w:color w:val="1A1A1A"/>
                <w:sz w:val="16"/>
                <w:szCs w:val="16"/>
              </w:rPr>
              <w:t xml:space="preserve">and implement</w:t>
            </w:r>
          </w:p>
          <w:p>
            <w:pPr>
              <w:pStyle w:val="Normal"/>
              <w:keepNext w:val="false"/>
              <w:spacing w:lineRule="exact" w:line="252" w:before="0" w:after="20"/>
              <w:jc w:val="left"/>
              <w:rPr/>
            </w:pPr>
            <w:r>
              <w:rPr>
                <w:b w:val="false"/>
                <w:bCs w:val="false"/>
                <w:color w:val="1A1A1A"/>
                <w:sz w:val="16"/>
                <w:szCs w:val="16"/>
              </w:rPr>
              <w:t xml:space="preserve">local disaster</w:t>
            </w:r>
          </w:p>
          <w:p>
            <w:pPr>
              <w:pStyle w:val="Normal"/>
              <w:keepNext w:val="false"/>
              <w:spacing w:lineRule="exact" w:line="252" w:before="0" w:after="20"/>
              <w:jc w:val="left"/>
              <w:rPr/>
            </w:pPr>
            <w:r>
              <w:rPr>
                <w:b w:val="false"/>
                <w:bCs w:val="false"/>
                <w:color w:val="1A1A1A"/>
                <w:sz w:val="16"/>
                <w:szCs w:val="16"/>
              </w:rPr>
              <w:t xml:space="preserve">risk reduction</w:t>
            </w:r>
          </w:p>
          <w:p>
            <w:pPr>
              <w:pStyle w:val="Normal"/>
              <w:keepNext w:val="false"/>
              <w:spacing w:lineRule="exact" w:line="252" w:before="0" w:after="20"/>
              <w:jc w:val="left"/>
              <w:rPr/>
            </w:pPr>
            <w:r>
              <w:rPr>
                <w:b w:val="false"/>
                <w:bCs w:val="false"/>
                <w:color w:val="1A1A1A"/>
                <w:sz w:val="16"/>
                <w:szCs w:val="16"/>
              </w:rPr>
              <w:t xml:space="preserve">strategies</w:t>
            </w:r>
          </w:p>
          <w:p>
            <w:pPr>
              <w:pStyle w:val="Normal"/>
              <w:keepNext w:val="false"/>
              <w:spacing w:lineRule="exact" w:line="252" w:before="0" w:after="20"/>
              <w:jc w:val="left"/>
              <w:rPr/>
            </w:pPr>
            <w:r>
              <w:rPr>
                <w:b w:val="false"/>
                <w:bCs w:val="false"/>
                <w:color w:val="1A1A1A"/>
                <w:sz w:val="16"/>
                <w:szCs w:val="16"/>
              </w:rPr>
              <w:t xml:space="preserve">in line with</w:t>
            </w:r>
          </w:p>
          <w:p>
            <w:pPr>
              <w:pStyle w:val="Normal"/>
              <w:keepNext w:val="false"/>
              <w:spacing w:lineRule="exact" w:line="252" w:before="0" w:after="20"/>
              <w:jc w:val="left"/>
              <w:rPr/>
            </w:pPr>
            <w:r>
              <w:rPr>
                <w:b w:val="false"/>
                <w:bCs w:val="false"/>
                <w:color w:val="1A1A1A"/>
                <w:sz w:val="16"/>
                <w:szCs w:val="16"/>
              </w:rPr>
              <w:t xml:space="preserve">national</w:t>
            </w:r>
          </w:p>
          <w:p>
            <w:pPr>
              <w:pStyle w:val="Normal"/>
              <w:keepNext w:val="false"/>
              <w:spacing w:lineRule="exact" w:line="252" w:before="0" w:after="20"/>
              <w:jc w:val="left"/>
              <w:rPr/>
            </w:pPr>
            <w:r>
              <w:rPr>
                <w:b w:val="false"/>
                <w:bCs w:val="false"/>
                <w:color w:val="1A1A1A"/>
                <w:sz w:val="16"/>
                <w:szCs w:val="16"/>
              </w:rPr>
              <w:t xml:space="preserve">disaster</w:t>
            </w:r>
          </w:p>
          <w:p>
            <w:pPr>
              <w:pStyle w:val="Normal"/>
              <w:keepNext w:val="false"/>
              <w:spacing w:lineRule="exact" w:line="252" w:before="0" w:after="20"/>
              <w:jc w:val="left"/>
              <w:rPr/>
            </w:pPr>
            <w:r>
              <w:rPr>
                <w:b w:val="false"/>
                <w:bCs w:val="false"/>
                <w:color w:val="1A1A1A"/>
                <w:sz w:val="16"/>
                <w:szCs w:val="16"/>
              </w:rPr>
              <w:t xml:space="preserve">risk reduction</w:t>
            </w:r>
          </w:p>
          <w:p>
            <w:pPr>
              <w:pStyle w:val="Normal"/>
              <w:keepNext w:val="false"/>
              <w:spacing w:lineRule="exact" w:line="252" w:before="0" w:after="20"/>
              <w:jc w:val="left"/>
              <w:rPr/>
            </w:pPr>
            <w:r>
              <w:rPr>
                <w:b w:val="false"/>
                <w:bCs w:val="false"/>
                <w:color w:val="1A1A1A"/>
                <w:sz w:val="16"/>
                <w:szCs w:val="16"/>
              </w:rPr>
              <w:t xml:space="preserve">strategies</w:t>
            </w:r>
          </w:p>
          <w:p>
            <w:pPr>
              <w:pStyle w:val="Normal"/>
              <w:keepNext w:val="false"/>
              <w:spacing w:lineRule="exact" w:line="252" w:before="0" w:after="20"/>
              <w:jc w:val="left"/>
              <w:rPr/>
            </w:pPr>
            <w:r>
              <w:rPr>
                <w:b w:val="false"/>
                <w:bCs w:val="false"/>
                <w:color w:val="1A1A1A"/>
                <w:sz w:val="16"/>
                <w:szCs w:val="16"/>
              </w:rPr>
              <w:t xml:space="preserve">issued by the</w:t>
            </w:r>
          </w:p>
          <w:p>
            <w:pPr>
              <w:pStyle w:val="Normal"/>
              <w:keepNext w:val="false"/>
              <w:spacing w:lineRule="exact" w:line="252" w:before="0" w:after="20"/>
              <w:jc w:val="left"/>
              <w:rPr/>
            </w:pPr>
            <w:r>
              <w:rPr>
                <w:b w:val="false"/>
                <w:bCs w:val="false"/>
                <w:color w:val="1A1A1A"/>
                <w:sz w:val="16"/>
                <w:szCs w:val="16"/>
              </w:rPr>
              <w:t xml:space="preserve">(UNDRR).</w:t>
            </w:r>
          </w:p>
          <w:p>
            <w:pPr>
              <w:pStyle w:val="Normal"/>
              <w:keepNext w:val="false"/>
              <w:spacing w:lineRule="exact" w:line="252" w:before="0" w:after="20"/>
              <w:jc w:val="left"/>
              <w:rPr/>
            </w:pPr>
            <w:r>
              <w:rPr>
                <w:b w:val="false"/>
                <w:bCs w:val="false"/>
                <w:color w:val="1A1A1A"/>
                <w:sz w:val="16"/>
                <w:szCs w:val="16"/>
              </w:rPr>
              <w:t xml:space="preserve">4.2. Ensure continuous road connectivity.</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Direct ends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1. Reduce risks for road users.</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Continuity of economic activities</w:t>
            </w:r>
          </w:p>
          <w:p>
            <w:pPr>
              <w:pStyle w:val="Normal"/>
              <w:keepNext w:val="false"/>
              <w:spacing w:lineRule="exact" w:line="252" w:before="0" w:after="20"/>
              <w:jc w:val="left"/>
              <w:rPr/>
            </w:pPr>
            <w:r>
              <w:rPr>
                <w:b/>
                <w:bCs/>
                <w:color w:val="1A1A1A"/>
                <w:sz w:val="16"/>
                <w:szCs w:val="16"/>
              </w:rPr>
              <w:t xml:space="preserve">and of the development of the communities</w:t>
            </w:r>
          </w:p>
          <w:p>
            <w:pPr>
              <w:pStyle w:val="Normal"/>
              <w:keepNext w:val="false"/>
              <w:spacing w:lineRule="exact" w:line="252" w:before="0" w:after="20"/>
              <w:jc w:val="left"/>
              <w:rPr/>
            </w:pPr>
            <w:r>
              <w:rPr>
                <w:b/>
                <w:bCs/>
                <w:color w:val="1A1A1A"/>
                <w:sz w:val="16"/>
                <w:szCs w:val="16"/>
              </w:rPr>
              <w:t xml:space="preserve">that depend on the road.</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3. Conservation</w:t>
            </w:r>
          </w:p>
          <w:p>
            <w:pPr>
              <w:pStyle w:val="Normal"/>
              <w:keepNext w:val="false"/>
              <w:spacing w:lineRule="exact" w:line="252" w:before="0" w:after="20"/>
              <w:jc w:val="left"/>
              <w:rPr/>
            </w:pPr>
            <w:r>
              <w:rPr>
                <w:b/>
                <w:bCs/>
                <w:color w:val="1A1A1A"/>
                <w:sz w:val="16"/>
                <w:szCs w:val="16"/>
              </w:rPr>
              <w:t xml:space="preserve">of the ecosystem.</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4. Conservation of road infrastructure.</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Central objective</w:t>
            </w:r>
          </w:p>
        </w:tc>
        <w:tc>
          <w:tcPr>
            <w:tcW w:w="7902" w:type="dxa"/>
            <w:gridSpan w:val="4"/>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Increased STI capacity to predict and prevent mass movements that threaten the lives, economy and development of the inhabitants and travelers of Antioquia's road infrastructure.</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Direct means (specific objectives)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1. Increased capacity for planning</w:t>
            </w:r>
          </w:p>
          <w:p>
            <w:pPr>
              <w:pStyle w:val="Normal"/>
              <w:keepNext w:val="false"/>
              <w:spacing w:lineRule="exact" w:line="252" w:before="0" w:after="20"/>
              <w:jc w:val="left"/>
              <w:rPr/>
            </w:pPr>
            <w:r>
              <w:rPr>
                <w:b/>
                <w:bCs/>
                <w:color w:val="1A1A1A"/>
                <w:sz w:val="16"/>
                <w:szCs w:val="16"/>
              </w:rPr>
              <w:t xml:space="preserve">urban development.</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Smart</w:t>
            </w:r>
          </w:p>
          <w:p>
            <w:pPr>
              <w:pStyle w:val="Normal"/>
              <w:keepNext w:val="false"/>
              <w:spacing w:lineRule="exact" w:line="252" w:before="0" w:after="20"/>
              <w:jc w:val="left"/>
              <w:rPr/>
            </w:pPr>
            <w:r>
              <w:rPr>
                <w:b/>
                <w:bCs/>
                <w:color w:val="1A1A1A"/>
                <w:sz w:val="16"/>
                <w:szCs w:val="16"/>
              </w:rPr>
              <w:t xml:space="preserve">investment in</w:t>
            </w:r>
          </w:p>
          <w:p>
            <w:pPr>
              <w:pStyle w:val="Normal"/>
              <w:keepNext w:val="false"/>
              <w:spacing w:lineRule="exact" w:line="252" w:before="0" w:after="20"/>
              <w:jc w:val="left"/>
              <w:rPr/>
            </w:pPr>
            <w:r>
              <w:rPr>
                <w:b/>
                <w:bCs/>
                <w:color w:val="1A1A1A"/>
                <w:sz w:val="16"/>
                <w:szCs w:val="16"/>
              </w:rPr>
              <w:t xml:space="preserve">prevention and</w:t>
            </w:r>
          </w:p>
          <w:p>
            <w:pPr>
              <w:pStyle w:val="Normal"/>
              <w:keepNext w:val="false"/>
              <w:spacing w:lineRule="exact" w:line="252" w:before="0" w:after="20"/>
              <w:jc w:val="left"/>
              <w:rPr/>
            </w:pPr>
            <w:r>
              <w:rPr>
                <w:b/>
                <w:bCs/>
                <w:color w:val="1A1A1A"/>
                <w:sz w:val="16"/>
                <w:szCs w:val="16"/>
              </w:rPr>
              <w:t xml:space="preserve">mitigation of</w:t>
            </w:r>
          </w:p>
          <w:p>
            <w:pPr>
              <w:pStyle w:val="Normal"/>
              <w:keepNext w:val="false"/>
              <w:spacing w:lineRule="exact" w:line="252" w:before="0" w:after="20"/>
              <w:jc w:val="left"/>
              <w:rPr/>
            </w:pPr>
            <w:r>
              <w:rPr>
                <w:b/>
                <w:bCs/>
                <w:color w:val="1A1A1A"/>
                <w:sz w:val="16"/>
                <w:szCs w:val="16"/>
              </w:rPr>
              <w:t xml:space="preserve">risks in the road network.</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3. Implementation</w:t>
            </w:r>
          </w:p>
          <w:p>
            <w:pPr>
              <w:pStyle w:val="Normal"/>
              <w:keepNext w:val="false"/>
              <w:spacing w:lineRule="exact" w:line="252" w:before="0" w:after="20"/>
              <w:jc w:val="left"/>
              <w:rPr/>
            </w:pPr>
            <w:r>
              <w:rPr>
                <w:b/>
                <w:bCs/>
                <w:color w:val="1A1A1A"/>
                <w:sz w:val="16"/>
                <w:szCs w:val="16"/>
              </w:rPr>
              <w:t xml:space="preserve">of strategies</w:t>
            </w:r>
          </w:p>
          <w:p>
            <w:pPr>
              <w:pStyle w:val="Normal"/>
              <w:keepNext w:val="false"/>
              <w:spacing w:lineRule="exact" w:line="252" w:before="0" w:after="20"/>
              <w:jc w:val="left"/>
              <w:rPr/>
            </w:pPr>
            <w:r>
              <w:rPr>
                <w:b/>
                <w:bCs/>
                <w:color w:val="1A1A1A"/>
                <w:sz w:val="16"/>
                <w:szCs w:val="16"/>
              </w:rPr>
              <w:t xml:space="preserve">for detecting and preventing risk factors due to heavy rainfall and poor land management.</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4. Development of tools that facilitate the proper design of slopes and drainage for Antioquia's geography, climate and geology.</w:t>
            </w:r>
          </w:p>
        </w:tc>
      </w:tr>
      <w:tr>
        <w:trPr>
          <w:cantSplit w:val="true"/>
        </w:trPr>
        <w:tc>
          <w:tcPr>
            <w:tcW w:w="1504"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Indirect means</w:t>
            </w:r>
          </w:p>
          <w:p>
            <w:pPr>
              <w:pStyle w:val="Normal"/>
              <w:keepNext w:val="false"/>
              <w:spacing w:lineRule="exact" w:line="252" w:before="0" w:after="20"/>
              <w:jc w:val="left"/>
              <w:rPr/>
            </w:pPr>
            <w:r>
              <w:rPr>
                <w:b/>
                <w:bCs/>
                <w:color w:val="1A1A1A"/>
                <w:sz w:val="16"/>
                <w:szCs w:val="16"/>
              </w:rPr>
              <w:t xml:space="preserve">&amp; actions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1.1. Monitoring and updating of the cadastre in line with SDG 13 Indicator 13.1.3.</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1.1.1. Integration of the computer vision software with the cadastral database to update information on critical areas.</w:t>
            </w:r>
          </w:p>
          <w:p>
            <w:pPr>
              <w:pStyle w:val="Normal"/>
              <w:keepNext w:val="false"/>
              <w:spacing w:lineRule="exact" w:line="252" w:before="0" w:after="20"/>
              <w:jc w:val="left"/>
              <w:rPr/>
            </w:pPr>
            <w:r>
              <w:rPr>
                <w:b w:val="false"/>
                <w:bCs w:val="false"/>
                <w:color w:val="1A1A1A"/>
                <w:sz w:val="16"/>
                <w:szCs w:val="16"/>
              </w:rPr>
              <w:t xml:space="preserve">1.1.2. Development of an interactive dashboard to visualize geographical changes automatically.</w:t>
            </w:r>
          </w:p>
          <w:p>
            <w:pPr>
              <w:pStyle w:val="Normal"/>
              <w:keepNext w:val="false"/>
              <w:spacing w:lineRule="exact" w:line="252" w:before="0" w:after="20"/>
              <w:jc w:val="left"/>
              <w:rPr/>
            </w:pPr>
            <w:r>
              <w:rPr>
                <w:b/>
                <w:bCs/>
                <w:color w:val="1A1A1A"/>
                <w:sz w:val="16"/>
                <w:szCs w:val="16"/>
              </w:rPr>
              <w:t xml:space="preserve">1.2. Early warnings in high-risk areas, in line with Article 38 of the National Development Plan on the “strategy (…)</w:t>
            </w:r>
          </w:p>
          <w:p>
            <w:pPr>
              <w:pStyle w:val="Normal"/>
              <w:keepNext w:val="false"/>
              <w:spacing w:lineRule="exact" w:line="252" w:before="0" w:after="20"/>
              <w:jc w:val="left"/>
              <w:rPr/>
            </w:pPr>
            <w:r>
              <w:rPr>
                <w:b/>
                <w:bCs/>
                <w:color w:val="1A1A1A"/>
                <w:sz w:val="16"/>
                <w:szCs w:val="16"/>
              </w:rPr>
              <w:t xml:space="preserve">for human</w:t>
            </w:r>
          </w:p>
          <w:p>
            <w:pPr>
              <w:pStyle w:val="Normal"/>
              <w:keepNext w:val="false"/>
              <w:spacing w:lineRule="exact" w:line="252" w:before="0" w:after="20"/>
              <w:jc w:val="left"/>
              <w:rPr/>
            </w:pPr>
            <w:r>
              <w:rPr>
                <w:b/>
                <w:bCs/>
                <w:color w:val="1A1A1A"/>
                <w:sz w:val="16"/>
                <w:szCs w:val="16"/>
              </w:rPr>
              <w:t xml:space="preserve">resettlement”, and with</w:t>
            </w:r>
          </w:p>
          <w:p>
            <w:pPr>
              <w:pStyle w:val="Normal"/>
              <w:keepNext w:val="false"/>
              <w:spacing w:lineRule="exact" w:line="252" w:before="0" w:after="20"/>
              <w:jc w:val="left"/>
              <w:rPr/>
            </w:pPr>
            <w:r>
              <w:rPr>
                <w:b/>
                <w:bCs/>
                <w:color w:val="1A1A1A"/>
                <w:sz w:val="16"/>
                <w:szCs w:val="16"/>
              </w:rPr>
              <w:t xml:space="preserve">Program 3.1.1 of the departmental plan,</w:t>
            </w:r>
          </w:p>
          <w:p>
            <w:pPr>
              <w:pStyle w:val="Normal"/>
              <w:keepNext w:val="false"/>
              <w:spacing w:lineRule="exact" w:line="252" w:before="0" w:after="20"/>
              <w:jc w:val="left"/>
              <w:rPr/>
            </w:pPr>
            <w:r>
              <w:rPr>
                <w:b/>
                <w:bCs/>
                <w:color w:val="1A1A1A"/>
                <w:sz w:val="16"/>
                <w:szCs w:val="16"/>
              </w:rPr>
              <w:t xml:space="preserve">“Urbanism for development”.</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1.2.1. Risk simulations using predictive models based on neural networks.</w:t>
            </w:r>
          </w:p>
          <w:p>
            <w:pPr>
              <w:pStyle w:val="Normal"/>
              <w:keepNext w:val="false"/>
              <w:spacing w:lineRule="exact" w:line="252" w:before="0" w:after="20"/>
              <w:jc w:val="left"/>
              <w:rPr/>
            </w:pPr>
            <w:r>
              <w:rPr>
                <w:b w:val="false"/>
                <w:bCs w:val="false"/>
                <w:color w:val="1A1A1A"/>
                <w:sz w:val="16"/>
                <w:szCs w:val="16"/>
              </w:rPr>
              <w:t xml:space="preserve">1.2.2. Issuing early warnings that suggest relocations based on patterns detected by the system.</w:t>
            </w:r>
          </w:p>
          <w:p>
            <w:pPr>
              <w:pStyle w:val="Normal"/>
              <w:keepNext w:val="false"/>
              <w:spacing w:lineRule="exact" w:line="252" w:before="0" w:after="20"/>
              <w:jc w:val="left"/>
              <w:rPr/>
            </w:pPr>
            <w:r>
              <w:rPr>
                <w:b w:val="false"/>
                <w:bCs w:val="false"/>
                <w:color w:val="1A1A1A"/>
                <w:sz w:val="16"/>
                <w:szCs w:val="16"/>
              </w:rPr>
              <w:t xml:space="preserve">1.2.3. Training local authorities and communities on preventive measures based on data generated by the monitoring system.</w:t>
            </w:r>
          </w:p>
        </w:tc>
        <w:tc>
          <w:tcPr>
            <w:tcW w:w="19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2.1. Studies on maintenance needs in sections of interest.</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2.1.1. Forming a work team to evaluate the sections with the highest recurrence of mass movements according to historical records.</w:t>
            </w:r>
          </w:p>
          <w:p>
            <w:pPr>
              <w:pStyle w:val="Normal"/>
              <w:keepNext w:val="false"/>
              <w:spacing w:lineRule="exact" w:line="252" w:before="0" w:after="20"/>
              <w:jc w:val="left"/>
              <w:rPr/>
            </w:pPr>
            <w:r>
              <w:rPr>
                <w:b w:val="false"/>
                <w:bCs w:val="false"/>
                <w:color w:val="1A1A1A"/>
                <w:sz w:val="16"/>
                <w:szCs w:val="16"/>
              </w:rPr>
              <w:t xml:space="preserve">2.1.2. Study of the area using conventional geophysical techniques.</w:t>
            </w:r>
          </w:p>
          <w:p>
            <w:pPr>
              <w:pStyle w:val="Normal"/>
              <w:keepNext w:val="false"/>
              <w:spacing w:lineRule="exact" w:line="252" w:before="0" w:after="20"/>
              <w:jc w:val="left"/>
              <w:rPr/>
            </w:pPr>
            <w:r>
              <w:rPr>
                <w:b w:val="false"/>
                <w:bCs w:val="false"/>
                <w:color w:val="1A1A1A"/>
                <w:sz w:val="16"/>
                <w:szCs w:val="16"/>
              </w:rPr>
              <w:t xml:space="preserve">2.1.3. Issuing of opinions and findings by the work team with a suggested maintenance schedule.</w:t>
            </w:r>
          </w:p>
          <w:p>
            <w:pPr>
              <w:pStyle w:val="Normal"/>
              <w:keepNext w:val="false"/>
              <w:spacing w:lineRule="exact" w:line="252" w:before="0" w:after="20"/>
              <w:jc w:val="left"/>
              <w:rPr/>
            </w:pPr>
            <w:r>
              <w:rPr>
                <w:b/>
                <w:bCs/>
                <w:color w:val="1A1A1A"/>
                <w:sz w:val="16"/>
                <w:szCs w:val="16"/>
              </w:rPr>
              <w:t xml:space="preserve">2.2. Investment in monitoring the condition of road infrastructure for better maintenance.</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2.2.1. Installation of cameras and drones for routine inspection of roads and bridges.</w:t>
            </w:r>
          </w:p>
          <w:p>
            <w:pPr>
              <w:pStyle w:val="Normal"/>
              <w:keepNext w:val="false"/>
              <w:spacing w:lineRule="exact" w:line="252" w:before="0" w:after="20"/>
              <w:jc w:val="left"/>
              <w:rPr/>
            </w:pPr>
            <w:r>
              <w:rPr>
                <w:b w:val="false"/>
                <w:bCs w:val="false"/>
                <w:color w:val="1A1A1A"/>
                <w:sz w:val="16"/>
                <w:szCs w:val="16"/>
              </w:rPr>
              <w:t xml:space="preserve">2.2.2. Acquisition of satellite databases for remote monitoring of roads and bridges.</w:t>
            </w:r>
          </w:p>
          <w:p>
            <w:pPr>
              <w:pStyle w:val="Normal"/>
              <w:keepNext w:val="false"/>
              <w:spacing w:lineRule="exact" w:line="252" w:before="0" w:after="20"/>
              <w:jc w:val="left"/>
              <w:rPr/>
            </w:pPr>
            <w:r>
              <w:rPr>
                <w:b w:val="false"/>
                <w:bCs w:val="false"/>
                <w:color w:val="1A1A1A"/>
                <w:sz w:val="16"/>
                <w:szCs w:val="16"/>
              </w:rPr>
              <w:t xml:space="preserve">2.2.3. Automated diagnosis of possible structural failures using computer vision.</w:t>
            </w:r>
          </w:p>
          <w:p>
            <w:pPr>
              <w:pStyle w:val="Normal"/>
              <w:keepNext w:val="false"/>
              <w:spacing w:lineRule="exact" w:line="252" w:before="0" w:after="20"/>
              <w:jc w:val="left"/>
              <w:rPr/>
            </w:pPr>
            <w:r>
              <w:rPr>
                <w:b w:val="false"/>
                <w:bCs w:val="false"/>
                <w:color w:val="1A1A1A"/>
                <w:sz w:val="16"/>
                <w:szCs w:val="16"/>
              </w:rPr>
              <w:t xml:space="preserve">2.2.4. Integration with GIS systems to keep an up-to-date record of the condition of the road infrastructure.</w:t>
            </w:r>
          </w:p>
          <w:p>
            <w:pPr>
              <w:pStyle w:val="Normal"/>
              <w:keepNext w:val="false"/>
              <w:spacing w:lineRule="exact" w:line="252" w:before="0" w:after="20"/>
              <w:jc w:val="left"/>
              <w:rPr/>
            </w:pPr>
            <w:r>
              <w:rPr>
                <w:b/>
                <w:bCs/>
                <w:color w:val="1A1A1A"/>
                <w:sz w:val="16"/>
                <w:szCs w:val="16"/>
              </w:rPr>
              <w:t xml:space="preserve">2.3. Creation of neighborhood networks for</w:t>
            </w:r>
          </w:p>
          <w:p>
            <w:pPr>
              <w:pStyle w:val="Normal"/>
              <w:keepNext w:val="false"/>
              <w:spacing w:lineRule="exact" w:line="252" w:before="0" w:after="20"/>
              <w:jc w:val="left"/>
              <w:rPr/>
            </w:pPr>
            <w:r>
              <w:rPr>
                <w:b/>
                <w:bCs/>
                <w:color w:val="1A1A1A"/>
                <w:sz w:val="16"/>
                <w:szCs w:val="16"/>
              </w:rPr>
              <w:t xml:space="preserve">disaster</w:t>
            </w:r>
          </w:p>
          <w:p>
            <w:pPr>
              <w:pStyle w:val="Normal"/>
              <w:keepNext w:val="false"/>
              <w:spacing w:lineRule="exact" w:line="252" w:before="0" w:after="20"/>
              <w:jc w:val="left"/>
              <w:rPr/>
            </w:pPr>
            <w:r>
              <w:rPr>
                <w:b/>
                <w:bCs/>
                <w:color w:val="1A1A1A"/>
                <w:sz w:val="16"/>
                <w:szCs w:val="16"/>
              </w:rPr>
              <w:t xml:space="preserve">prevention</w:t>
            </w:r>
          </w:p>
          <w:p>
            <w:pPr>
              <w:pStyle w:val="Normal"/>
              <w:keepNext w:val="false"/>
              <w:spacing w:lineRule="exact" w:line="252" w:before="0" w:after="20"/>
              <w:jc w:val="left"/>
              <w:rPr/>
            </w:pPr>
            <w:r>
              <w:rPr>
                <w:b w:val="false"/>
                <w:bCs w:val="false"/>
                <w:color w:val="1A1A1A"/>
                <w:sz w:val="16"/>
                <w:szCs w:val="16"/>
              </w:rPr>
              <w:t xml:space="preserve">2.3.1. Together with the public sector, create warning networks among the inhabitants of the sections of interest to inform the authorities of possible imminent risks.</w:t>
            </w:r>
          </w:p>
        </w:tc>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3.1. Development of technological tools that contribute to the</w:t>
            </w:r>
          </w:p>
          <w:p>
            <w:pPr>
              <w:pStyle w:val="Normal"/>
              <w:keepNext w:val="false"/>
              <w:spacing w:lineRule="exact" w:line="252" w:before="0" w:after="20"/>
              <w:jc w:val="left"/>
              <w:rPr/>
            </w:pPr>
            <w:r>
              <w:rPr>
                <w:b/>
                <w:bCs/>
                <w:color w:val="1A1A1A"/>
                <w:sz w:val="16"/>
                <w:szCs w:val="16"/>
              </w:rPr>
              <w:t xml:space="preserve">disaster</w:t>
            </w:r>
          </w:p>
          <w:p>
            <w:pPr>
              <w:pStyle w:val="Normal"/>
              <w:keepNext w:val="false"/>
              <w:spacing w:lineRule="exact" w:line="252" w:before="0" w:after="20"/>
              <w:jc w:val="left"/>
              <w:rPr/>
            </w:pPr>
            <w:r>
              <w:rPr>
                <w:b/>
                <w:bCs/>
                <w:color w:val="1A1A1A"/>
                <w:sz w:val="16"/>
                <w:szCs w:val="16"/>
              </w:rPr>
              <w:t xml:space="preserve">prevention of disasters within the</w:t>
            </w:r>
          </w:p>
          <w:p>
            <w:pPr>
              <w:pStyle w:val="Normal"/>
              <w:keepNext w:val="false"/>
              <w:spacing w:lineRule="exact" w:line="252" w:before="0" w:after="20"/>
              <w:jc w:val="left"/>
              <w:rPr/>
            </w:pPr>
            <w:r>
              <w:rPr>
                <w:b/>
                <w:bCs/>
                <w:color w:val="1A1A1A"/>
                <w:sz w:val="16"/>
                <w:szCs w:val="16"/>
              </w:rPr>
              <w:t xml:space="preserve">framework of ISO 37179.</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3.1.1. Development of landslide detection algorithms that analyze changes in visual patterns and environmental variables.</w:t>
            </w:r>
          </w:p>
          <w:p>
            <w:pPr>
              <w:pStyle w:val="Normal"/>
              <w:keepNext w:val="false"/>
              <w:spacing w:lineRule="exact" w:line="252" w:before="0" w:after="20"/>
              <w:jc w:val="left"/>
              <w:rPr/>
            </w:pPr>
            <w:r>
              <w:rPr>
                <w:b w:val="false"/>
                <w:bCs w:val="false"/>
                <w:color w:val="1A1A1A"/>
                <w:sz w:val="16"/>
                <w:szCs w:val="16"/>
              </w:rPr>
              <w:t xml:space="preserve">3.1.2. Training of the computer vision neural-network model with historical images to improve accuracy in early risk detection.</w:t>
            </w:r>
          </w:p>
          <w:p>
            <w:pPr>
              <w:pStyle w:val="Normal"/>
              <w:keepNext w:val="false"/>
              <w:spacing w:lineRule="exact" w:line="252" w:before="0" w:after="20"/>
              <w:jc w:val="left"/>
              <w:rPr/>
            </w:pPr>
            <w:r>
              <w:rPr>
                <w:b w:val="false"/>
                <w:bCs w:val="false"/>
                <w:color w:val="1A1A1A"/>
                <w:sz w:val="16"/>
                <w:szCs w:val="16"/>
              </w:rPr>
              <w:t xml:space="preserve">3.1.3. Implementation of climate-prediction modules integrating meteorological and geological data.</w:t>
            </w:r>
          </w:p>
          <w:p>
            <w:pPr>
              <w:pStyle w:val="Normal"/>
              <w:keepNext w:val="false"/>
              <w:spacing w:lineRule="exact" w:line="252" w:before="0" w:after="20"/>
              <w:jc w:val="left"/>
              <w:rPr/>
            </w:pPr>
            <w:r>
              <w:rPr>
                <w:b/>
                <w:bCs/>
                <w:color w:val="1A1A1A"/>
                <w:sz w:val="16"/>
                <w:szCs w:val="16"/>
              </w:rPr>
              <w:t xml:space="preserve">3.2. Training producers on runoff prevention</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3.2.1. Creation of interactive tutorials and educational videos using visual data captured by the monitoring system.</w:t>
            </w:r>
          </w:p>
          <w:p>
            <w:pPr>
              <w:pStyle w:val="Normal"/>
              <w:keepNext w:val="false"/>
              <w:spacing w:lineRule="exact" w:line="252" w:before="0" w:after="20"/>
              <w:jc w:val="left"/>
              <w:rPr/>
            </w:pPr>
            <w:r>
              <w:rPr>
                <w:b w:val="false"/>
                <w:bCs w:val="false"/>
                <w:color w:val="1A1A1A"/>
                <w:sz w:val="16"/>
                <w:szCs w:val="16"/>
              </w:rPr>
              <w:t xml:space="preserve">3.2.2. Organization of local workshops presenting the analyses generated by the system.</w:t>
            </w:r>
          </w:p>
          <w:p>
            <w:pPr>
              <w:pStyle w:val="Normal"/>
              <w:keepNext w:val="false"/>
              <w:spacing w:lineRule="exact" w:line="252" w:before="0" w:after="20"/>
              <w:jc w:val="left"/>
              <w:rPr/>
            </w:pPr>
            <w:r>
              <w:rPr>
                <w:b/>
                <w:bCs/>
                <w:color w:val="1A1A1A"/>
                <w:sz w:val="16"/>
                <w:szCs w:val="16"/>
              </w:rPr>
              <w:t xml:space="preserve">3.3. Real-time</w:t>
            </w:r>
          </w:p>
          <w:p>
            <w:pPr>
              <w:pStyle w:val="Normal"/>
              <w:keepNext w:val="false"/>
              <w:spacing w:lineRule="exact" w:line="252" w:before="0" w:after="20"/>
              <w:jc w:val="left"/>
              <w:rPr/>
            </w:pPr>
            <w:r>
              <w:rPr>
                <w:b/>
                <w:bCs/>
                <w:color w:val="1A1A1A"/>
                <w:sz w:val="16"/>
                <w:szCs w:val="16"/>
              </w:rPr>
              <w:t xml:space="preserve">characterization of the condition of the</w:t>
            </w:r>
          </w:p>
          <w:p>
            <w:pPr>
              <w:pStyle w:val="Normal"/>
              <w:keepNext w:val="false"/>
              <w:spacing w:lineRule="exact" w:line="252" w:before="0" w:after="20"/>
              <w:jc w:val="left"/>
              <w:rPr/>
            </w:pPr>
            <w:r>
              <w:rPr>
                <w:b/>
                <w:bCs/>
                <w:color w:val="1A1A1A"/>
                <w:sz w:val="16"/>
                <w:szCs w:val="16"/>
              </w:rPr>
              <w:t xml:space="preserve">soils</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3.3.1. Deployment of underground sensors and cameras to measure moisture, stability and changes in soil composition.</w:t>
            </w:r>
          </w:p>
          <w:p>
            <w:pPr>
              <w:pStyle w:val="Normal"/>
              <w:keepNext w:val="false"/>
              <w:spacing w:lineRule="exact" w:line="252" w:before="0" w:after="20"/>
              <w:jc w:val="left"/>
              <w:rPr/>
            </w:pPr>
            <w:r>
              <w:rPr>
                <w:b w:val="false"/>
                <w:bCs w:val="false"/>
                <w:color w:val="1A1A1A"/>
                <w:sz w:val="16"/>
                <w:szCs w:val="16"/>
              </w:rPr>
              <w:t xml:space="preserve">3.3.2. Development of a digital platform that issues alerts based on sudden changes detected by the AI system.</w:t>
            </w:r>
          </w:p>
          <w:p>
            <w:pPr>
              <w:pStyle w:val="Normal"/>
              <w:keepNext w:val="false"/>
              <w:spacing w:lineRule="exact" w:line="252" w:before="0" w:after="20"/>
              <w:jc w:val="left"/>
              <w:rPr/>
            </w:pPr>
            <w:r>
              <w:rPr>
                <w:b w:val="false"/>
                <w:bCs w:val="false"/>
                <w:color w:val="1A1A1A"/>
                <w:sz w:val="16"/>
                <w:szCs w:val="16"/>
              </w:rPr>
              <w:t xml:space="preserve">3.3.3. Feeding public databases with findings generated in real time for use by researchers and authorities.</w:t>
            </w:r>
          </w:p>
          <w:p>
            <w:pPr>
              <w:pStyle w:val="Normal"/>
              <w:keepNext w:val="false"/>
              <w:spacing w:lineRule="exact" w:line="252" w:before="0" w:after="20"/>
              <w:jc w:val="left"/>
              <w:rPr/>
            </w:pPr>
            <w:r>
              <w:rPr>
                <w:b w:val="false"/>
                <w:bCs w:val="false"/>
                <w:color w:val="1A1A1A"/>
                <w:sz w:val="16"/>
                <w:szCs w:val="16"/>
              </w:rPr>
              <w:t xml:space="preserve">3.3.4. Comparison with the soil condition predicted by multispectral satellite instrumentation.</w:t>
            </w:r>
          </w:p>
        </w:tc>
        <w:tc>
          <w:tcPr>
            <w:tcW w:w="197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4.1. Development of risk models based on historical failure records and local geological variables that serve as a guide for slope-design decisions.</w:t>
            </w:r>
          </w:p>
          <w:p>
            <w:pPr>
              <w:pStyle w:val="Normal"/>
              <w:keepNext w:val="false"/>
              <w:spacing w:lineRule="exact" w:line="252" w:before="0" w:after="20"/>
              <w:jc w:val="left"/>
              <w:rPr/>
            </w:pPr>
            <w:r>
              <w:rPr>
                <w:b/>
                <w:bCs/>
                <w:color w:val="1A1A1A"/>
                <w:sz w:val="16"/>
                <w:szCs w:val="16"/>
              </w:rPr>
              <w:t xml:space="preserve">Actions:</w:t>
            </w:r>
          </w:p>
          <w:p>
            <w:pPr>
              <w:pStyle w:val="Normal"/>
              <w:keepNext w:val="false"/>
              <w:spacing w:lineRule="exact" w:line="252" w:before="0" w:after="20"/>
              <w:jc w:val="left"/>
              <w:rPr/>
            </w:pPr>
            <w:r>
              <w:rPr>
                <w:b w:val="false"/>
                <w:bCs w:val="false"/>
                <w:color w:val="1A1A1A"/>
                <w:sz w:val="16"/>
                <w:szCs w:val="16"/>
              </w:rPr>
              <w:t xml:space="preserve">4.1.1. Feeding the system with historical records of geological failures to improve the predictive models.</w:t>
            </w:r>
          </w:p>
          <w:p>
            <w:pPr>
              <w:pStyle w:val="Normal"/>
              <w:keepNext w:val="false"/>
              <w:spacing w:lineRule="exact" w:line="252" w:before="0" w:after="20"/>
              <w:jc w:val="left"/>
              <w:rPr/>
            </w:pPr>
            <w:r>
              <w:rPr>
                <w:b w:val="false"/>
                <w:bCs w:val="false"/>
                <w:color w:val="1A1A1A"/>
                <w:sz w:val="16"/>
                <w:szCs w:val="16"/>
              </w:rPr>
              <w:t xml:space="preserve">4.1.2. Development of visual simulations showing possible landslide scenarios.</w:t>
            </w:r>
          </w:p>
          <w:p>
            <w:pPr>
              <w:pStyle w:val="Normal"/>
              <w:keepNext w:val="false"/>
              <w:spacing w:lineRule="exact" w:line="252" w:before="0" w:after="20"/>
              <w:jc w:val="left"/>
              <w:rPr/>
            </w:pPr>
            <w:r>
              <w:rPr>
                <w:b w:val="false"/>
                <w:bCs w:val="false"/>
                <w:color w:val="1A1A1A"/>
                <w:sz w:val="16"/>
                <w:szCs w:val="16"/>
              </w:rPr>
              <w:t xml:space="preserve">4.1.3. Periodic updating of the system with the detected events to adjust the algorithms and reduce false positives.</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r>
        <w:br w:type="page"/>
      </w:r>
    </w:p>
    <w:p>
      <w:pPr>
        <w:pStyle w:val="Heading1"/>
        <w:rPr/>
      </w:pPr>
      <w:bookmarkStart w:id="50" w:name="__RefHeading___Toc7935_1931662957"/>
      <w:bookmarkEnd w:id="50"/>
      <w:r>
        <w:rPr/>
        <w:t xml:space="preserve">9. Alternatives analysis</w:t>
      </w:r>
    </w:p>
    <w:p>
      <w:pPr>
        <w:pStyle w:val="Normal"/>
        <w:spacing w:lineRule="exact" w:line="288" w:before="0" w:after="140"/>
        <w:jc w:val="both"/>
        <w:rPr/>
      </w:pPr>
      <w:r>
        <w:rPr/>
        <w:t xml:space="preserve">In this section, 4 sets of the actions presented in the objective tree are taken to form 4 alternatives focused on achieving the central objective (Table 11). These alternatives are evaluated in the selection matrix in Table 12 in order to choose one of them for the project.</w:t>
      </w:r>
    </w:p>
    <w:p>
      <w:pPr>
        <w:pStyle w:val="TableCaption"/>
        <w:keepNext w:val="true"/>
        <w:spacing w:before="200" w:after="80"/>
        <w:rPr/>
      </w:pPr>
      <w:bookmarkStart w:id="51" w:name="__RefHeading___Toc8069_1931662957"/>
      <w:bookmarkEnd w:id="51"/>
      <w:r>
        <w:rPr>
          <w:b/>
          <w:bCs/>
          <w:color w:val="1F3864"/>
        </w:rPr>
        <w:t xml:space="preserve">Table </w:t>
        <w:fldChar w:fldCharType="begin"/>
        <w:instrText xml:space="preserve"> SEQ Tabla \* ARABIC </w:instrText>
        <w:fldChar w:fldCharType="separate"/>
        <w:t xml:space="preserve">11</w:t>
        <w:fldChar w:fldCharType="end"/>
        <w:t xml:space="preserve">. </w:t>
      </w:r>
      <w:r>
        <w:rPr>
          <w:i/>
          <w:iCs/>
        </w:rPr>
        <w:t xml:space="preserve">Solution alternatives</w:t>
      </w:r>
    </w:p>
    <w:tbl>
      <w:tblPr>
        <w:tblW w:w="9406" w:type="dxa"/>
        <w:jc w:val="left"/>
        <w:tblInd w:w="0" w:type="dxa"/>
        <w:tblLayout w:type="fixed"/>
        <w:tblCellMar>
          <w:top w:w="50" w:type="dxa"/>
          <w:left w:w="80" w:type="dxa"/>
          <w:bottom w:w="50" w:type="dxa"/>
          <w:right w:w="80" w:type="dxa"/>
        </w:tblCellMar>
      </w:tblPr>
      <w:tblGrid>
        <w:gridCol w:w="3008"/>
        <w:gridCol w:w="6397"/>
      </w:tblGrid>
      <w:tr>
        <w:trPr>
          <w:tblHeader w:val="true"/>
          <w:cantSplit w:val="true"/>
        </w:trPr>
        <w:tc>
          <w:tcPr>
            <w:tcW w:w="300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Alternative name</w:t>
            </w:r>
          </w:p>
        </w:tc>
        <w:tc>
          <w:tcPr>
            <w:tcW w:w="639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Brief justification of the alternative</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Alternative 1</w:t>
            </w:r>
          </w:p>
          <w:p>
            <w:pPr>
              <w:pStyle w:val="Normal"/>
              <w:keepNext w:val="true"/>
              <w:spacing w:lineRule="exact" w:line="252" w:before="0" w:after="20"/>
              <w:jc w:val="left"/>
              <w:rPr/>
            </w:pPr>
            <w:r>
              <w:rPr>
                <w:b w:val="false"/>
                <w:bCs w:val="false"/>
                <w:color w:val="1A1A1A"/>
                <w:sz w:val="18"/>
                <w:szCs w:val="18"/>
              </w:rPr>
              <w:t xml:space="preserve">Relocation plans for the population at risk from landslides.</w:t>
            </w:r>
          </w:p>
        </w:tc>
        <w:tc>
          <w:tcPr>
            <w:tcW w:w="639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Develop a comprehensive urban resettlement program for communities in risk areas, combining investment in sustainable infrastructure with the social and economic strengthening of the relocated communities. (Actions 1.2.1, 1.2.2, 1.2.3, 4.1.1, 4.1.2 &amp; 4.1.3)</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Alternative 2</w:t>
            </w:r>
          </w:p>
          <w:p>
            <w:pPr>
              <w:pStyle w:val="Normal"/>
              <w:keepNext w:val="true"/>
              <w:spacing w:lineRule="exact" w:line="252" w:before="0" w:after="20"/>
              <w:jc w:val="left"/>
              <w:rPr/>
            </w:pPr>
            <w:r>
              <w:rPr>
                <w:b w:val="false"/>
                <w:bCs w:val="false"/>
                <w:color w:val="1A1A1A"/>
                <w:sz w:val="18"/>
                <w:szCs w:val="18"/>
              </w:rPr>
              <w:t xml:space="preserve">Geographic information monitoring system with Industry 4.0 technology for preventing natural disasters affecting road infrastructure.</w:t>
            </w:r>
          </w:p>
        </w:tc>
        <w:tc>
          <w:tcPr>
            <w:tcW w:w="639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Implement an early warning system based on computer vision for real-time predictive analysis of areas at risk of landslides. (Actions 1.1.1, 1.1.2, 2.2.1, 2.2.2, 2.2.3, 2.2.4, 3.1.1, 3.1.2, 3.1.3, 3.3.1, 3.3.2, 3.3.3, 3.3.4 &amp; 4.1.3)</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Alternative 3</w:t>
            </w:r>
          </w:p>
          <w:p>
            <w:pPr>
              <w:pStyle w:val="Normal"/>
              <w:keepNext w:val="true"/>
              <w:spacing w:lineRule="exact" w:line="252" w:before="0" w:after="20"/>
              <w:jc w:val="left"/>
              <w:rPr/>
            </w:pPr>
            <w:r>
              <w:rPr>
                <w:b w:val="false"/>
                <w:bCs w:val="false"/>
                <w:color w:val="1A1A1A"/>
                <w:sz w:val="18"/>
                <w:szCs w:val="18"/>
              </w:rPr>
              <w:t xml:space="preserve">Training for landowners on proper land and watershed management.</w:t>
            </w:r>
          </w:p>
        </w:tc>
        <w:tc>
          <w:tcPr>
            <w:tcW w:w="639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Develop a comprehensive, practical training program that teaches producers soil-management and runoff-control techniques, including terraces, live barriers and vegetation cover, together with the promotion of regenerative agricultural practices that protect hillsides and reduce erosion in areas near the road infrastructure. (Actions 3.2.1 &amp; 3.2.2)</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Alternative 4</w:t>
            </w:r>
          </w:p>
          <w:p>
            <w:pPr>
              <w:pStyle w:val="Normal"/>
              <w:keepNext w:val="false"/>
              <w:spacing w:lineRule="exact" w:line="252" w:before="0" w:after="20"/>
              <w:jc w:val="left"/>
              <w:rPr/>
            </w:pPr>
            <w:r>
              <w:rPr>
                <w:b w:val="false"/>
                <w:bCs w:val="false"/>
                <w:color w:val="1A1A1A"/>
                <w:sz w:val="18"/>
                <w:szCs w:val="18"/>
              </w:rPr>
              <w:t xml:space="preserve">Manual of historical failure records and local soil conditions to support slope and drainage design.</w:t>
            </w:r>
          </w:p>
        </w:tc>
        <w:tc>
          <w:tcPr>
            <w:tcW w:w="639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Develop a manual with historical failure records and geological information that makes it possible to recognize environmental variables and past and present risk areas, facilitating the optimal selection of locations for new projects and guiding decision-making in slope and drainage design. (Actions 1.1.1, 1.1.2, 2.3.1, 4.1.1, 4.1.2 &amp; 4.1.3)</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52" w:name="__RefHeading___Toc7937_1931662957"/>
      <w:bookmarkEnd w:id="52"/>
      <w:r>
        <w:rPr/>
        <w:t xml:space="preserve">9.1. Selection matrix</w:t>
      </w:r>
    </w:p>
    <w:p>
      <w:pPr>
        <w:pStyle w:val="Normal"/>
        <w:spacing w:lineRule="exact" w:line="288" w:before="0" w:after="140"/>
        <w:jc w:val="both"/>
        <w:rPr/>
      </w:pPr>
      <w:r>
        <w:rPr>
          <w:b/>
          <w:bCs/>
        </w:rPr>
        <w:t xml:space="preserve">Selection criteria:</w:t>
      </w:r>
      <w:r>
        <w:rPr/>
        <w:t xml:space="preserve"> The criteria used to select the solution alternative are based on the requirements for technology products, grouped into the categories of functionality, innovation, usability and stability in relation to the stakeholders of the problem. The following criteria were therefore selected by category.</w:t>
      </w:r>
    </w:p>
    <w:p>
      <w:pPr>
        <w:pStyle w:val="ListParagraph"/>
        <w:numPr>
          <w:ilvl w:val="0"/>
          <w:numId w:val="1"/>
        </w:numPr>
        <w:spacing w:lineRule="exact" w:line="276" w:before="0" w:after="80"/>
        <w:jc w:val="both"/>
        <w:rPr/>
      </w:pPr>
      <w:r>
        <w:rPr>
          <w:b/>
          <w:bCs/>
        </w:rPr>
        <w:t xml:space="preserve">Functionality:</w:t>
      </w:r>
      <w:r>
        <w:rPr/>
        <w:t xml:space="preserve"> implementation of Industry 4.0 technologies.</w:t>
      </w:r>
    </w:p>
    <w:p>
      <w:pPr>
        <w:pStyle w:val="ListParagraph"/>
        <w:numPr>
          <w:ilvl w:val="0"/>
          <w:numId w:val="1"/>
        </w:numPr>
        <w:spacing w:lineRule="exact" w:line="276" w:before="0" w:after="80"/>
        <w:jc w:val="both"/>
        <w:rPr/>
      </w:pPr>
      <w:r>
        <w:rPr>
          <w:b/>
          <w:bCs/>
        </w:rPr>
        <w:t xml:space="preserve">Innovation:</w:t>
      </w:r>
      <w:r>
        <w:rPr/>
        <w:t xml:space="preserve"> innovative component.</w:t>
      </w:r>
    </w:p>
    <w:p>
      <w:pPr>
        <w:pStyle w:val="ListParagraph"/>
        <w:numPr>
          <w:ilvl w:val="0"/>
          <w:numId w:val="1"/>
        </w:numPr>
        <w:spacing w:lineRule="exact" w:line="276" w:before="0" w:after="80"/>
        <w:jc w:val="both"/>
        <w:rPr/>
      </w:pPr>
      <w:r>
        <w:rPr>
          <w:b/>
          <w:bCs/>
        </w:rPr>
        <w:t xml:space="preserve">Usability:</w:t>
      </w:r>
      <w:r>
        <w:rPr/>
        <w:t xml:space="preserve"> impact on the population.</w:t>
      </w:r>
    </w:p>
    <w:p>
      <w:pPr>
        <w:pStyle w:val="ListParagraph"/>
        <w:numPr>
          <w:ilvl w:val="0"/>
          <w:numId w:val="1"/>
        </w:numPr>
        <w:spacing w:lineRule="exact" w:line="276" w:before="0" w:after="80"/>
        <w:jc w:val="both"/>
        <w:rPr/>
      </w:pPr>
      <w:r>
        <w:rPr>
          <w:b/>
          <w:bCs/>
        </w:rPr>
        <w:t xml:space="preserve">Stability:</w:t>
      </w:r>
      <w:r>
        <w:rPr/>
        <w:t xml:space="preserve"> commercial viability.</w:t>
      </w:r>
    </w:p>
    <w:p>
      <w:pPr>
        <w:pStyle w:val="Normal"/>
        <w:spacing w:lineRule="exact" w:line="288" w:before="0" w:after="140"/>
        <w:jc w:val="both"/>
        <w:rPr/>
      </w:pPr>
      <w:r>
        <w:rPr>
          <w:b/>
          <w:bCs/>
        </w:rPr>
        <w:t xml:space="preserve">Criteria weighting:</w:t>
      </w:r>
      <w:r>
        <w:rPr/>
        <w:t xml:space="preserve"> Each of the selection criteria described above was assigned a weight between 1 and 5 according to how closely the criterion corresponds to the Sustainable Development Goals and the territorial development plan presented in Section 2.7 (alignment with public policy), where 1 is very weakly related and 5 is strongly related.</w:t>
      </w:r>
    </w:p>
    <w:p>
      <w:pPr>
        <w:pStyle w:val="Normal"/>
        <w:spacing w:lineRule="exact" w:line="288" w:before="0" w:after="140"/>
        <w:jc w:val="both"/>
        <w:rPr/>
      </w:pPr>
      <w:r>
        <w:rPr>
          <w:b/>
          <w:bCs/>
        </w:rPr>
        <w:t xml:space="preserve">Rating:</w:t>
      </w:r>
      <w:r>
        <w:rPr/>
        <w:t xml:space="preserve"> Similarly to the criteria weighting, each solution alternative is rated against each criterion with a value between 1 and 5 that expresses how well the alternative matches the criterion with respect to the Sustainable Development Goals and the policy-aligned development plan.</w:t>
      </w:r>
    </w:p>
    <w:p>
      <w:pPr>
        <w:pStyle w:val="TableCaption"/>
        <w:keepNext w:val="true"/>
        <w:spacing w:before="200" w:after="80"/>
        <w:rPr/>
      </w:pPr>
      <w:bookmarkStart w:id="53" w:name="__RefHeading___Toc8067_1931662957"/>
      <w:bookmarkEnd w:id="53"/>
      <w:r>
        <w:rPr>
          <w:b/>
          <w:bCs/>
          <w:color w:val="1F3864"/>
        </w:rPr>
        <w:t xml:space="preserve">Table </w:t>
        <w:fldChar w:fldCharType="begin"/>
        <w:instrText xml:space="preserve"> SEQ Tabla \* ARABIC </w:instrText>
        <w:fldChar w:fldCharType="separate"/>
        <w:t xml:space="preserve">12</w:t>
        <w:fldChar w:fldCharType="end"/>
        <w:t xml:space="preserve">. </w:t>
      </w:r>
      <w:r>
        <w:rPr>
          <w:i/>
          <w:iCs/>
        </w:rPr>
        <w:t xml:space="preserve">Alternatives selection matrix</w:t>
      </w:r>
    </w:p>
    <w:tbl>
      <w:tblPr>
        <w:tblW w:w="9406" w:type="dxa"/>
        <w:jc w:val="left"/>
        <w:tblInd w:w="0" w:type="dxa"/>
        <w:tblLayout w:type="fixed"/>
        <w:tblCellMar>
          <w:top w:w="50" w:type="dxa"/>
          <w:left w:w="80" w:type="dxa"/>
          <w:bottom w:w="50" w:type="dxa"/>
          <w:right w:w="80" w:type="dxa"/>
        </w:tblCellMar>
      </w:tblPr>
      <w:tblGrid>
        <w:gridCol w:w="2257"/>
        <w:gridCol w:w="751"/>
        <w:gridCol w:w="846"/>
        <w:gridCol w:w="753"/>
        <w:gridCol w:w="845"/>
        <w:gridCol w:w="753"/>
        <w:gridCol w:w="845"/>
        <w:gridCol w:w="753"/>
        <w:gridCol w:w="845"/>
        <w:gridCol w:w="757"/>
      </w:tblGrid>
      <w:tr>
        <w:trPr>
          <w:tblHeader w:val="true"/>
          <w:cantSplit w:val="true"/>
        </w:trPr>
        <w:tc>
          <w:tcPr>
            <w:tcW w:w="225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Alternative</w:t>
            </w:r>
          </w:p>
        </w:tc>
        <w:tc>
          <w:tcPr>
            <w:tcW w:w="1597"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Industry 4.0 technologies (w = 5)</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Innovative component (w = 3)</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Impact on the population (w = 4)</w:t>
            </w:r>
          </w:p>
        </w:tc>
        <w:tc>
          <w:tcPr>
            <w:tcW w:w="1598"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Commercial viability (w = 3)</w:t>
            </w:r>
          </w:p>
        </w:tc>
        <w:tc>
          <w:tcPr>
            <w:tcW w:w="75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Total</w:t>
            </w:r>
          </w:p>
        </w:tc>
      </w:tr>
      <w:tr>
        <w:trPr>
          <w:tblHeader w:val="true"/>
          <w:cantSplit w:val="true"/>
        </w:trPr>
        <w:tc>
          <w:tcPr>
            <w:tcW w:w="225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w:t>
            </w:r>
          </w:p>
        </w:tc>
        <w:tc>
          <w:tcPr>
            <w:tcW w:w="84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 × w</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 × w</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 × w</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w:t>
            </w:r>
          </w:p>
        </w:tc>
        <w:tc>
          <w:tcPr>
            <w:tcW w:w="84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 × w</w:t>
            </w:r>
          </w:p>
        </w:tc>
        <w:tc>
          <w:tcPr>
            <w:tcW w:w="75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Alt. 1: Relocation of the population at risk</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w:t>
            </w:r>
          </w:p>
        </w:tc>
        <w:tc>
          <w:tcPr>
            <w:tcW w:w="846"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5</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bCs/>
                <w:color w:val="1A1A1A"/>
                <w:sz w:val="18"/>
                <w:szCs w:val="18"/>
              </w:rPr>
              <w:t>36</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Alt. 2: Geographic information monitoring system</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c>
          <w:tcPr>
            <w:tcW w:w="8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25</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15</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4</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16</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4</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12</w:t>
            </w:r>
          </w:p>
        </w:tc>
        <w:tc>
          <w:tcPr>
            <w:tcW w:w="757" w:type="dxa"/>
            <w:tcBorders>
              <w:top w:val="single" w:sz="4" w:space="0" w:color="BFC7D5"/>
              <w:left w:val="single" w:sz="4" w:space="0" w:color="BFC7D5"/>
              <w:bottom w:val="single" w:sz="4" w:space="0" w:color="BFC7D5"/>
              <w:right w:val="single" w:sz="4" w:space="0" w:color="BFC7D5"/>
            </w:tcBorders>
            <w:shd w:color="auto" w:fill="D9EAD3" w:val="clear"/>
          </w:tcPr>
          <w:p>
            <w:pPr>
              <w:pStyle w:val="Normal"/>
              <w:keepNext w:val="true"/>
              <w:spacing w:lineRule="exact" w:line="252" w:before="0" w:after="20"/>
              <w:jc w:val="center"/>
              <w:rPr/>
            </w:pPr>
            <w:r>
              <w:rPr>
                <w:b/>
                <w:bCs/>
                <w:color w:val="1A1A1A"/>
                <w:sz w:val="18"/>
                <w:szCs w:val="18"/>
              </w:rPr>
              <w:t>68</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Alt. 3: Soil-management training</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6"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15</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9</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2</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8</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9</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bCs/>
                <w:color w:val="1A1A1A"/>
                <w:sz w:val="18"/>
                <w:szCs w:val="18"/>
              </w:rPr>
              <w:t>41</w:t>
            </w:r>
          </w:p>
        </w:tc>
      </w:tr>
      <w:tr>
        <w:trPr>
          <w:cantSplit w:val="true"/>
        </w:trPr>
        <w:tc>
          <w:tcPr>
            <w:tcW w:w="22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Alt. 4: Manual of historical failure records</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4</w:t>
            </w:r>
          </w:p>
        </w:tc>
        <w:tc>
          <w:tcPr>
            <w:tcW w:w="8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3</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9</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1</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4</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2</w:t>
            </w:r>
          </w:p>
        </w:tc>
        <w:tc>
          <w:tcPr>
            <w:tcW w:w="84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6</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bCs/>
                <w:color w:val="1A1A1A"/>
                <w:sz w:val="18"/>
                <w:szCs w:val="18"/>
              </w:rPr>
              <w:t>39</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r: rating (1-5); w: criterion weight (1-5). Maximum possible score: 75.</w:t>
      </w:r>
    </w:p>
    <w:p>
      <w:pPr>
        <w:pStyle w:val="Normal"/>
        <w:spacing w:lineRule="exact" w:line="288" w:before="0" w:after="140"/>
        <w:jc w:val="both"/>
        <w:rPr/>
      </w:pPr>
      <w:r>
        <w:rPr/>
        <w:t xml:space="preserve">Alternative 2 obtains the highest score (68 out of 75 possible points), followed by Alternative 3 (41), Alternative 4 (39) and Alternative 1 (36). </w:t>
      </w:r>
      <w:r>
        <w:rPr>
          <w:i/>
          <w:iCs/>
        </w:rPr>
        <w:t xml:space="preserve">Correction note:</w:t>
      </w:r>
      <w:r>
        <w:rPr/>
        <w:t xml:space="preserve"> in the previous version the r × w product had been calculated with the weight of the first criterion for all columns; the totals were recalculated and the selected alternative does not change.</w:t>
      </w:r>
    </w:p>
    <w:p>
      <w:pPr>
        <w:pStyle w:val="Heading2"/>
        <w:rPr/>
      </w:pPr>
      <w:bookmarkStart w:id="54" w:name="__RefHeading___Toc7939_1931662957"/>
      <w:bookmarkEnd w:id="54"/>
      <w:r>
        <w:rPr/>
        <w:t xml:space="preserve">9.2. Reasons for discarding the other alternatives</w:t>
      </w:r>
    </w:p>
    <w:p>
      <w:pPr>
        <w:pStyle w:val="ListParagraph"/>
        <w:numPr>
          <w:ilvl w:val="0"/>
          <w:numId w:val="1"/>
        </w:numPr>
        <w:spacing w:lineRule="exact" w:line="276" w:before="0" w:after="80"/>
        <w:jc w:val="both"/>
        <w:rPr/>
      </w:pPr>
      <w:r>
        <w:rPr>
          <w:b/>
          <w:bCs/>
        </w:rPr>
        <w:t xml:space="preserve">Alternative 1 (relocation of the population):</w:t>
      </w:r>
      <w:r>
        <w:rPr/>
        <w:t xml:space="preserve"> it has a high social impact, but it is reactive, very costly, creates conflicts with residents (adversely affected parties in Table 4), does not incorporate Industry 4.0 technologies and does not protect the road infrastructure, which is the object of the technical system.</w:t>
      </w:r>
    </w:p>
    <w:p>
      <w:pPr>
        <w:pStyle w:val="ListParagraph"/>
        <w:numPr>
          <w:ilvl w:val="0"/>
          <w:numId w:val="1"/>
        </w:numPr>
        <w:spacing w:lineRule="exact" w:line="276" w:before="0" w:after="80"/>
        <w:jc w:val="both"/>
        <w:rPr/>
      </w:pPr>
      <w:r>
        <w:rPr>
          <w:b/>
          <w:bCs/>
        </w:rPr>
        <w:t xml:space="preserve">Alternative 3 (training):</w:t>
      </w:r>
      <w:r>
        <w:rPr/>
        <w:t xml:space="preserve"> it is complementary and low-cost, but its effect depends on voluntary adoption by landowners, it does not anticipate events, and its impact on the road network is indirect and hard to measure. It is therefore included as a dissemination activity (Table 19) rather than as the main solution.</w:t>
      </w:r>
    </w:p>
    <w:p>
      <w:pPr>
        <w:pStyle w:val="ListParagraph"/>
        <w:numPr>
          <w:ilvl w:val="0"/>
          <w:numId w:val="1"/>
        </w:numPr>
        <w:spacing w:lineRule="exact" w:line="276" w:before="0" w:after="80"/>
        <w:jc w:val="both"/>
        <w:rPr/>
      </w:pPr>
      <w:r>
        <w:rPr>
          <w:b/>
          <w:bCs/>
        </w:rPr>
        <w:t xml:space="preserve">Alternative 4 (manual of historical records):</w:t>
      </w:r>
      <w:r>
        <w:rPr/>
        <w:t xml:space="preserve"> it provides information for slope design, but it is a static product that is not updated in real time and does not generate alerts. Its data are integrated as an input to the Alternative 2 database.</w:t>
      </w:r>
    </w:p>
    <w:p>
      <w:pPr>
        <w:pStyle w:val="Heading2"/>
        <w:rPr/>
      </w:pPr>
      <w:bookmarkStart w:id="55" w:name="__RefHeading___Toc7941_1931662957"/>
      <w:bookmarkEnd w:id="55"/>
      <w:r>
        <w:rPr/>
        <w:t xml:space="preserve">9.3. Technical analysis of the selected alternative</w:t>
      </w:r>
    </w:p>
    <w:p>
      <w:pPr>
        <w:pStyle w:val="Normal"/>
        <w:spacing w:lineRule="exact" w:line="288" w:before="0" w:after="140"/>
        <w:jc w:val="both"/>
        <w:rPr/>
      </w:pPr>
      <w:r>
        <w:rPr/>
        <w:t xml:space="preserve">A real-time geographic monitoring system is a crucial tool for preventing and mitigating natural disasters. It integrates various technologies to collect, process and analyze geographic data in real time, enabling the early identification of patterns and anomalies that may indicate an imminent disaster.</w:t>
      </w:r>
    </w:p>
    <w:p>
      <w:pPr>
        <w:pStyle w:val="Normal"/>
        <w:spacing w:lineRule="exact" w:line="288" w:before="0" w:after="140"/>
        <w:jc w:val="both"/>
        <w:rPr/>
      </w:pPr>
      <w:r>
        <w:rPr>
          <w:b/>
          <w:bCs/>
        </w:rPr>
        <w:t xml:space="preserve">Technical characteristics:</w:t>
      </w:r>
    </w:p>
    <w:p>
      <w:pPr>
        <w:pStyle w:val="ListParagraph"/>
        <w:numPr>
          <w:ilvl w:val="0"/>
          <w:numId w:val="1"/>
        </w:numPr>
        <w:spacing w:lineRule="exact" w:line="276" w:before="0" w:after="80"/>
        <w:jc w:val="both"/>
        <w:rPr/>
      </w:pPr>
      <w:r>
        <w:rPr>
          <w:b/>
          <w:bCs/>
        </w:rPr>
        <w:t xml:space="preserve">Data collection:</w:t>
      </w:r>
      <w:r>
        <w:rPr/>
        <w:t xml:space="preserve"> geospatial data (digital maps, digital elevation models – DEM, land use) and meteorological data (NASA, SIATA, IDEAM, IGAC).</w:t>
      </w:r>
    </w:p>
    <w:p>
      <w:pPr>
        <w:pStyle w:val="ListParagraph"/>
        <w:numPr>
          <w:ilvl w:val="0"/>
          <w:numId w:val="1"/>
        </w:numPr>
        <w:spacing w:lineRule="exact" w:line="276" w:before="0" w:after="80"/>
        <w:jc w:val="both"/>
        <w:rPr/>
      </w:pPr>
      <w:r>
        <w:rPr>
          <w:b/>
          <w:bCs/>
        </w:rPr>
        <w:t xml:space="preserve">Data processing:</w:t>
      </w:r>
      <w:r>
        <w:rPr/>
        <w:t xml:space="preserve"> machine-learning algorithms and neural networks to identify patterns and trends.</w:t>
      </w:r>
    </w:p>
    <w:p>
      <w:pPr>
        <w:pStyle w:val="ListParagraph"/>
        <w:numPr>
          <w:ilvl w:val="0"/>
          <w:numId w:val="1"/>
        </w:numPr>
        <w:spacing w:lineRule="exact" w:line="276" w:before="0" w:after="80"/>
        <w:jc w:val="both"/>
        <w:rPr/>
      </w:pPr>
      <w:r>
        <w:rPr>
          <w:b/>
          <w:bCs/>
        </w:rPr>
        <w:t xml:space="preserve">Visualization:</w:t>
      </w:r>
      <w:r>
        <w:rPr/>
        <w:t xml:space="preserve"> intuitive graphical interfaces, interactive georeferenced maps and customized dashboards to monitor multiple variables in real time.</w:t>
      </w:r>
    </w:p>
    <w:p>
      <w:pPr>
        <w:pStyle w:val="ListParagraph"/>
        <w:numPr>
          <w:ilvl w:val="0"/>
          <w:numId w:val="1"/>
        </w:numPr>
        <w:spacing w:lineRule="exact" w:line="276" w:before="0" w:after="80"/>
        <w:jc w:val="both"/>
        <w:rPr/>
      </w:pPr>
      <w:r>
        <w:rPr>
          <w:b/>
          <w:bCs/>
        </w:rPr>
        <w:t xml:space="preserve">Communication:</w:t>
      </w:r>
      <w:r>
        <w:rPr/>
        <w:t xml:space="preserve"> early warning system for authorities and the population at risk, and application programming interfaces (APIs) to integrate with other information systems.</w:t>
      </w:r>
    </w:p>
    <w:p>
      <w:pPr>
        <w:pStyle w:val="Normal"/>
        <w:spacing w:lineRule="exact" w:line="288" w:before="0" w:after="140"/>
        <w:jc w:val="both"/>
        <w:rPr/>
      </w:pPr>
      <w:r>
        <w:rPr>
          <w:b/>
          <w:bCs/>
        </w:rPr>
        <w:t xml:space="preserve">Advantages:</w:t>
      </w:r>
      <w:r>
        <w:rPr/>
        <w:t xml:space="preserve"> early and accurate detection, real-time information, wide coverage, intuitive visualization, integration with other systems and process automation.</w:t>
      </w:r>
      <w:r>
        <w:br w:type="page"/>
      </w:r>
    </w:p>
    <w:p>
      <w:pPr>
        <w:pStyle w:val="Heading1"/>
        <w:rPr/>
      </w:pPr>
      <w:bookmarkStart w:id="56" w:name="__RefHeading___Toc7943_1931662957"/>
      <w:bookmarkEnd w:id="56"/>
      <w:r>
        <w:rPr/>
        <w:t xml:space="preserve">10. Objectives</w:t>
      </w:r>
    </w:p>
    <w:p>
      <w:pPr>
        <w:pStyle w:val="Heading2"/>
        <w:rPr/>
      </w:pPr>
      <w:bookmarkStart w:id="57" w:name="__RefHeading___Toc7945_1931662957"/>
      <w:bookmarkEnd w:id="57"/>
      <w:r>
        <w:rPr/>
        <w:t xml:space="preserve">10.1. General objective</w:t>
      </w:r>
    </w:p>
    <w:p>
      <w:pPr>
        <w:pStyle w:val="Normal"/>
        <w:spacing w:lineRule="exact" w:line="288" w:before="0" w:after="140"/>
        <w:jc w:val="both"/>
        <w:rPr/>
      </w:pPr>
      <w:r>
        <w:rPr/>
        <w:t xml:space="preserve">Develop a monitoring platform for collecting and analyzing geospatial and meteorological data for risk management in road infrastructure, generating early warnings through computer vision assisted by neural networks.</w:t>
      </w:r>
    </w:p>
    <w:p>
      <w:pPr>
        <w:pStyle w:val="Heading2"/>
        <w:rPr/>
      </w:pPr>
      <w:bookmarkStart w:id="58" w:name="__RefHeading___Toc7947_1931662957"/>
      <w:bookmarkEnd w:id="58"/>
      <w:r>
        <w:rPr/>
        <w:t xml:space="preserve">10.2. Specific objectives</w:t>
      </w:r>
    </w:p>
    <w:p>
      <w:pPr>
        <w:pStyle w:val="ListParagraph"/>
        <w:numPr>
          <w:ilvl w:val="0"/>
          <w:numId w:val="5"/>
        </w:numPr>
        <w:spacing w:lineRule="exact" w:line="276" w:before="0" w:after="80"/>
        <w:jc w:val="both"/>
        <w:rPr/>
      </w:pPr>
      <w:r>
        <w:rPr/>
        <w:t xml:space="preserve">Design and implement a geospatial and meteorological database capable of storing and managing data in real time to facilitate its analysis and support the monitoring platform.</w:t>
      </w:r>
    </w:p>
    <w:p>
      <w:pPr>
        <w:pStyle w:val="ListParagraph"/>
        <w:numPr>
          <w:ilvl w:val="0"/>
          <w:numId w:val="2"/>
        </w:numPr>
        <w:spacing w:lineRule="exact" w:line="276" w:before="0" w:after="80"/>
        <w:jc w:val="both"/>
        <w:rPr/>
      </w:pPr>
      <w:r>
        <w:rPr/>
        <w:t xml:space="preserve">Develop a dynamic risk matrix that integrates multiple variables (terrain stability, weather conditions, among others) to identify vulnerable areas and prioritize preventive decision-making.</w:t>
      </w:r>
    </w:p>
    <w:p>
      <w:pPr>
        <w:pStyle w:val="ListParagraph"/>
        <w:numPr>
          <w:ilvl w:val="0"/>
          <w:numId w:val="2"/>
        </w:numPr>
        <w:spacing w:lineRule="exact" w:line="276" w:before="0" w:after="80"/>
        <w:jc w:val="both"/>
        <w:rPr/>
      </w:pPr>
      <w:r>
        <w:rPr/>
        <w:t xml:space="preserve">Implement a neural-network algorithm trained to detect critical patterns and predict landslides, optimizing the accuracy of early warnings.</w:t>
      </w:r>
    </w:p>
    <w:p>
      <w:pPr>
        <w:pStyle w:val="ListParagraph"/>
        <w:numPr>
          <w:ilvl w:val="0"/>
          <w:numId w:val="2"/>
        </w:numPr>
        <w:spacing w:lineRule="exact" w:line="276" w:before="0" w:after="80"/>
        <w:jc w:val="both"/>
        <w:rPr/>
      </w:pPr>
      <w:r>
        <w:rPr/>
        <w:t xml:space="preserve">Develop and integrate a monitoring software platform that combines real-time data visualization, automatic report generation and configurable alerts to support risk management.</w:t>
      </w:r>
    </w:p>
    <w:p>
      <w:pPr>
        <w:pStyle w:val="ListParagraph"/>
        <w:numPr>
          <w:ilvl w:val="0"/>
          <w:numId w:val="2"/>
        </w:numPr>
        <w:spacing w:lineRule="exact" w:line="276" w:before="0" w:after="80"/>
        <w:jc w:val="both"/>
        <w:rPr/>
      </w:pPr>
      <w:r>
        <w:rPr/>
        <w:t xml:space="preserve">Carry out pilot tests and iterate the system with real data, adjusting the software's algorithms and functions to ensure its effectiveness and scalability in different operating contexts.</w:t>
      </w:r>
    </w:p>
    <w:p>
      <w:pPr>
        <w:pStyle w:val="ListParagraph"/>
        <w:numPr>
          <w:ilvl w:val="0"/>
          <w:numId w:val="2"/>
        </w:numPr>
        <w:spacing w:lineRule="exact" w:line="276" w:before="0" w:after="80"/>
        <w:jc w:val="both"/>
        <w:rPr/>
      </w:pPr>
      <w:r>
        <w:rPr/>
        <w:t xml:space="preserve">Generate automated reports and technical recommendations based on the analyzed information to facilitate timely decision-making by road-infrastructure and disaster-prevention managers.</w:t>
      </w:r>
    </w:p>
    <w:p>
      <w:pPr>
        <w:pStyle w:val="Heading2"/>
        <w:rPr/>
      </w:pPr>
      <w:bookmarkStart w:id="59" w:name="__RefHeading___Toc7949_1931662957"/>
      <w:bookmarkEnd w:id="59"/>
      <w:r>
        <w:rPr/>
        <w:t xml:space="preserve">10.3. Relationship between the objectives and the objective tree</w:t>
      </w:r>
    </w:p>
    <w:p>
      <w:pPr>
        <w:pStyle w:val="Normal"/>
        <w:spacing w:lineRule="exact" w:line="288" w:before="0" w:after="140"/>
        <w:jc w:val="both"/>
        <w:rPr/>
      </w:pPr>
      <w:r>
        <w:rPr/>
        <w:t xml:space="preserve">Table 13 shows how each specific objective responds to the means of the objective tree and contributes to the ends of the project; the purpose corresponds to the central objective of the tree.</w:t>
      </w:r>
    </w:p>
    <w:p>
      <w:pPr>
        <w:pStyle w:val="TableCaption"/>
        <w:keepNext w:val="true"/>
        <w:spacing w:before="200" w:after="80"/>
        <w:rPr/>
      </w:pPr>
      <w:bookmarkStart w:id="60" w:name="__RefHeading___Toc8065_1931662957"/>
      <w:bookmarkEnd w:id="60"/>
      <w:r>
        <w:rPr>
          <w:b/>
          <w:bCs/>
          <w:color w:val="1F3864"/>
        </w:rPr>
        <w:t xml:space="preserve">Table </w:t>
        <w:fldChar w:fldCharType="begin"/>
        <w:instrText xml:space="preserve"> SEQ Tabla \* ARABIC </w:instrText>
        <w:fldChar w:fldCharType="separate"/>
        <w:t xml:space="preserve">13</w:t>
        <w:fldChar w:fldCharType="end"/>
        <w:t xml:space="preserve">. </w:t>
      </w:r>
      <w:r>
        <w:rPr>
          <w:i/>
          <w:iCs/>
        </w:rPr>
        <w:t xml:space="preserve">Relationship between specific objectives, means and ends</w:t>
      </w:r>
    </w:p>
    <w:tbl>
      <w:tblPr>
        <w:tblW w:w="9406" w:type="dxa"/>
        <w:jc w:val="left"/>
        <w:tblInd w:w="0" w:type="dxa"/>
        <w:tblLayout w:type="fixed"/>
        <w:tblCellMar>
          <w:top w:w="50" w:type="dxa"/>
          <w:left w:w="80" w:type="dxa"/>
          <w:bottom w:w="50" w:type="dxa"/>
          <w:right w:w="80" w:type="dxa"/>
        </w:tblCellMar>
      </w:tblPr>
      <w:tblGrid>
        <w:gridCol w:w="3008"/>
        <w:gridCol w:w="3575"/>
        <w:gridCol w:w="2823"/>
      </w:tblGrid>
      <w:tr>
        <w:trPr>
          <w:tblHeader w:val="true"/>
          <w:cantSplit w:val="true"/>
        </w:trPr>
        <w:tc>
          <w:tcPr>
            <w:tcW w:w="300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Specific objective</w:t>
            </w:r>
          </w:p>
        </w:tc>
        <w:tc>
          <w:tcPr>
            <w:tcW w:w="35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Objective-tree means</w:t>
            </w:r>
          </w:p>
        </w:tc>
        <w:tc>
          <w:tcPr>
            <w:tcW w:w="282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End it contributes to</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1. Geospatial and meteorological database</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Means 1.1: monitoring and updating of the cadastre</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End 1: reduce risks for road users</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2. Dynamic risk matrix</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Means 4.1: risk models based on historical failure records</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End 4: conservation of road infrastructure</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3. Neural-network algorithm</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Means 3.1: technological tools for disaster prevention</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Ends 1 and 3: fewer risks and ecosystem conservation</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4. Monitoring software platform</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Means 2: smart investment in prevention and mitigation in the road network</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End 2: continuity of economic activities</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5. Pilot tests with real data</w:t>
            </w:r>
          </w:p>
        </w:tc>
        <w:tc>
          <w:tcPr>
            <w:tcW w:w="3575"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Means 3: strategies for detecting and preventing risk factors</w:t>
            </w:r>
          </w:p>
        </w:tc>
        <w:tc>
          <w:tcPr>
            <w:tcW w:w="282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End 4: conservation of road infrastructure</w:t>
            </w:r>
          </w:p>
        </w:tc>
      </w:tr>
      <w:tr>
        <w:trPr>
          <w:cantSplit w:val="true"/>
        </w:trPr>
        <w:tc>
          <w:tcPr>
            <w:tcW w:w="300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6. Technical reports and recommendations</w:t>
            </w:r>
          </w:p>
        </w:tc>
        <w:tc>
          <w:tcPr>
            <w:tcW w:w="35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Means 1: urban development planning capacity</w:t>
            </w:r>
          </w:p>
        </w:tc>
        <w:tc>
          <w:tcPr>
            <w:tcW w:w="2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Ends 1 and 2</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Purpose: increased STI capacity to predict and prevent mass movements that threaten the lives, economy and road infrastructure of Antioquia.</w:t>
      </w:r>
      <w:r>
        <w:br w:type="page"/>
      </w:r>
    </w:p>
    <w:p>
      <w:pPr>
        <w:pStyle w:val="Heading1"/>
        <w:rPr/>
      </w:pPr>
      <w:bookmarkStart w:id="61" w:name="__RefHeading___Toc7951_1931662957"/>
      <w:bookmarkEnd w:id="61"/>
      <w:r>
        <w:rPr/>
        <w:t xml:space="preserve">11. Project work breakdown structure</w:t>
      </w:r>
    </w:p>
    <w:p>
      <w:pPr>
        <w:pStyle w:val="Normal"/>
        <w:spacing w:lineRule="exact" w:line="288" w:before="0" w:after="140"/>
        <w:jc w:val="both"/>
        <w:rPr/>
      </w:pPr>
      <w:r>
        <w:rPr/>
        <w:t xml:space="preserve">The work breakdown structure (Table 14) organizes the project into four hierarchical levels: ends, purpose, components (MGA catalog products) and activities.</w:t>
      </w:r>
    </w:p>
    <w:p>
      <w:pPr>
        <w:pStyle w:val="TableCaption"/>
        <w:keepNext w:val="true"/>
        <w:spacing w:before="200" w:after="80"/>
        <w:rPr/>
      </w:pPr>
      <w:bookmarkStart w:id="62" w:name="__RefHeading___Toc8063_1931662957"/>
      <w:bookmarkEnd w:id="62"/>
      <w:r>
        <w:rPr>
          <w:b/>
          <w:bCs/>
          <w:color w:val="1F3864"/>
        </w:rPr>
        <w:t xml:space="preserve">Table </w:t>
        <w:fldChar w:fldCharType="begin"/>
        <w:instrText xml:space="preserve"> SEQ Tabla \* ARABIC </w:instrText>
        <w:fldChar w:fldCharType="separate"/>
        <w:t xml:space="preserve">14</w:t>
        <w:fldChar w:fldCharType="end"/>
        <w:t xml:space="preserve">. </w:t>
      </w:r>
      <w:r>
        <w:rPr>
          <w:i/>
          <w:iCs/>
        </w:rPr>
        <w:t xml:space="preserve">Project work breakdown structure</w:t>
      </w:r>
    </w:p>
    <w:tbl>
      <w:tblPr>
        <w:tblW w:w="9406" w:type="dxa"/>
        <w:jc w:val="left"/>
        <w:tblInd w:w="0" w:type="dxa"/>
        <w:tblLayout w:type="fixed"/>
        <w:tblCellMar>
          <w:top w:w="50" w:type="dxa"/>
          <w:left w:w="80" w:type="dxa"/>
          <w:bottom w:w="50" w:type="dxa"/>
          <w:right w:w="80" w:type="dxa"/>
        </w:tblCellMar>
      </w:tblPr>
      <w:tblGrid>
        <w:gridCol w:w="1221"/>
        <w:gridCol w:w="1363"/>
        <w:gridCol w:w="1363"/>
        <w:gridCol w:w="1363"/>
        <w:gridCol w:w="1363"/>
        <w:gridCol w:w="1364"/>
        <w:gridCol w:w="1368"/>
      </w:tblGrid>
      <w:tr>
        <w:trPr>
          <w:tblHeader w:val="true"/>
          <w:cantSplit w:val="true"/>
        </w:trPr>
        <w:tc>
          <w:tcPr>
            <w:tcW w:w="12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Level</w:t>
            </w:r>
          </w:p>
        </w:tc>
        <w:tc>
          <w:tcPr>
            <w:tcW w:w="8184" w:type="dxa"/>
            <w:gridSpan w:val="6"/>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Content</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Ends</w:t>
            </w:r>
          </w:p>
        </w:tc>
        <w:tc>
          <w:tcPr>
            <w:tcW w:w="8184" w:type="dxa"/>
            <w:gridSpan w:val="6"/>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Reduce risks for road users · Continuity of the communities' economic activities · Ecosystem conservation · Conservation of road infrastructure</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Purpose</w:t>
            </w:r>
          </w:p>
        </w:tc>
        <w:tc>
          <w:tcPr>
            <w:tcW w:w="8184" w:type="dxa"/>
            <w:gridSpan w:val="6"/>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Increased STI capacity to predict and prevent mass movements that threaten the lives, economy and road infrastructure of Antioquia</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Specific objectives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Geospatial and meteorological database</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 Dynamic risk matrix</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 Neural-network algorithm</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4. Monitoring software platform</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5. Pilot tests and iteration</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6. Technical reports and recommendations</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Components (MGA products)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390200103 – Information services for implementation</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020700901 – Monitoring service for risk management</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390300205 – Support service for technological development and innovation</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230208601 – Information services for the Digital Government Strategy</w:t>
            </w:r>
          </w:p>
          <w:p>
            <w:pPr>
              <w:pStyle w:val="Normal"/>
              <w:keepNext w:val="false"/>
              <w:spacing w:lineRule="exact" w:line="252" w:before="0" w:after="20"/>
              <w:jc w:val="left"/>
              <w:rPr/>
            </w:pPr>
            <w:r>
              <w:rPr>
                <w:b w:val="false"/>
                <w:bCs w:val="false"/>
                <w:color w:val="1A1A1A"/>
                <w:sz w:val="16"/>
                <w:szCs w:val="16"/>
              </w:rPr>
              <w:t xml:space="preserve">390300504 – Support service for knowledge and technology transfer</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390100705 – Information services for STI</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320400601 – Real-time forecast and alert information service</w:t>
            </w:r>
          </w:p>
        </w:tc>
      </w:tr>
      <w:tr>
        <w:trPr>
          <w:cantSplit w:val="true"/>
        </w:trPr>
        <w:tc>
          <w:tcPr>
            <w:tcW w:w="1221" w:type="dxa"/>
            <w:tcBorders>
              <w:top w:val="single" w:sz="4" w:space="0" w:color="BFC7D5"/>
              <w:left w:val="single" w:sz="4" w:space="0" w:color="BFC7D5"/>
              <w:bottom w:val="single" w:sz="4" w:space="0" w:color="BFC7D5"/>
              <w:right w:val="single" w:sz="4" w:space="0" w:color="BFC7D5"/>
            </w:tcBorders>
            <w:shd w:color="auto" w:fill="DCE3EE" w:val="clear"/>
          </w:tcPr>
          <w:p>
            <w:pPr>
              <w:pStyle w:val="Normal"/>
              <w:keepNext w:val="false"/>
              <w:spacing w:lineRule="exact" w:line="252" w:before="0" w:after="20"/>
              <w:jc w:val="left"/>
              <w:rPr/>
            </w:pPr>
            <w:r>
              <w:rPr>
                <w:b/>
                <w:bCs/>
                <w:color w:val="1A1A1A"/>
                <w:sz w:val="16"/>
                <w:szCs w:val="16"/>
              </w:rPr>
              <w:t xml:space="preserve">Activities</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1.1 Requirements analysis</w:t>
            </w:r>
          </w:p>
          <w:p>
            <w:pPr>
              <w:pStyle w:val="Normal"/>
              <w:keepNext w:val="false"/>
              <w:spacing w:lineRule="exact" w:line="252" w:before="0" w:after="20"/>
              <w:jc w:val="left"/>
              <w:rPr/>
            </w:pPr>
            <w:r>
              <w:rPr>
                <w:b w:val="false"/>
                <w:bCs w:val="false"/>
                <w:color w:val="1A1A1A"/>
                <w:sz w:val="16"/>
                <w:szCs w:val="16"/>
              </w:rPr>
              <w:t xml:space="preserve">1.2 Database design</w:t>
            </w:r>
          </w:p>
          <w:p>
            <w:pPr>
              <w:pStyle w:val="Normal"/>
              <w:keepNext w:val="false"/>
              <w:spacing w:lineRule="exact" w:line="252" w:before="0" w:after="20"/>
              <w:jc w:val="left"/>
              <w:rPr/>
            </w:pPr>
            <w:r>
              <w:rPr>
                <w:b w:val="false"/>
                <w:bCs w:val="false"/>
                <w:color w:val="1A1A1A"/>
                <w:sz w:val="16"/>
                <w:szCs w:val="16"/>
              </w:rPr>
              <w:t xml:space="preserve">1.3 Configuration</w:t>
            </w:r>
          </w:p>
          <w:p>
            <w:pPr>
              <w:pStyle w:val="Normal"/>
              <w:keepNext w:val="false"/>
              <w:spacing w:lineRule="exact" w:line="252" w:before="0" w:after="20"/>
              <w:jc w:val="left"/>
              <w:rPr/>
            </w:pPr>
            <w:r>
              <w:rPr>
                <w:b w:val="false"/>
                <w:bCs w:val="false"/>
                <w:color w:val="1A1A1A"/>
                <w:sz w:val="16"/>
                <w:szCs w:val="16"/>
              </w:rPr>
              <w:t xml:space="preserve">1.4 Data migration</w:t>
            </w:r>
          </w:p>
          <w:p>
            <w:pPr>
              <w:pStyle w:val="Normal"/>
              <w:keepNext w:val="false"/>
              <w:spacing w:lineRule="exact" w:line="252" w:before="0" w:after="20"/>
              <w:jc w:val="left"/>
              <w:rPr/>
            </w:pPr>
            <w:r>
              <w:rPr>
                <w:b w:val="false"/>
                <w:bCs w:val="false"/>
                <w:color w:val="1A1A1A"/>
                <w:sz w:val="16"/>
                <w:szCs w:val="16"/>
              </w:rPr>
              <w:t xml:space="preserve">1.5 Testing</w:t>
            </w:r>
          </w:p>
          <w:p>
            <w:pPr>
              <w:pStyle w:val="Normal"/>
              <w:keepNext w:val="false"/>
              <w:spacing w:lineRule="exact" w:line="252" w:before="0" w:after="20"/>
              <w:jc w:val="left"/>
              <w:rPr/>
            </w:pPr>
            <w:r>
              <w:rPr>
                <w:b w:val="false"/>
                <w:bCs w:val="false"/>
                <w:color w:val="1A1A1A"/>
                <w:sz w:val="16"/>
                <w:szCs w:val="16"/>
              </w:rPr>
              <w:t xml:space="preserve">1.6 Documentation</w:t>
            </w:r>
          </w:p>
          <w:p>
            <w:pPr>
              <w:pStyle w:val="Normal"/>
              <w:keepNext w:val="false"/>
              <w:spacing w:lineRule="exact" w:line="252" w:before="0" w:after="20"/>
              <w:jc w:val="left"/>
              <w:rPr/>
            </w:pPr>
            <w:r>
              <w:rPr>
                <w:b w:val="false"/>
                <w:bCs w:val="false"/>
                <w:color w:val="1A1A1A"/>
                <w:sz w:val="16"/>
                <w:szCs w:val="16"/>
              </w:rPr>
              <w:t xml:space="preserve">1.7 Deployment and maintenance</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2.1 Definition of context and parameters</w:t>
            </w:r>
          </w:p>
          <w:p>
            <w:pPr>
              <w:pStyle w:val="Normal"/>
              <w:keepNext w:val="false"/>
              <w:spacing w:lineRule="exact" w:line="252" w:before="0" w:after="20"/>
              <w:jc w:val="left"/>
              <w:rPr/>
            </w:pPr>
            <w:r>
              <w:rPr>
                <w:b w:val="false"/>
                <w:bCs w:val="false"/>
                <w:color w:val="1A1A1A"/>
                <w:sz w:val="16"/>
                <w:szCs w:val="16"/>
              </w:rPr>
              <w:t xml:space="preserve">2.2 Risk assessment</w:t>
            </w:r>
          </w:p>
          <w:p>
            <w:pPr>
              <w:pStyle w:val="Normal"/>
              <w:keepNext w:val="false"/>
              <w:spacing w:lineRule="exact" w:line="252" w:before="0" w:after="20"/>
              <w:jc w:val="left"/>
              <w:rPr/>
            </w:pPr>
            <w:r>
              <w:rPr>
                <w:b w:val="false"/>
                <w:bCs w:val="false"/>
                <w:color w:val="1A1A1A"/>
                <w:sz w:val="16"/>
                <w:szCs w:val="16"/>
              </w:rPr>
              <w:t xml:space="preserve">2.3 Risk treatment</w:t>
            </w:r>
          </w:p>
          <w:p>
            <w:pPr>
              <w:pStyle w:val="Normal"/>
              <w:keepNext w:val="false"/>
              <w:spacing w:lineRule="exact" w:line="252" w:before="0" w:after="20"/>
              <w:jc w:val="left"/>
              <w:rPr/>
            </w:pPr>
            <w:r>
              <w:rPr>
                <w:b w:val="false"/>
                <w:bCs w:val="false"/>
                <w:color w:val="1A1A1A"/>
                <w:sz w:val="16"/>
                <w:szCs w:val="16"/>
              </w:rPr>
              <w:t xml:space="preserve">2.4 Implementation in the monitoring cycle</w:t>
            </w:r>
          </w:p>
          <w:p>
            <w:pPr>
              <w:pStyle w:val="Normal"/>
              <w:keepNext w:val="false"/>
              <w:spacing w:lineRule="exact" w:line="252" w:before="0" w:after="20"/>
              <w:jc w:val="left"/>
              <w:rPr/>
            </w:pPr>
            <w:r>
              <w:rPr>
                <w:b w:val="false"/>
                <w:bCs w:val="false"/>
                <w:color w:val="1A1A1A"/>
                <w:sz w:val="16"/>
                <w:szCs w:val="16"/>
              </w:rPr>
              <w:t xml:space="preserve">2.5 Communication and consultation</w:t>
            </w:r>
          </w:p>
          <w:p>
            <w:pPr>
              <w:pStyle w:val="Normal"/>
              <w:keepNext w:val="false"/>
              <w:spacing w:lineRule="exact" w:line="252" w:before="0" w:after="20"/>
              <w:jc w:val="left"/>
              <w:rPr/>
            </w:pPr>
            <w:r>
              <w:rPr>
                <w:b w:val="false"/>
                <w:bCs w:val="false"/>
                <w:color w:val="1A1A1A"/>
                <w:sz w:val="16"/>
                <w:szCs w:val="16"/>
              </w:rPr>
              <w:t xml:space="preserve">2.6 Recording and reporting</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3.1 Algorithm training</w:t>
            </w:r>
          </w:p>
          <w:p>
            <w:pPr>
              <w:pStyle w:val="Normal"/>
              <w:keepNext w:val="false"/>
              <w:spacing w:lineRule="exact" w:line="252" w:before="0" w:after="20"/>
              <w:jc w:val="left"/>
              <w:rPr/>
            </w:pPr>
            <w:r>
              <w:rPr>
                <w:b w:val="false"/>
                <w:bCs w:val="false"/>
                <w:color w:val="1A1A1A"/>
                <w:sz w:val="16"/>
                <w:szCs w:val="16"/>
              </w:rPr>
              <w:t xml:space="preserve">3.2 Validation</w:t>
            </w:r>
          </w:p>
          <w:p>
            <w:pPr>
              <w:pStyle w:val="Normal"/>
              <w:keepNext w:val="false"/>
              <w:spacing w:lineRule="exact" w:line="252" w:before="0" w:after="20"/>
              <w:jc w:val="left"/>
              <w:rPr/>
            </w:pPr>
            <w:r>
              <w:rPr>
                <w:b w:val="false"/>
                <w:bCs w:val="false"/>
                <w:color w:val="1A1A1A"/>
                <w:sz w:val="16"/>
                <w:szCs w:val="16"/>
              </w:rPr>
              <w:t xml:space="preserve">3.3 Implementation on the platform</w:t>
            </w:r>
          </w:p>
        </w:tc>
        <w:tc>
          <w:tcPr>
            <w:tcW w:w="13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4.1 Requirements gathering</w:t>
            </w:r>
          </w:p>
          <w:p>
            <w:pPr>
              <w:pStyle w:val="Normal"/>
              <w:keepNext w:val="false"/>
              <w:spacing w:lineRule="exact" w:line="252" w:before="0" w:after="20"/>
              <w:jc w:val="left"/>
              <w:rPr/>
            </w:pPr>
            <w:r>
              <w:rPr>
                <w:b w:val="false"/>
                <w:bCs w:val="false"/>
                <w:color w:val="1A1A1A"/>
                <w:sz w:val="16"/>
                <w:szCs w:val="16"/>
              </w:rPr>
              <w:t xml:space="preserve">4.2 Design</w:t>
            </w:r>
          </w:p>
          <w:p>
            <w:pPr>
              <w:pStyle w:val="Normal"/>
              <w:keepNext w:val="false"/>
              <w:spacing w:lineRule="exact" w:line="252" w:before="0" w:after="20"/>
              <w:jc w:val="left"/>
              <w:rPr/>
            </w:pPr>
            <w:r>
              <w:rPr>
                <w:b w:val="false"/>
                <w:bCs w:val="false"/>
                <w:color w:val="1A1A1A"/>
                <w:sz w:val="16"/>
                <w:szCs w:val="16"/>
              </w:rPr>
              <w:t xml:space="preserve">4.3 Software development</w:t>
            </w:r>
          </w:p>
          <w:p>
            <w:pPr>
              <w:pStyle w:val="Normal"/>
              <w:keepNext w:val="false"/>
              <w:spacing w:lineRule="exact" w:line="252" w:before="0" w:after="20"/>
              <w:jc w:val="left"/>
              <w:rPr/>
            </w:pPr>
            <w:r>
              <w:rPr>
                <w:b w:val="false"/>
                <w:bCs w:val="false"/>
                <w:color w:val="1A1A1A"/>
                <w:sz w:val="16"/>
                <w:szCs w:val="16"/>
              </w:rPr>
              <w:t xml:space="preserve">4.4 Integration</w:t>
            </w:r>
          </w:p>
          <w:p>
            <w:pPr>
              <w:pStyle w:val="Normal"/>
              <w:keepNext w:val="false"/>
              <w:spacing w:lineRule="exact" w:line="252" w:before="0" w:after="20"/>
              <w:jc w:val="left"/>
              <w:rPr/>
            </w:pPr>
            <w:r>
              <w:rPr>
                <w:b w:val="false"/>
                <w:bCs w:val="false"/>
                <w:color w:val="1A1A1A"/>
                <w:sz w:val="16"/>
                <w:szCs w:val="16"/>
              </w:rPr>
              <w:t xml:space="preserve">4.5 Adjustments</w:t>
            </w:r>
          </w:p>
        </w:tc>
        <w:tc>
          <w:tcPr>
            <w:tcW w:w="136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5.1 Test planning</w:t>
            </w:r>
          </w:p>
          <w:p>
            <w:pPr>
              <w:pStyle w:val="Normal"/>
              <w:keepNext w:val="false"/>
              <w:spacing w:lineRule="exact" w:line="252" w:before="0" w:after="20"/>
              <w:jc w:val="left"/>
              <w:rPr/>
            </w:pPr>
            <w:r>
              <w:rPr>
                <w:b w:val="false"/>
                <w:bCs w:val="false"/>
                <w:color w:val="1A1A1A"/>
                <w:sz w:val="16"/>
                <w:szCs w:val="16"/>
              </w:rPr>
              <w:t xml:space="preserve">5.2 Execution</w:t>
            </w:r>
          </w:p>
          <w:p>
            <w:pPr>
              <w:pStyle w:val="Normal"/>
              <w:keepNext w:val="false"/>
              <w:spacing w:lineRule="exact" w:line="252" w:before="0" w:after="20"/>
              <w:jc w:val="left"/>
              <w:rPr/>
            </w:pPr>
            <w:r>
              <w:rPr>
                <w:b w:val="false"/>
                <w:bCs w:val="false"/>
                <w:color w:val="1A1A1A"/>
                <w:sz w:val="16"/>
                <w:szCs w:val="16"/>
              </w:rPr>
              <w:t xml:space="preserve">5.3 Iteration and optimization</w:t>
            </w:r>
          </w:p>
          <w:p>
            <w:pPr>
              <w:pStyle w:val="Normal"/>
              <w:keepNext w:val="false"/>
              <w:spacing w:lineRule="exact" w:line="252" w:before="0" w:after="20"/>
              <w:jc w:val="left"/>
              <w:rPr/>
            </w:pPr>
            <w:r>
              <w:rPr>
                <w:b w:val="false"/>
                <w:bCs w:val="false"/>
                <w:color w:val="1A1A1A"/>
                <w:sz w:val="16"/>
                <w:szCs w:val="16"/>
              </w:rPr>
              <w:t xml:space="preserve">5.4 Final validation</w:t>
            </w:r>
          </w:p>
          <w:p>
            <w:pPr>
              <w:pStyle w:val="Normal"/>
              <w:keepNext w:val="false"/>
              <w:spacing w:lineRule="exact" w:line="252" w:before="0" w:after="20"/>
              <w:jc w:val="left"/>
              <w:rPr/>
            </w:pPr>
            <w:r>
              <w:rPr>
                <w:b w:val="false"/>
                <w:bCs w:val="false"/>
                <w:color w:val="1A1A1A"/>
                <w:sz w:val="16"/>
                <w:szCs w:val="16"/>
              </w:rPr>
              <w:t xml:space="preserve">5.5 Training for DAGRAN</w:t>
            </w:r>
          </w:p>
          <w:p>
            <w:pPr>
              <w:pStyle w:val="Normal"/>
              <w:keepNext w:val="false"/>
              <w:spacing w:lineRule="exact" w:line="252" w:before="0" w:after="20"/>
              <w:jc w:val="left"/>
              <w:rPr/>
            </w:pPr>
            <w:r>
              <w:rPr>
                <w:b w:val="false"/>
                <w:bCs w:val="false"/>
                <w:color w:val="1A1A1A"/>
                <w:sz w:val="16"/>
                <w:szCs w:val="16"/>
              </w:rPr>
              <w:t xml:space="preserve">5.6 Presentation to authorities</w:t>
            </w:r>
          </w:p>
        </w:tc>
        <w:tc>
          <w:tcPr>
            <w:tcW w:w="136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6.1 Logical report commands</w:t>
            </w:r>
          </w:p>
          <w:p>
            <w:pPr>
              <w:pStyle w:val="Normal"/>
              <w:keepNext w:val="false"/>
              <w:spacing w:lineRule="exact" w:line="252" w:before="0" w:after="20"/>
              <w:jc w:val="left"/>
              <w:rPr/>
            </w:pPr>
            <w:r>
              <w:rPr>
                <w:b w:val="false"/>
                <w:bCs w:val="false"/>
                <w:color w:val="1A1A1A"/>
                <w:sz w:val="16"/>
                <w:szCs w:val="16"/>
              </w:rPr>
              <w:t xml:space="preserve">6.2 Conference presentation</w:t>
            </w:r>
          </w:p>
          <w:p>
            <w:pPr>
              <w:pStyle w:val="Normal"/>
              <w:keepNext w:val="false"/>
              <w:spacing w:lineRule="exact" w:line="252" w:before="0" w:after="20"/>
              <w:jc w:val="left"/>
              <w:rPr/>
            </w:pPr>
            <w:r>
              <w:rPr>
                <w:b w:val="false"/>
                <w:bCs w:val="false"/>
                <w:color w:val="1A1A1A"/>
                <w:sz w:val="16"/>
                <w:szCs w:val="16"/>
              </w:rPr>
              <w:t xml:space="preserve">6.3 Awareness campaign</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Details of tasks, responsible parties and means of verification are in Table 16, and the schedule in Table 20.</w:t>
      </w:r>
    </w:p>
    <w:p>
      <w:pPr>
        <w:pStyle w:val="Heading2"/>
        <w:rPr/>
      </w:pPr>
      <w:bookmarkStart w:id="63" w:name="__RefHeading___Toc7953_1931662957"/>
      <w:bookmarkEnd w:id="63"/>
      <w:r>
        <w:rPr/>
        <w:t xml:space="preserve">11.1. Expected products</w:t>
      </w:r>
    </w:p>
    <w:p>
      <w:pPr>
        <w:pStyle w:val="Normal"/>
        <w:spacing w:lineRule="exact" w:line="288" w:before="0" w:after="140"/>
        <w:jc w:val="both"/>
        <w:rPr/>
      </w:pPr>
      <w:r>
        <w:rPr/>
        <w:t xml:space="preserve">Table 15 below shows the products expected from this project, how and by what parameter their successful achievement will be measured, and their indicators according to the DNP product catalog attached to the formulated proposal. The main product, the software platform combining the monitoring algorithm, corresponds to product 390300205 of the Science, Technology and Innovation sector, which covers any verified and certified technological product, notably software. In addition, its final display in an interface combining all the proposed functions promises a product aligned with code 230208601 of the Information and Communication Technologies sector. This product is mainly supported by a geospatial and meteorological database corresponding to product 390200103 “Information services for implementation”, also from the STI sector, verified by the number of databases created for experimental projects, in this case one. In addition, the algorithm will feed a risk matrix (product 020700901, “Disaster risk prevention and mitigation”, from the Presidency sector) from which the status of the monitored areas will be issued as bulletins and, when necessary, alerts and forecasts (product 320400601, “Real-time forecast and alert information service”, from the Environment and Sustainable Development sector).</w:t>
      </w:r>
    </w:p>
    <w:p>
      <w:pPr>
        <w:pStyle w:val="Normal"/>
        <w:spacing w:lineRule="exact" w:line="288" w:before="0" w:after="140"/>
        <w:jc w:val="both"/>
        <w:rPr/>
      </w:pPr>
      <w:r>
        <w:rPr/>
        <w:t xml:space="preserve">Finally, the successful execution of these products and services requires additional products that certify the quality of the deliverables and protect the intellectual property produced. For this, reports will be produced under product 390100705 “Information services for STI”, measured by the Digital Government Index, a measure that identifies good implementation practices, opportunities for improvement and targeted support strategies. It is calculated from the data collected through the Single Management Progress Report Form (FURAG) and then applying an Item Response Theory model known as the Graded Response Model (GRM) (MinTIC, 2022).</w:t>
      </w:r>
    </w:p>
    <w:p>
      <w:pPr>
        <w:pStyle w:val="Normal"/>
        <w:spacing w:lineRule="exact" w:line="288" w:before="0" w:after="140"/>
        <w:jc w:val="both"/>
        <w:rPr/>
      </w:pPr>
      <w:r>
        <w:rPr/>
        <w:t xml:space="preserve">To protect the authorship of the main product, the platform, product 390300504 “Support service for knowledge and technology transfer” is needed, which “comprises a set of actions carried out by different institutions for the development, exploitation, use, modification and dissemination of new technologies and innovations. It is supported by in-house or externally generated methodologies, tools and/or techniques related to improving productivity and operational efficiency. It also includes support for companies resulting from research + creation that are innovative and of high added value, especially those that can be protected by Intellectual Property rights.”</w:t>
      </w:r>
    </w:p>
    <w:p>
      <w:pPr>
        <w:pStyle w:val="TableCaption"/>
        <w:keepNext w:val="true"/>
        <w:spacing w:before="200" w:after="80"/>
        <w:rPr/>
      </w:pPr>
      <w:bookmarkStart w:id="64" w:name="__RefHeading___Toc8061_1931662957"/>
      <w:bookmarkEnd w:id="64"/>
      <w:r>
        <w:rPr>
          <w:b/>
          <w:bCs/>
          <w:color w:val="1F3864"/>
        </w:rPr>
        <w:t xml:space="preserve">Table </w:t>
        <w:fldChar w:fldCharType="begin"/>
        <w:instrText xml:space="preserve"> SEQ Tabla \* ARABIC </w:instrText>
        <w:fldChar w:fldCharType="separate"/>
        <w:t xml:space="preserve">15</w:t>
        <w:fldChar w:fldCharType="end"/>
        <w:t xml:space="preserve">. </w:t>
      </w:r>
      <w:r>
        <w:rPr>
          <w:i/>
          <w:iCs/>
        </w:rPr>
        <w:t xml:space="preserve">Expected products (MGA product catalog)</w:t>
      </w:r>
    </w:p>
    <w:tbl>
      <w:tblPr>
        <w:tblW w:w="9406" w:type="dxa"/>
        <w:jc w:val="left"/>
        <w:tblInd w:w="0" w:type="dxa"/>
        <w:tblLayout w:type="fixed"/>
        <w:tblCellMar>
          <w:top w:w="50" w:type="dxa"/>
          <w:left w:w="80" w:type="dxa"/>
          <w:bottom w:w="50" w:type="dxa"/>
          <w:right w:w="80" w:type="dxa"/>
        </w:tblCellMar>
      </w:tblPr>
      <w:tblGrid>
        <w:gridCol w:w="1127"/>
        <w:gridCol w:w="2821"/>
        <w:gridCol w:w="1881"/>
        <w:gridCol w:w="2633"/>
        <w:gridCol w:w="944"/>
      </w:tblGrid>
      <w:tr>
        <w:trPr>
          <w:tblHeader w:val="true"/>
          <w:cantSplit w:val="true"/>
        </w:trPr>
        <w:tc>
          <w:tcPr>
            <w:tcW w:w="112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Code</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Product</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Measured through</w:t>
            </w:r>
          </w:p>
        </w:tc>
        <w:tc>
          <w:tcPr>
            <w:tcW w:w="263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Product indicator</w:t>
            </w:r>
          </w:p>
        </w:tc>
        <w:tc>
          <w:tcPr>
            <w:tcW w:w="94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Target</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390300205</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Support service for technological development and innovation</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Number of information systems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Information systems updated</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390300504</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Support service for knowledge and technology transfer.</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Number of organizations.</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Licensing of intellectual property assets.</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020700901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Monitoring service for risk management</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Number of bulletins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Monitored coverage (for hydrological, meteorological and climatic phenomena)</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4</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230208601</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Information services for the implementation of the Digital Government Strategy</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Number of technological tools</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Digital Government technological tools created</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5</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320400601</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Real-time forecast and alert information service.</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Number of reports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Forecast and alert reports generated.</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 xml:space="preserve">X&gt;1 per hour</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390100705</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Information services for STI.</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Online Government Index score</w:t>
            </w:r>
          </w:p>
        </w:tc>
        <w:tc>
          <w:tcPr>
            <w:tcW w:w="263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Functional and non-functional test reports completed.</w:t>
            </w:r>
          </w:p>
        </w:tc>
        <w:tc>
          <w:tcPr>
            <w:tcW w:w="94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1</w:t>
            </w:r>
          </w:p>
        </w:tc>
      </w:tr>
      <w:tr>
        <w:trPr>
          <w:cantSplit w:val="true"/>
        </w:trPr>
        <w:tc>
          <w:tcPr>
            <w:tcW w:w="11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390200103</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Financial support service for generating new knowledge</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Number of databases</w:t>
            </w:r>
          </w:p>
        </w:tc>
        <w:tc>
          <w:tcPr>
            <w:tcW w:w="263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Projects funded for experimental development</w:t>
            </w:r>
          </w:p>
        </w:tc>
        <w:tc>
          <w:tcPr>
            <w:tcW w:w="94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8"/>
                <w:szCs w:val="18"/>
              </w:rPr>
              <w:t>1</w:t>
            </w:r>
          </w:p>
        </w:tc>
      </w:tr>
    </w:tbl>
    <w:p>
      <w:pPr>
        <w:sectPr>
          <w:headerReference w:type="default" r:id="rId13"/>
          <w:headerReference w:type="first" r:id="rId14"/>
          <w:footerReference w:type="default" r:id="rId15"/>
          <w:footerReference w:type="first" r:id="rId16"/>
          <w:type w:val="nextPage"/>
          <w:pgSz w:w="12240" w:h="15840"/>
          <w:pgMar w:left="1417" w:right="1417" w:gutter="0" w:header="708" w:top="1417" w:footer="708" w:bottom="1417"/>
          <w:pgNumType w:start="1"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 based on the DNP product catalog.</w:t>
      </w:r>
    </w:p>
    <w:p>
      <w:pPr>
        <w:pStyle w:val="Heading1"/>
        <w:rPr/>
      </w:pPr>
      <w:bookmarkStart w:id="65" w:name="__RefHeading___Toc7955_1931662957"/>
      <w:bookmarkEnd w:id="65"/>
      <w:r>
        <w:rPr/>
        <w:t xml:space="preserve">12. Methodology</w:t>
      </w:r>
    </w:p>
    <w:p>
      <w:pPr>
        <w:pStyle w:val="Normal"/>
        <w:spacing w:lineRule="exact" w:line="288" w:before="0" w:after="140"/>
        <w:jc w:val="both"/>
        <w:rPr/>
      </w:pPr>
      <w:r>
        <w:rPr/>
        <w:t xml:space="preserve">Table 16 describes, for each specific objective, the activities, responsible parties, tasks, results and means of verification. Risk management in the dynamic matrix follows the ISO 31000:2018 process (Figure 10).</w:t>
      </w:r>
    </w:p>
    <w:p>
      <w:pPr>
        <w:pStyle w:val="TableCaption"/>
        <w:keepNext w:val="true"/>
        <w:spacing w:before="200" w:after="80"/>
        <w:rPr/>
      </w:pPr>
      <w:bookmarkStart w:id="66" w:name="__RefHeading___Toc8059_1931662957"/>
      <w:bookmarkEnd w:id="66"/>
      <w:r>
        <w:rPr>
          <w:b/>
          <w:bCs/>
          <w:color w:val="1F3864"/>
        </w:rPr>
        <w:t xml:space="preserve">Table </w:t>
        <w:fldChar w:fldCharType="begin"/>
        <w:instrText xml:space="preserve"> SEQ Tabla \* ARABIC </w:instrText>
        <w:fldChar w:fldCharType="separate"/>
        <w:t xml:space="preserve">16</w:t>
        <w:fldChar w:fldCharType="end"/>
        <w:t xml:space="preserve">. </w:t>
      </w:r>
      <w:r>
        <w:rPr>
          <w:i/>
          <w:iCs/>
        </w:rPr>
        <w:t xml:space="preserve">Methodology: activities, responsible parties, tasks, results and means of verification</w:t>
      </w:r>
    </w:p>
    <w:tbl>
      <w:tblPr>
        <w:tblW w:w="13006" w:type="dxa"/>
        <w:jc w:val="left"/>
        <w:tblInd w:w="0" w:type="dxa"/>
        <w:tblLayout w:type="fixed"/>
        <w:tblCellMar>
          <w:top w:w="50" w:type="dxa"/>
          <w:left w:w="80" w:type="dxa"/>
          <w:bottom w:w="50" w:type="dxa"/>
          <w:right w:w="80" w:type="dxa"/>
        </w:tblCellMar>
      </w:tblPr>
      <w:tblGrid>
        <w:gridCol w:w="2341"/>
        <w:gridCol w:w="1819"/>
        <w:gridCol w:w="1821"/>
        <w:gridCol w:w="3380"/>
        <w:gridCol w:w="1821"/>
        <w:gridCol w:w="1823"/>
      </w:tblGrid>
      <w:tr>
        <w:trPr>
          <w:tblHeader w:val="true"/>
          <w:cantSplit w:val="true"/>
        </w:trPr>
        <w:tc>
          <w:tcPr>
            <w:tcW w:w="234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Specific objective</w:t>
            </w:r>
          </w:p>
        </w:tc>
        <w:tc>
          <w:tcPr>
            <w:tcW w:w="1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Activity</w:t>
            </w:r>
          </w:p>
        </w:tc>
        <w:tc>
          <w:tcPr>
            <w:tcW w:w="1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Responsible</w:t>
            </w:r>
          </w:p>
        </w:tc>
        <w:tc>
          <w:tcPr>
            <w:tcW w:w="338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Tasks</w:t>
            </w:r>
          </w:p>
        </w:tc>
        <w:tc>
          <w:tcPr>
            <w:tcW w:w="1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Activity results</w:t>
            </w:r>
          </w:p>
        </w:tc>
        <w:tc>
          <w:tcPr>
            <w:tcW w:w="182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Means of verification</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Objective 1: Design and implement a geospatial and meteorological database capable of storing and managing data in real time to facilitate its analysis and support the monitoring platform. (ISO/IEC 9075:2016)</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1. Requirements analysis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Database developer – Project director.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1.1. Identify data requirements.</w:t>
            </w:r>
          </w:p>
          <w:p>
            <w:pPr>
              <w:pStyle w:val="Normal"/>
              <w:keepNext w:val="false"/>
              <w:spacing w:lineRule="exact" w:line="252" w:before="0" w:after="20"/>
              <w:jc w:val="left"/>
              <w:rPr/>
            </w:pPr>
            <w:r>
              <w:rPr>
                <w:b w:val="false"/>
                <w:bCs w:val="false"/>
                <w:color w:val="1A1A1A"/>
                <w:sz w:val="16"/>
                <w:szCs w:val="16"/>
              </w:rPr>
              <w:t xml:space="preserve">1.2. Define data types and structures. Unify data formats and quality.</w:t>
            </w:r>
          </w:p>
          <w:p>
            <w:pPr>
              <w:pStyle w:val="Normal"/>
              <w:keepNext w:val="false"/>
              <w:spacing w:lineRule="exact" w:line="252" w:before="0" w:after="20"/>
              <w:jc w:val="left"/>
              <w:rPr/>
            </w:pPr>
            <w:r>
              <w:rPr>
                <w:b w:val="false"/>
                <w:bCs w:val="false"/>
                <w:color w:val="1A1A1A"/>
                <w:sz w:val="16"/>
                <w:szCs w:val="16"/>
              </w:rPr>
              <w:t xml:space="preserve">1.3. Determine security and access requirements.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Geospatial and meteorological knowledge classified and categorized.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 Data integrity report (with open tools such as Google Data Validation Tool)</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2. Database design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Database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2.1. Create an entity-relationship (ER) diagram.</w:t>
            </w:r>
          </w:p>
          <w:p>
            <w:pPr>
              <w:pStyle w:val="Normal"/>
              <w:keepNext w:val="false"/>
              <w:spacing w:lineRule="exact" w:line="252" w:before="0" w:after="20"/>
              <w:jc w:val="left"/>
              <w:rPr/>
            </w:pPr>
            <w:r>
              <w:rPr>
                <w:b w:val="false"/>
                <w:bCs w:val="false"/>
                <w:color w:val="1A1A1A"/>
                <w:sz w:val="16"/>
                <w:szCs w:val="16"/>
              </w:rPr>
              <w:t xml:space="preserve">2.2. Define tables, columns and relationships.</w:t>
            </w:r>
          </w:p>
          <w:p>
            <w:pPr>
              <w:pStyle w:val="Normal"/>
              <w:keepNext w:val="false"/>
              <w:spacing w:lineRule="exact" w:line="252" w:before="0" w:after="20"/>
              <w:jc w:val="left"/>
              <w:rPr/>
            </w:pPr>
            <w:r>
              <w:rPr>
                <w:b w:val="false"/>
                <w:bCs w:val="false"/>
                <w:color w:val="1A1A1A"/>
                <w:sz w:val="16"/>
                <w:szCs w:val="16"/>
              </w:rPr>
              <w:t xml:space="preserve">2.3. Establish primary and foreign keys.</w:t>
            </w:r>
          </w:p>
          <w:p>
            <w:pPr>
              <w:pStyle w:val="Normal"/>
              <w:keepNext w:val="false"/>
              <w:spacing w:lineRule="exact" w:line="252" w:before="0" w:after="20"/>
              <w:jc w:val="left"/>
              <w:rPr/>
            </w:pPr>
            <w:r>
              <w:rPr>
                <w:b w:val="false"/>
                <w:bCs w:val="false"/>
                <w:color w:val="1A1A1A"/>
                <w:sz w:val="16"/>
                <w:szCs w:val="16"/>
              </w:rPr>
              <w:t xml:space="preserve">2.4. Design indexes for performance optimization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Database for generating new geospatial and meteorological knowledge designed.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 Number of databases designed.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3. Database configuration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Database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3.1. Install and configure the database management system (DBMS).</w:t>
            </w:r>
          </w:p>
          <w:p>
            <w:pPr>
              <w:pStyle w:val="Normal"/>
              <w:keepNext w:val="false"/>
              <w:spacing w:lineRule="exact" w:line="252" w:before="0" w:after="20"/>
              <w:jc w:val="left"/>
              <w:rPr/>
            </w:pPr>
            <w:r>
              <w:rPr>
                <w:b w:val="false"/>
                <w:bCs w:val="false"/>
                <w:color w:val="1A1A1A"/>
                <w:sz w:val="16"/>
                <w:szCs w:val="16"/>
              </w:rPr>
              <w:t xml:space="preserve">3.2. Create the database schema.</w:t>
            </w:r>
          </w:p>
          <w:p>
            <w:pPr>
              <w:pStyle w:val="Normal"/>
              <w:keepNext w:val="false"/>
              <w:spacing w:lineRule="exact" w:line="252" w:before="0" w:after="20"/>
              <w:jc w:val="left"/>
              <w:rPr/>
            </w:pPr>
            <w:r>
              <w:rPr>
                <w:b w:val="false"/>
                <w:bCs w:val="false"/>
                <w:color w:val="1A1A1A"/>
                <w:sz w:val="16"/>
                <w:szCs w:val="16"/>
              </w:rPr>
              <w:t xml:space="preserve">3.3. Configure user roles and permissions.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Database for generating new geospatial and meteorological knowledge operational.</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 Number of databases configured.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4. Data migration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 analyst</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4.1. Plan the data migration strategy.</w:t>
            </w:r>
          </w:p>
          <w:p>
            <w:pPr>
              <w:pStyle w:val="Normal"/>
              <w:keepNext w:val="false"/>
              <w:spacing w:lineRule="exact" w:line="252" w:before="0" w:after="20"/>
              <w:jc w:val="left"/>
              <w:rPr/>
            </w:pPr>
            <w:r>
              <w:rPr>
                <w:b w:val="false"/>
                <w:bCs w:val="false"/>
                <w:color w:val="1A1A1A"/>
                <w:sz w:val="16"/>
                <w:szCs w:val="16"/>
              </w:rPr>
              <w:t xml:space="preserve">4.2. Extract, transform and load (ETL) data from existing sources.</w:t>
            </w:r>
          </w:p>
          <w:p>
            <w:pPr>
              <w:pStyle w:val="Normal"/>
              <w:keepNext w:val="false"/>
              <w:spacing w:lineRule="exact" w:line="252" w:before="0" w:after="20"/>
              <w:jc w:val="left"/>
              <w:rPr/>
            </w:pPr>
            <w:r>
              <w:rPr>
                <w:b w:val="false"/>
                <w:bCs w:val="false"/>
                <w:color w:val="1A1A1A"/>
                <w:sz w:val="16"/>
                <w:szCs w:val="16"/>
              </w:rPr>
              <w:t xml:space="preserve">4.3. Validate data integrity and accuracy.</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Dynamic database for generating new geospatial and meteorological knowledge: able to connect to and disconnect from data feeds at will.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 Number of dynamic databases.</w:t>
            </w:r>
          </w:p>
          <w:p>
            <w:pPr>
              <w:pStyle w:val="Normal"/>
              <w:keepNext w:val="false"/>
              <w:spacing w:lineRule="exact" w:line="252" w:before="0" w:after="20"/>
              <w:jc w:val="left"/>
              <w:rPr/>
            </w:pPr>
            <w:r>
              <w:rPr>
                <w:b w:val="false"/>
                <w:bCs w:val="false"/>
                <w:color w:val="1A1A1A"/>
                <w:sz w:val="16"/>
                <w:szCs w:val="16"/>
              </w:rPr>
              <w:t xml:space="preserve">- Verification of access from remote tools with the SQL protocol</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5. Database testing</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 analyst</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5.1. Perform unit tests on the database components.</w:t>
            </w:r>
          </w:p>
          <w:p>
            <w:pPr>
              <w:pStyle w:val="Normal"/>
              <w:keepNext w:val="false"/>
              <w:spacing w:lineRule="exact" w:line="252" w:before="0" w:after="20"/>
              <w:jc w:val="left"/>
              <w:rPr/>
            </w:pPr>
            <w:r>
              <w:rPr>
                <w:b w:val="false"/>
                <w:bCs w:val="false"/>
                <w:color w:val="1A1A1A"/>
                <w:sz w:val="16"/>
                <w:szCs w:val="16"/>
              </w:rPr>
              <w:t xml:space="preserve">5.2. Perform integration tests with other systems.</w:t>
            </w:r>
          </w:p>
          <w:p>
            <w:pPr>
              <w:pStyle w:val="Normal"/>
              <w:keepNext w:val="false"/>
              <w:spacing w:lineRule="exact" w:line="252" w:before="0" w:after="20"/>
              <w:jc w:val="left"/>
              <w:rPr/>
            </w:pPr>
            <w:r>
              <w:rPr>
                <w:b w:val="false"/>
                <w:bCs w:val="false"/>
                <w:color w:val="1A1A1A"/>
                <w:sz w:val="16"/>
                <w:szCs w:val="16"/>
              </w:rPr>
              <w:t xml:space="preserve">5.3. Validate performance and scalability.</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Tests successfully completed as an STI information service.</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Test report with the corresponding Digital Government Index score.</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6. Documentation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Database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6.1. Document the design and configuration procedures of the database.</w:t>
            </w:r>
          </w:p>
          <w:p>
            <w:pPr>
              <w:pStyle w:val="Normal"/>
              <w:keepNext w:val="false"/>
              <w:spacing w:lineRule="exact" w:line="252" w:before="0" w:after="20"/>
              <w:jc w:val="left"/>
              <w:rPr/>
            </w:pPr>
            <w:r>
              <w:rPr>
                <w:b w:val="false"/>
                <w:bCs w:val="false"/>
                <w:color w:val="1A1A1A"/>
                <w:sz w:val="16"/>
                <w:szCs w:val="16"/>
              </w:rPr>
              <w:t xml:space="preserve">6.2. Create user manuals and training materials.</w:t>
            </w:r>
          </w:p>
          <w:p>
            <w:pPr>
              <w:pStyle w:val="Normal"/>
              <w:keepNext w:val="false"/>
              <w:spacing w:lineRule="exact" w:line="252" w:before="0" w:after="20"/>
              <w:jc w:val="left"/>
              <w:rPr/>
            </w:pPr>
            <w:r>
              <w:rPr>
                <w:b w:val="false"/>
                <w:bCs w:val="false"/>
                <w:color w:val="1A1A1A"/>
                <w:sz w:val="16"/>
                <w:szCs w:val="16"/>
              </w:rPr>
              <w:t xml:space="preserve">6.3. Hold training sessions for database users.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Protocol for using the database as an STI information service.</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Technical documentation rated with the Digital Government Index.</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7. Deployment and maintenance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Technician operating the final platform</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7.1. Deploy the database in the production environment</w:t>
            </w:r>
          </w:p>
          <w:p>
            <w:pPr>
              <w:pStyle w:val="Normal"/>
              <w:keepNext w:val="false"/>
              <w:spacing w:lineRule="exact" w:line="252" w:before="0" w:after="20"/>
              <w:jc w:val="left"/>
              <w:rPr/>
            </w:pPr>
            <w:r>
              <w:rPr>
                <w:b w:val="false"/>
                <w:bCs w:val="false"/>
                <w:color w:val="1A1A1A"/>
                <w:sz w:val="16"/>
                <w:szCs w:val="16"/>
              </w:rPr>
              <w:t xml:space="preserve">7.2. Monitor database performance and security</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Database at full operational capacity</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 Number of databases in operation.</w:t>
            </w:r>
          </w:p>
        </w:tc>
      </w:tr>
      <w:tr>
        <w:trPr>
          <w:cantSplit w:val="true"/>
        </w:trPr>
        <w:tc>
          <w:tcPr>
            <w:tcW w:w="234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1. Disaster risk management training</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Third-party company for the project director and data analysts.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Objective 2: Develop a dynamic risk matrix that integrates multiple variables (terrain stability, weather conditions, among others) to identify vulnerable areas and prioritize preventive decision-making. (Based on the risk-treatment process of ISO 31000:2018, shown in Figure 9.)</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Definition of context, parameters and scope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Third-party risk analyst – Data analyst.</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2.1. Define natural factors: define parameters and their respective ranges: geographical, environmental and climatic.</w:t>
            </w:r>
          </w:p>
          <w:p>
            <w:pPr>
              <w:pStyle w:val="Normal"/>
              <w:keepNext w:val="false"/>
              <w:spacing w:lineRule="exact" w:line="252" w:before="0" w:after="20"/>
              <w:jc w:val="left"/>
              <w:rPr/>
            </w:pPr>
            <w:r>
              <w:rPr>
                <w:b w:val="false"/>
                <w:bCs w:val="false"/>
                <w:color w:val="1A1A1A"/>
                <w:sz w:val="16"/>
                <w:szCs w:val="16"/>
              </w:rPr>
              <w:t xml:space="preserve">2.2. Define artificial factors: assess the vulnerability to landslides created by human actions on the infrastructure and its surroundings, including the infrastructure itself.</w:t>
            </w:r>
          </w:p>
          <w:p>
            <w:pPr>
              <w:pStyle w:val="Normal"/>
              <w:keepNext w:val="false"/>
              <w:spacing w:lineRule="exact" w:line="252" w:before="0" w:after="20"/>
              <w:jc w:val="left"/>
              <w:rPr/>
            </w:pPr>
            <w:r>
              <w:rPr>
                <w:b w:val="false"/>
                <w:bCs w:val="false"/>
                <w:color w:val="1A1A1A"/>
                <w:sz w:val="16"/>
                <w:szCs w:val="16"/>
              </w:rPr>
              <w:t xml:space="preserve">2.3. Define risk criteria: establish criteria to assess the significance of landslide risks, such as the potential impact on human lives, property and the environment.</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Parameters defined.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Definitions document.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3. Risk assessment</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Third-party risk analyst – Data analyst.</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3.1. Risk identification: identify landslide-prone areas, possible triggers (heavy rainfall, earthquakes, artificial causes) and possible consequences.</w:t>
            </w:r>
          </w:p>
          <w:p>
            <w:pPr>
              <w:pStyle w:val="Normal"/>
              <w:keepNext w:val="false"/>
              <w:spacing w:lineRule="exact" w:line="252" w:before="0" w:after="20"/>
              <w:jc w:val="left"/>
              <w:rPr/>
            </w:pPr>
            <w:r>
              <w:rPr>
                <w:b w:val="false"/>
                <w:bCs w:val="false"/>
                <w:color w:val="1A1A1A"/>
                <w:sz w:val="16"/>
                <w:szCs w:val="16"/>
              </w:rPr>
              <w:t xml:space="preserve">3.2. Risk analysis: analyze the probability of landslides and their potential impact on the organization and surrounding areas. (H in equation 1)</w:t>
            </w:r>
          </w:p>
          <w:p>
            <w:pPr>
              <w:pStyle w:val="Normal"/>
              <w:keepNext w:val="false"/>
              <w:spacing w:lineRule="exact" w:line="252" w:before="0" w:after="20"/>
              <w:jc w:val="left"/>
              <w:rPr/>
            </w:pPr>
            <w:r>
              <w:rPr>
                <w:b w:val="false"/>
                <w:bCs w:val="false"/>
                <w:color w:val="1A1A1A"/>
                <w:sz w:val="16"/>
                <w:szCs w:val="16"/>
              </w:rPr>
              <w:t xml:space="preserve">3.3. Risk evaluation: compare the results of the risk analysis with the criteria established in equation 1 to determine the significance of the risks.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Risk model developed.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Model and calculations documented. Coverage monitored with the models.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4. Risk treatment approach</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Third-party risk manager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4.1. Identify risk treatment options: consider options such as land-use planning, engineering solutions (e.g., retaining walls) and early warning systems.</w:t>
            </w:r>
          </w:p>
          <w:p>
            <w:pPr>
              <w:pStyle w:val="Normal"/>
              <w:keepNext w:val="false"/>
              <w:spacing w:lineRule="exact" w:line="252" w:before="0" w:after="20"/>
              <w:jc w:val="left"/>
              <w:rPr/>
            </w:pPr>
            <w:r>
              <w:rPr>
                <w:b w:val="false"/>
                <w:bCs w:val="false"/>
                <w:color w:val="1A1A1A"/>
                <w:sz w:val="16"/>
                <w:szCs w:val="16"/>
              </w:rPr>
              <w:t xml:space="preserve">4.2. Evaluate risk treatment options: assess the feasibility, cost and effectiveness of each treatment option.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Model validated.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Validation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5. Implementation of the matrix in the continuous monitoring cycle</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Software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5.1 Monitor risk treatment: continuously monitor the effectiveness of the treatments chosen and carried out by the entity alerted through the platform.</w:t>
            </w:r>
          </w:p>
          <w:p>
            <w:pPr>
              <w:pStyle w:val="Normal"/>
              <w:keepNext w:val="false"/>
              <w:spacing w:lineRule="exact" w:line="252" w:before="0" w:after="20"/>
              <w:jc w:val="left"/>
              <w:rPr/>
            </w:pPr>
            <w:r>
              <w:rPr>
                <w:b w:val="false"/>
                <w:bCs w:val="false"/>
                <w:color w:val="1A1A1A"/>
                <w:sz w:val="16"/>
                <w:szCs w:val="16"/>
              </w:rPr>
              <w:t xml:space="preserve">5.2. Review the risk management framework: regularly review and update the risk management framework to ensure it remains effective in managing landslide risks.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Matrix implemented and functional.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Technical documentation.</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6. Communication and consultation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Third-party risk manager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6.1. Stakeholder participation: involve local communities, government agencies and other stakeholders to secure their input and cooperation.</w:t>
            </w:r>
          </w:p>
          <w:p>
            <w:pPr>
              <w:pStyle w:val="Normal"/>
              <w:keepNext w:val="false"/>
              <w:spacing w:lineRule="exact" w:line="252" w:before="0" w:after="20"/>
              <w:jc w:val="left"/>
              <w:rPr/>
            </w:pPr>
            <w:r>
              <w:rPr>
                <w:b w:val="false"/>
                <w:bCs w:val="false"/>
                <w:color w:val="1A1A1A"/>
                <w:sz w:val="16"/>
                <w:szCs w:val="16"/>
              </w:rPr>
              <w:t xml:space="preserve">6.2. Risk reporting: communicate risk information and updates to stakeholders clearly and promptly.</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Protocol agreement between the parties.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Meeting records.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7. Recording and reporting</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Technician operating the final platform</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7.1. Document the risk management process: keep detailed records of risk assessments, treatment plans and monitoring activities.</w:t>
            </w:r>
          </w:p>
          <w:p>
            <w:pPr>
              <w:pStyle w:val="Normal"/>
              <w:keepNext w:val="false"/>
              <w:spacing w:lineRule="exact" w:line="252" w:before="0" w:after="20"/>
              <w:jc w:val="left"/>
              <w:rPr/>
            </w:pPr>
            <w:r>
              <w:rPr>
                <w:b w:val="false"/>
                <w:bCs w:val="false"/>
                <w:color w:val="1A1A1A"/>
                <w:sz w:val="16"/>
                <w:szCs w:val="16"/>
              </w:rPr>
              <w:t xml:space="preserve">7.2. Report on risk management: provide regular reports on the status of landslide risk-management activities and results.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Risk report.</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Technical documentation.</w:t>
            </w:r>
          </w:p>
        </w:tc>
      </w:tr>
      <w:tr>
        <w:trPr>
          <w:cantSplit w:val="true"/>
        </w:trPr>
        <w:tc>
          <w:tcPr>
            <w:tcW w:w="234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8. Training in geographic information systems (GIS)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Third party for the software developer and computer vision analysts</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Objective 3: Implement a neural-network algorithm trained to detect critical patterns and predict landslides, optimizing the accuracy of early warnings.</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1. Algorithm training.</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Computer vision analysts.</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Select a suitable dataset</w:t>
            </w:r>
          </w:p>
          <w:p>
            <w:pPr>
              <w:pStyle w:val="Normal"/>
              <w:keepNext w:val="false"/>
              <w:spacing w:lineRule="exact" w:line="252" w:before="0" w:after="20"/>
              <w:jc w:val="left"/>
              <w:rPr/>
            </w:pPr>
            <w:r>
              <w:rPr>
                <w:b w:val="false"/>
                <w:bCs w:val="false"/>
                <w:color w:val="1A1A1A"/>
                <w:sz w:val="16"/>
                <w:szCs w:val="16"/>
              </w:rPr>
              <w:t xml:space="preserve">1.2. Preprocess the data</w:t>
            </w:r>
          </w:p>
          <w:p>
            <w:pPr>
              <w:pStyle w:val="Normal"/>
              <w:keepNext w:val="false"/>
              <w:spacing w:lineRule="exact" w:line="252" w:before="0" w:after="20"/>
              <w:jc w:val="left"/>
              <w:rPr/>
            </w:pPr>
            <w:r>
              <w:rPr>
                <w:b w:val="false"/>
                <w:bCs w:val="false"/>
                <w:color w:val="1A1A1A"/>
                <w:sz w:val="16"/>
                <w:szCs w:val="16"/>
              </w:rPr>
              <w:t xml:space="preserve">1.3. Train the model using backpropagation.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Highly accurate trained model</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Training results documented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Algorithm validation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Software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2.1. Split data into validation sets</w:t>
            </w:r>
          </w:p>
          <w:p>
            <w:pPr>
              <w:pStyle w:val="Normal"/>
              <w:keepNext w:val="false"/>
              <w:spacing w:lineRule="exact" w:line="252" w:before="0" w:after="20"/>
              <w:jc w:val="left"/>
              <w:rPr/>
            </w:pPr>
            <w:r>
              <w:rPr>
                <w:b w:val="false"/>
                <w:bCs w:val="false"/>
                <w:color w:val="1A1A1A"/>
                <w:sz w:val="16"/>
                <w:szCs w:val="16"/>
              </w:rPr>
              <w:t xml:space="preserve">2.2. Tune hyperparameters 2.3. Validate the model to avoid overfitting</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Model optimized and validated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Accuracy and performance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3. Implementation on the platform</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Software developer – Computer vision analyst.</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3.1. Integrate the model into the platform 3.2. Configure prediction-based alerts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Model operational in a real environment</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Integration tests completed</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Objective 4: Develop and integrate a monitoring software platform for road infrastructure.</w:t>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1. Requirements gathering</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 analyst</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1.1. Identify the actors and monitoring needs. 1.2. Define the key functions of the software.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Document with the functional specifications.</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Requirements report approved.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2. Platform design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2.1. Create a UML model of the functions. 2.2. Establish the graphical user interface (GUI).</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Prototype of the platform design.</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Prototype presentation validated.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3. Software development</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Platform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3.1. Program the main modules. 3.2. Implement databases.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Functional monitoring module.</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Successful functional tests.</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4. Platform integration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4.1. Connect the platform with external services. 4.2. Carry out integration tests.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Functional integrated platform.</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System integration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5. Adjustments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Project director – Software developer – Platform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5.1. Train end users. 5.2. Collect feedback for final improvements.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Platform ready for implementation.</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Attendance list and improvements report.</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Objective 5: Carry out pilot tests and iterate the system with real data (ISO/IEC 25010:2011: standard for software quality evaluation; ISO/IEC 9126-4: evaluation of system performance and quality metrics)</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1. Pilot test planning</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Third-party developer/tester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1.1. Define test scenarios 1.2. Select a real test dataset 1.3. Establish evaluation metrics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Test plan defined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Test plan approved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Pilot test execution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Platform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2.1. Run the system with real data 2.2. Document the results obtained 2.3. Identify failures or necessary improvements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Results obtained and documented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Pilot test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3. Iteration and optimization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Software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3.1. Adjust algorithms and system 3.2. Implement improvements based on test results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System iterated and optimized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Iterations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4. Final system validation</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Project director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4.1. Validate the complete operation of the system 4.2. Ensure compliance with the defined objectives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System validated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Final validation report</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5. Training DAGRAN professionals on the platform</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developer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Train 10 DAGRAN staff members to use the platform developed.</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Staff trained.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Number of staff who passed the training</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6. Presentation of results to the competent authorities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Project director – Platform developer – Computer vision analyst – Data analyst.</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Demonstration of the software to government entities for its integration into landslide risk-management plans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Number of agreements signed and documents approved for implementation</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Meeting minutes, agreement documents and signed memoranda of understanding.</w:t>
            </w:r>
          </w:p>
        </w:tc>
      </w:tr>
      <w:tr>
        <w:trPr>
          <w:cantSplit w:val="true"/>
        </w:trPr>
        <w:tc>
          <w:tcPr>
            <w:tcW w:w="2341" w:type="dxa"/>
            <w:vMerge w:val="restart"/>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Objective 6: Generate automated reports and technical recommendations.</w:t>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1. Develop logical commands linking reports with recommendations.</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developer – Geologist – Civil engineer.</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Collect and prepare data for instant response to the client.</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Responses for all the scenarios considered.</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Logical commands and response dictionary.</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2. Presentation at an international conference</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Software developer – Database developer – Platform developer.</w:t>
            </w:r>
          </w:p>
        </w:tc>
        <w:tc>
          <w:tcPr>
            <w:tcW w:w="33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Presentation of results at geoscience and environmental technology conferences</w:t>
            </w:r>
          </w:p>
        </w:tc>
        <w:tc>
          <w:tcPr>
            <w:tcW w:w="18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Conference presentation on the patent/license developed.</w:t>
            </w:r>
          </w:p>
        </w:tc>
        <w:tc>
          <w:tcPr>
            <w:tcW w:w="182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Number of events attended.</w:t>
            </w:r>
          </w:p>
        </w:tc>
      </w:tr>
      <w:tr>
        <w:trPr>
          <w:cantSplit w:val="true"/>
        </w:trPr>
        <w:tc>
          <w:tcPr>
            <w:tcW w:w="234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3. Community awareness campaign</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Project director – Administrative assistant – Final platform technician – Local government.</w:t>
            </w:r>
          </w:p>
        </w:tc>
        <w:tc>
          <w:tcPr>
            <w:tcW w:w="33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Raising public awareness of landslide risk and of the software's usefulness in preventing it</w:t>
            </w:r>
          </w:p>
        </w:tc>
        <w:tc>
          <w:tcPr>
            <w:tcW w:w="1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Informed community</w:t>
            </w:r>
          </w:p>
        </w:tc>
        <w:tc>
          <w:tcPr>
            <w:tcW w:w="182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Number of attendees at community awareness workshops</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Normal"/>
        <w:keepNext w:val="true"/>
        <w:spacing w:before="160" w:after="60"/>
        <w:jc w:val="center"/>
        <w:rPr/>
      </w:pPr>
      <w:r>
        <w:rPr/>
        <w:drawing>
          <wp:inline distT="0" distB="0" distL="0" distR="0">
            <wp:extent cx="3295650" cy="3133725"/>
            <wp:effectExtent l="0" t="0" r="0" b="0"/>
            <wp:docPr id="10" name="Proceso para la gestión del riesgo según" descr="Proceso para la gestión del riesgo según la norma ISO 31000:2018 Proceso para la gestión del riesgo según la norma ISO 31000: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ceso para la gestión del riesgo según" descr="Proceso para la gestión del riesgo según la norma ISO 31000:2018 Proceso para la gestión del riesgo según la norma ISO 31000:2018"/>
                    <pic:cNvPicPr>
                      <a:picLocks noChangeAspect="1" noChangeArrowheads="1"/>
                    </pic:cNvPicPr>
                  </pic:nvPicPr>
                  <pic:blipFill>
                    <a:blip r:embed="rId17"/>
                    <a:stretch>
                      <a:fillRect/>
                    </a:stretch>
                  </pic:blipFill>
                  <pic:spPr bwMode="auto">
                    <a:xfrm>
                      <a:off x="0" y="0"/>
                      <a:ext cx="3295650" cy="3133725"/>
                    </a:xfrm>
                    <a:prstGeom prst="rect">
                      <a:avLst/>
                    </a:prstGeom>
                  </pic:spPr>
                </pic:pic>
              </a:graphicData>
            </a:graphic>
          </wp:inline>
        </w:drawing>
      </w:r>
    </w:p>
    <w:p>
      <w:pPr>
        <w:pStyle w:val="FigureCaption"/>
        <w:keepNext w:val="true"/>
        <w:spacing w:before="200" w:after="80"/>
        <w:rPr/>
      </w:pPr>
      <w:bookmarkStart w:id="67" w:name="__RefHeading___Toc8095_1931662957"/>
      <w:bookmarkEnd w:id="67"/>
      <w:r>
        <w:rPr>
          <w:b/>
          <w:bCs/>
          <w:color w:val="1F3864"/>
        </w:rPr>
        <w:t xml:space="preserve">Figure </w:t>
        <w:fldChar w:fldCharType="begin"/>
        <w:instrText xml:space="preserve"> SEQ Figura \* ARABIC </w:instrText>
        <w:fldChar w:fldCharType="separate"/>
        <w:t xml:space="preserve">10</w:t>
        <w:fldChar w:fldCharType="end"/>
        <w:t xml:space="preserve">. </w:t>
      </w:r>
      <w:r>
        <w:rPr>
          <w:i/>
          <w:iCs/>
        </w:rPr>
        <w:t xml:space="preserve">Risk management process according to ISO 31000:2018</w:t>
      </w:r>
    </w:p>
    <w:p>
      <w:pPr>
        <w:pStyle w:val="Normal"/>
        <w:spacing w:before="60" w:after="240"/>
        <w:jc w:val="left"/>
        <w:rPr/>
      </w:pPr>
      <w:r>
        <w:rPr>
          <w:i/>
          <w:iCs/>
          <w:color w:val="595959"/>
          <w:sz w:val="17"/>
          <w:szCs w:val="17"/>
        </w:rPr>
        <w:t xml:space="preserve">Note. </w:t>
      </w:r>
      <w:r>
        <w:rPr>
          <w:color w:val="595959"/>
          <w:sz w:val="17"/>
          <w:szCs w:val="17"/>
        </w:rPr>
        <w:t xml:space="preserve">Adapted from ISO 31000:2018.</w:t>
      </w:r>
      <w:r>
        <w:br w:type="page"/>
      </w:r>
    </w:p>
    <w:p>
      <w:pPr>
        <w:pStyle w:val="Heading1"/>
        <w:rPr/>
      </w:pPr>
      <w:bookmarkStart w:id="68" w:name="__RefHeading___Toc7957_1931662957"/>
      <w:bookmarkEnd w:id="68"/>
      <w:r>
        <w:rPr/>
        <w:t xml:space="preserve">13. Logical framework matrix</w:t>
      </w:r>
    </w:p>
    <w:p>
      <w:pPr>
        <w:pStyle w:val="TableCaption"/>
        <w:keepNext w:val="true"/>
        <w:spacing w:before="200" w:after="80"/>
        <w:rPr/>
      </w:pPr>
      <w:bookmarkStart w:id="69" w:name="__RefHeading___Toc8057_1931662957"/>
      <w:bookmarkEnd w:id="69"/>
      <w:r>
        <w:rPr>
          <w:b/>
          <w:bCs/>
          <w:color w:val="1F3864"/>
        </w:rPr>
        <w:t xml:space="preserve">Table </w:t>
        <w:fldChar w:fldCharType="begin"/>
        <w:instrText xml:space="preserve"> SEQ Tabla \* ARABIC </w:instrText>
        <w:fldChar w:fldCharType="separate"/>
        <w:t xml:space="preserve">17</w:t>
        <w:fldChar w:fldCharType="end"/>
        <w:t xml:space="preserve">. </w:t>
      </w:r>
      <w:r>
        <w:rPr>
          <w:i/>
          <w:iCs/>
        </w:rPr>
        <w:t xml:space="preserve">Logical framework matrix</w:t>
      </w:r>
    </w:p>
    <w:tbl>
      <w:tblPr>
        <w:tblW w:w="13006" w:type="dxa"/>
        <w:jc w:val="left"/>
        <w:tblInd w:w="0" w:type="dxa"/>
        <w:tblLayout w:type="fixed"/>
        <w:tblCellMar>
          <w:top w:w="50" w:type="dxa"/>
          <w:left w:w="80" w:type="dxa"/>
          <w:bottom w:w="50" w:type="dxa"/>
          <w:right w:w="80" w:type="dxa"/>
        </w:tblCellMar>
      </w:tblPr>
      <w:tblGrid>
        <w:gridCol w:w="1300"/>
        <w:gridCol w:w="2860"/>
        <w:gridCol w:w="3122"/>
        <w:gridCol w:w="2861"/>
        <w:gridCol w:w="2863"/>
      </w:tblGrid>
      <w:tr>
        <w:trPr>
          <w:tblHeader w:val="true"/>
          <w:cantSplit w:val="true"/>
        </w:trPr>
        <w:tc>
          <w:tcPr>
            <w:tcW w:w="130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Level</w:t>
            </w:r>
          </w:p>
        </w:tc>
        <w:tc>
          <w:tcPr>
            <w:tcW w:w="286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Narrative summary</w:t>
            </w:r>
          </w:p>
        </w:tc>
        <w:tc>
          <w:tcPr>
            <w:tcW w:w="31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Indicators</w:t>
            </w:r>
          </w:p>
        </w:tc>
        <w:tc>
          <w:tcPr>
            <w:tcW w:w="286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Means of verification</w:t>
            </w:r>
          </w:p>
        </w:tc>
        <w:tc>
          <w:tcPr>
            <w:tcW w:w="286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Assumptions</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Goal</w:t>
            </w:r>
          </w:p>
        </w:tc>
        <w:tc>
          <w:tcPr>
            <w:tcW w:w="286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Develop a system that reduces road risks for the different actors involved, allowing the continuity of the economic and development activities that depend on the road, while preserving the existing infrastructure and ecosystem.</w:t>
            </w:r>
          </w:p>
        </w:tc>
        <w:tc>
          <w:tcPr>
            <w:tcW w:w="31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By the midpoint of the investment payback period: (SDG indicator 11.5.1: number of deaths, missing persons and directly affected persons attributed to disasters per 100,000 population, issued by DAGRAN.</w:t>
            </w:r>
          </w:p>
          <w:p>
            <w:pPr>
              <w:pStyle w:val="Normal"/>
              <w:keepNext w:val="false"/>
              <w:spacing w:lineRule="exact" w:line="252" w:before="0" w:after="20"/>
              <w:jc w:val="left"/>
              <w:rPr/>
            </w:pPr>
            <w:r>
              <w:rPr>
                <w:b w:val="false"/>
                <w:bCs w:val="false"/>
                <w:color w:val="1A1A1A"/>
                <w:sz w:val="16"/>
                <w:szCs w:val="16"/>
              </w:rPr>
              <w:t xml:space="preserve">2. Days of normal freight traffic on the Medellín–Bogotá highway.</w:t>
            </w:r>
          </w:p>
          <w:p>
            <w:pPr>
              <w:pStyle w:val="Normal"/>
              <w:keepNext w:val="false"/>
              <w:spacing w:lineRule="exact" w:line="252" w:before="0" w:after="20"/>
              <w:jc w:val="left"/>
              <w:rPr/>
            </w:pPr>
            <w:r>
              <w:rPr>
                <w:b w:val="false"/>
                <w:bCs w:val="false"/>
                <w:color w:val="1A1A1A"/>
                <w:sz w:val="16"/>
                <w:szCs w:val="16"/>
              </w:rPr>
              <w:t xml:space="preserve">3. Functional monitoring platform within 24 months.</w:t>
            </w:r>
          </w:p>
          <w:p>
            <w:pPr>
              <w:pStyle w:val="Normal"/>
              <w:keepNext w:val="false"/>
              <w:spacing w:lineRule="exact" w:line="252" w:before="0" w:after="20"/>
              <w:jc w:val="left"/>
              <w:rPr/>
            </w:pPr>
            <w:r>
              <w:rPr>
                <w:b w:val="false"/>
                <w:bCs w:val="false"/>
                <w:color w:val="1A1A1A"/>
                <w:sz w:val="16"/>
                <w:szCs w:val="16"/>
              </w:rPr>
              <w:t xml:space="preserve">4. Kilometers of road that no longer need regular maintenance compared with the previous period (evaluated over the 10 investment payback periods)</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Reports issued by DAGRAN during the 10 investment payback periods.</w:t>
            </w:r>
          </w:p>
          <w:p>
            <w:pPr>
              <w:pStyle w:val="Normal"/>
              <w:keepNext w:val="false"/>
              <w:spacing w:lineRule="exact" w:line="252" w:before="0" w:after="20"/>
              <w:jc w:val="left"/>
              <w:rPr/>
            </w:pPr>
            <w:r>
              <w:rPr>
                <w:b w:val="false"/>
                <w:bCs w:val="false"/>
                <w:color w:val="1A1A1A"/>
                <w:sz w:val="16"/>
                <w:szCs w:val="16"/>
              </w:rPr>
              <w:t xml:space="preserve">4. Traffic-flow statistics issued by INVIAS for the monitored roads over the 10 budget payback periods defined in the net cash flow, for the study site.</w:t>
            </w:r>
          </w:p>
          <w:p>
            <w:pPr>
              <w:pStyle w:val="Normal"/>
              <w:keepNext w:val="false"/>
              <w:spacing w:lineRule="exact" w:line="252" w:before="0" w:after="20"/>
              <w:jc w:val="left"/>
              <w:rPr/>
            </w:pPr>
            <w:r>
              <w:rPr>
                <w:b w:val="false"/>
                <w:bCs w:val="false"/>
                <w:color w:val="1A1A1A"/>
                <w:sz w:val="16"/>
                <w:szCs w:val="16"/>
              </w:rPr>
              <w:t xml:space="preserve">2. Simulations of the beta software carried out by the risk consultancy between months 21 and 22 to evaluate its performance under real monitoring conditions in its area of operation.</w:t>
            </w:r>
          </w:p>
          <w:p>
            <w:pPr>
              <w:pStyle w:val="Normal"/>
              <w:keepNext w:val="false"/>
              <w:spacing w:lineRule="exact" w:line="252" w:before="0" w:after="20"/>
              <w:jc w:val="left"/>
              <w:rPr/>
            </w:pPr>
            <w:r>
              <w:rPr>
                <w:b w:val="false"/>
                <w:bCs w:val="false"/>
                <w:color w:val="1A1A1A"/>
                <w:sz w:val="16"/>
                <w:szCs w:val="16"/>
              </w:rPr>
              <w:t xml:space="preserve">6. Annual report of the Ministry of Transport on national road maintenance (evaluated over the 10 investment payback periods)</w:t>
            </w:r>
          </w:p>
        </w:tc>
        <w:tc>
          <w:tcPr>
            <w:tcW w:w="28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Road authorities and disaster-management teams will receive adequate training in the use of the monitoring software, ensuring they understand how it works and how to interpret the alerts generated.</w:t>
            </w:r>
          </w:p>
          <w:p>
            <w:pPr>
              <w:pStyle w:val="Normal"/>
              <w:keepNext w:val="false"/>
              <w:spacing w:lineRule="exact" w:line="252" w:before="0" w:after="20"/>
              <w:jc w:val="left"/>
              <w:rPr/>
            </w:pPr>
            <w:r>
              <w:rPr>
                <w:b w:val="false"/>
                <w:bCs w:val="false"/>
                <w:color w:val="1A1A1A"/>
                <w:sz w:val="16"/>
                <w:szCs w:val="16"/>
              </w:rPr>
              <w:t xml:space="preserve">2. The responsible entities will have the necessary technical resources, including computers, servers, mobile devices and reliable internet access, to operate the software in their facilities or in the field.</w:t>
            </w:r>
          </w:p>
          <w:p>
            <w:pPr>
              <w:pStyle w:val="Normal"/>
              <w:keepNext w:val="false"/>
              <w:spacing w:lineRule="exact" w:line="252" w:before="0" w:after="20"/>
              <w:jc w:val="left"/>
              <w:rPr/>
            </w:pPr>
            <w:r>
              <w:rPr>
                <w:b w:val="false"/>
                <w:bCs w:val="false"/>
                <w:color w:val="1A1A1A"/>
                <w:sz w:val="16"/>
                <w:szCs w:val="16"/>
              </w:rPr>
              <w:t xml:space="preserve">3. The monitoring software will be integrated into operational disaster-response protocols, so that the alerts and analyses generated are used as a key source of information for decision-making.</w:t>
            </w:r>
          </w:p>
          <w:p>
            <w:pPr>
              <w:pStyle w:val="Normal"/>
              <w:keepNext w:val="false"/>
              <w:spacing w:lineRule="exact" w:line="252" w:before="0" w:after="20"/>
              <w:jc w:val="left"/>
              <w:rPr/>
            </w:pPr>
            <w:r>
              <w:rPr>
                <w:b w:val="false"/>
                <w:bCs w:val="false"/>
                <w:color w:val="1A1A1A"/>
                <w:sz w:val="16"/>
                <w:szCs w:val="16"/>
              </w:rPr>
              <w:t xml:space="preserve">4. Road authorities and disaster-management teams will actively use the software as part of their daily monitoring routine, improving coordination and response capacity to possible landslides.</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Purpose</w:t>
            </w:r>
          </w:p>
        </w:tc>
        <w:tc>
          <w:tcPr>
            <w:tcW w:w="286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Develop software based on image processing with a neural network, aimed at identifying risk patterns in vulnerable areas by analyzing satellite images and historical records to generate early warnings.</w:t>
            </w:r>
          </w:p>
        </w:tc>
        <w:tc>
          <w:tcPr>
            <w:tcW w:w="31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 SDG indicator 11.5.1: number of deaths, missing persons and directly affected persons attributed to disasters per 100,000 population, issued by DAGRAN.</w:t>
            </w:r>
          </w:p>
          <w:p>
            <w:pPr>
              <w:pStyle w:val="Normal"/>
              <w:keepNext w:val="false"/>
              <w:spacing w:lineRule="exact" w:line="252" w:before="0" w:after="20"/>
              <w:jc w:val="left"/>
              <w:rPr/>
            </w:pPr>
            <w:r>
              <w:rPr>
                <w:b w:val="false"/>
                <w:bCs w:val="false"/>
                <w:color w:val="1A1A1A"/>
                <w:sz w:val="16"/>
                <w:szCs w:val="16"/>
              </w:rPr>
              <w:t xml:space="preserve">2. Software design suitable for regional use (interconnected operation with big data and functional alert systems) within a maximum of 24 months.</w:t>
            </w:r>
          </w:p>
          <w:p>
            <w:pPr>
              <w:pStyle w:val="Normal"/>
              <w:keepNext w:val="false"/>
              <w:spacing w:lineRule="exact" w:line="252" w:before="0" w:after="20"/>
              <w:jc w:val="left"/>
              <w:rPr/>
            </w:pPr>
            <w:r>
              <w:rPr>
                <w:b w:val="false"/>
                <w:bCs w:val="false"/>
                <w:color w:val="1A1A1A"/>
                <w:sz w:val="16"/>
                <w:szCs w:val="16"/>
              </w:rPr>
              <w:t xml:space="preserve">3. Functional monitoring system that provides safety and saves time and resources for users traveling on the intermunicipal road studied.</w:t>
            </w:r>
          </w:p>
        </w:tc>
        <w:tc>
          <w:tcPr>
            <w:tcW w:w="286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 Record of the system's implementation in the database during month 24.</w:t>
            </w:r>
          </w:p>
          <w:p>
            <w:pPr>
              <w:pStyle w:val="Normal"/>
              <w:keepNext w:val="false"/>
              <w:spacing w:lineRule="exact" w:line="252" w:before="0" w:after="20"/>
              <w:jc w:val="left"/>
              <w:rPr/>
            </w:pPr>
            <w:r>
              <w:rPr>
                <w:b w:val="false"/>
                <w:bCs w:val="false"/>
                <w:color w:val="1A1A1A"/>
                <w:sz w:val="16"/>
                <w:szCs w:val="16"/>
              </w:rPr>
              <w:t xml:space="preserve">2. Performance reports on the alerts on the digital platform during the 10 budget-benefit payback periods defined in the net cash flow, for the study site.</w:t>
            </w:r>
          </w:p>
          <w:p>
            <w:pPr>
              <w:pStyle w:val="Normal"/>
              <w:keepNext w:val="false"/>
              <w:spacing w:lineRule="exact" w:line="252" w:before="0" w:after="20"/>
              <w:jc w:val="left"/>
              <w:rPr/>
            </w:pPr>
            <w:r>
              <w:rPr>
                <w:b w:val="false"/>
                <w:bCs w:val="false"/>
                <w:color w:val="1A1A1A"/>
                <w:sz w:val="16"/>
                <w:szCs w:val="16"/>
              </w:rPr>
              <w:t xml:space="preserve">3. On-site user surveys (road authorities) during the 10 budget-benefit payback periods defined in the net cash flow, for the study site.</w:t>
            </w:r>
          </w:p>
        </w:tc>
        <w:tc>
          <w:tcPr>
            <w:tcW w:w="28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 The sensor infrastructure and satellite data will be available.</w:t>
            </w:r>
          </w:p>
          <w:p>
            <w:pPr>
              <w:pStyle w:val="Normal"/>
              <w:keepNext w:val="false"/>
              <w:spacing w:lineRule="exact" w:line="252" w:before="0" w:after="20"/>
              <w:jc w:val="left"/>
              <w:rPr/>
            </w:pPr>
            <w:r>
              <w:rPr>
                <w:b w:val="false"/>
                <w:bCs w:val="false"/>
                <w:color w:val="1A1A1A"/>
                <w:sz w:val="16"/>
                <w:szCs w:val="16"/>
              </w:rPr>
              <w:t xml:space="preserve">2. The quality of the data provided by external sources will be maintained.</w:t>
            </w:r>
          </w:p>
          <w:p>
            <w:pPr>
              <w:pStyle w:val="Normal"/>
              <w:keepNext w:val="false"/>
              <w:spacing w:lineRule="exact" w:line="252" w:before="0" w:after="20"/>
              <w:jc w:val="left"/>
              <w:rPr/>
            </w:pPr>
            <w:r>
              <w:rPr>
                <w:b w:val="false"/>
                <w:bCs w:val="false"/>
                <w:color w:val="1A1A1A"/>
                <w:sz w:val="16"/>
                <w:szCs w:val="16"/>
              </w:rPr>
              <w:t xml:space="preserve">3. The data will be delivered in real time</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Components</w:t>
            </w:r>
          </w:p>
        </w:tc>
        <w:tc>
          <w:tcPr>
            <w:tcW w:w="286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This section presents the products expected from this project, together with additional products to certify their quality. Detailed information is given in Section 11.1 and in Table 8 of this document.</w:t>
            </w:r>
          </w:p>
        </w:tc>
        <w:tc>
          <w:tcPr>
            <w:tcW w:w="31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390300205: Support service for technological development and innovation.</w:t>
            </w:r>
          </w:p>
          <w:p>
            <w:pPr>
              <w:pStyle w:val="Normal"/>
              <w:keepNext w:val="false"/>
              <w:spacing w:lineRule="exact" w:line="252" w:before="0" w:after="20"/>
              <w:jc w:val="left"/>
              <w:rPr/>
            </w:pPr>
            <w:r>
              <w:rPr>
                <w:b w:val="false"/>
                <w:bCs w:val="false"/>
                <w:color w:val="1A1A1A"/>
                <w:sz w:val="16"/>
                <w:szCs w:val="16"/>
              </w:rPr>
              <w:t xml:space="preserve">390300504: Support service for knowledge and technology transfer.</w:t>
            </w:r>
          </w:p>
          <w:p>
            <w:pPr>
              <w:pStyle w:val="Normal"/>
              <w:keepNext w:val="false"/>
              <w:spacing w:lineRule="exact" w:line="252" w:before="0" w:after="20"/>
              <w:jc w:val="left"/>
              <w:rPr/>
            </w:pPr>
            <w:r>
              <w:rPr>
                <w:b w:val="false"/>
                <w:bCs w:val="false"/>
                <w:color w:val="1A1A1A"/>
                <w:sz w:val="16"/>
                <w:szCs w:val="16"/>
              </w:rPr>
              <w:t xml:space="preserve">020700901: Monitoring service for risk management.</w:t>
            </w:r>
          </w:p>
          <w:p>
            <w:pPr>
              <w:pStyle w:val="Normal"/>
              <w:keepNext w:val="false"/>
              <w:spacing w:lineRule="exact" w:line="252" w:before="0" w:after="20"/>
              <w:jc w:val="left"/>
              <w:rPr/>
            </w:pPr>
            <w:r>
              <w:rPr>
                <w:b w:val="false"/>
                <w:bCs w:val="false"/>
                <w:color w:val="1A1A1A"/>
                <w:sz w:val="16"/>
                <w:szCs w:val="16"/>
              </w:rPr>
              <w:t xml:space="preserve">230208601: Information services for the implementation of the Digital Government Strategy.</w:t>
            </w:r>
          </w:p>
          <w:p>
            <w:pPr>
              <w:pStyle w:val="Normal"/>
              <w:keepNext w:val="false"/>
              <w:spacing w:lineRule="exact" w:line="252" w:before="0" w:after="20"/>
              <w:jc w:val="left"/>
              <w:rPr/>
            </w:pPr>
            <w:r>
              <w:rPr>
                <w:b w:val="false"/>
                <w:bCs w:val="false"/>
                <w:color w:val="1A1A1A"/>
                <w:sz w:val="16"/>
                <w:szCs w:val="16"/>
              </w:rPr>
              <w:t xml:space="preserve">320400601: Real-time forecast and alert information service.</w:t>
            </w:r>
          </w:p>
          <w:p>
            <w:pPr>
              <w:pStyle w:val="Normal"/>
              <w:keepNext w:val="false"/>
              <w:spacing w:lineRule="exact" w:line="252" w:before="0" w:after="20"/>
              <w:jc w:val="left"/>
              <w:rPr/>
            </w:pPr>
            <w:r>
              <w:rPr>
                <w:b w:val="false"/>
                <w:bCs w:val="false"/>
                <w:color w:val="1A1A1A"/>
                <w:sz w:val="16"/>
                <w:szCs w:val="16"/>
              </w:rPr>
              <w:t xml:space="preserve">390100705: Information services for STI.</w:t>
            </w:r>
          </w:p>
          <w:p>
            <w:pPr>
              <w:pStyle w:val="Normal"/>
              <w:keepNext w:val="false"/>
              <w:spacing w:lineRule="exact" w:line="252" w:before="0" w:after="20"/>
              <w:jc w:val="left"/>
              <w:rPr/>
            </w:pPr>
            <w:r>
              <w:rPr>
                <w:b w:val="false"/>
                <w:bCs w:val="false"/>
                <w:color w:val="1A1A1A"/>
                <w:sz w:val="16"/>
                <w:szCs w:val="16"/>
              </w:rPr>
              <w:t xml:space="preserve">390200103: Financial support service for generating new knowledge.</w:t>
            </w:r>
          </w:p>
          <w:p>
            <w:pPr>
              <w:pStyle w:val="Normal"/>
              <w:keepNext w:val="false"/>
              <w:spacing w:lineRule="exact" w:line="252" w:before="0" w:after="20"/>
              <w:jc w:val="left"/>
              <w:rPr/>
            </w:pPr>
            <w:r>
              <w:rPr>
                <w:b w:val="false"/>
                <w:bCs w:val="false"/>
                <w:color w:val="1A1A1A"/>
                <w:sz w:val="16"/>
                <w:szCs w:val="16"/>
              </w:rPr>
              <w:t xml:space="preserve">Training on the platform.</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The means of verification required by the DNP is the number of information systems (software) completed by month 16 according to the schedule.</w:t>
            </w:r>
          </w:p>
          <w:p>
            <w:pPr>
              <w:pStyle w:val="Normal"/>
              <w:keepNext w:val="false"/>
              <w:spacing w:lineRule="exact" w:line="252" w:before="0" w:after="20"/>
              <w:jc w:val="left"/>
              <w:rPr/>
            </w:pPr>
            <w:r>
              <w:rPr>
                <w:b w:val="false"/>
                <w:bCs w:val="false"/>
                <w:color w:val="1A1A1A"/>
                <w:sz w:val="16"/>
                <w:szCs w:val="16"/>
              </w:rPr>
              <w:t xml:space="preserve">2. Number of third-party organizations exploiting the license/patent rights, according to the DNP. It will be verified during the 10 investment recovery periods after the project.</w:t>
            </w:r>
          </w:p>
          <w:p>
            <w:pPr>
              <w:pStyle w:val="Normal"/>
              <w:keepNext w:val="false"/>
              <w:spacing w:lineRule="exact" w:line="252" w:before="0" w:after="20"/>
              <w:jc w:val="left"/>
              <w:rPr/>
            </w:pPr>
            <w:r>
              <w:rPr>
                <w:b w:val="false"/>
                <w:bCs w:val="false"/>
                <w:color w:val="1A1A1A"/>
                <w:sz w:val="16"/>
                <w:szCs w:val="16"/>
              </w:rPr>
              <w:t xml:space="preserve">3. The means of verification required by the DNP is the number of bulletins issued by the service. It will be verified during the 10 investment recovery periods after the project.</w:t>
            </w:r>
          </w:p>
          <w:p>
            <w:pPr>
              <w:pStyle w:val="Normal"/>
              <w:keepNext w:val="false"/>
              <w:spacing w:lineRule="exact" w:line="252" w:before="0" w:after="20"/>
              <w:jc w:val="left"/>
              <w:rPr/>
            </w:pPr>
            <w:r>
              <w:rPr>
                <w:b w:val="false"/>
                <w:bCs w:val="false"/>
                <w:color w:val="1A1A1A"/>
                <w:sz w:val="16"/>
                <w:szCs w:val="16"/>
              </w:rPr>
              <w:t xml:space="preserve">4. The means of verification required by the DNP is the number of information technology tools (in this case the interface platform) by month 18 of the schedule.</w:t>
            </w:r>
          </w:p>
          <w:p>
            <w:pPr>
              <w:pStyle w:val="Normal"/>
              <w:keepNext w:val="false"/>
              <w:spacing w:lineRule="exact" w:line="252" w:before="0" w:after="20"/>
              <w:jc w:val="left"/>
              <w:rPr/>
            </w:pPr>
            <w:r>
              <w:rPr>
                <w:b w:val="false"/>
                <w:bCs w:val="false"/>
                <w:color w:val="1A1A1A"/>
                <w:sz w:val="16"/>
                <w:szCs w:val="16"/>
              </w:rPr>
              <w:t xml:space="preserve">5. The means of verification required by the DNP is the number of reports issued by the service. It will be verified during the 10 investment recovery periods after the project.</w:t>
            </w:r>
          </w:p>
          <w:p>
            <w:pPr>
              <w:pStyle w:val="Normal"/>
              <w:keepNext w:val="false"/>
              <w:spacing w:lineRule="exact" w:line="252" w:before="0" w:after="20"/>
              <w:jc w:val="left"/>
              <w:rPr/>
            </w:pPr>
            <w:r>
              <w:rPr>
                <w:b w:val="false"/>
                <w:bCs w:val="false"/>
                <w:color w:val="1A1A1A"/>
                <w:sz w:val="16"/>
                <w:szCs w:val="16"/>
              </w:rPr>
              <w:t xml:space="preserve">6. The reports produced during project execution will be verified with the Digital Government Index score, as required by the DNP. These reports will be produced and delivered at the completion of each objective, in months 4, 12, 16, 18 and 22 of the schedule.</w:t>
            </w:r>
          </w:p>
          <w:p>
            <w:pPr>
              <w:pStyle w:val="Normal"/>
              <w:keepNext w:val="false"/>
              <w:spacing w:lineRule="exact" w:line="252" w:before="0" w:after="20"/>
              <w:jc w:val="left"/>
              <w:rPr/>
            </w:pPr>
            <w:r>
              <w:rPr>
                <w:b w:val="false"/>
                <w:bCs w:val="false"/>
                <w:color w:val="1A1A1A"/>
                <w:sz w:val="16"/>
                <w:szCs w:val="16"/>
              </w:rPr>
              <w:t xml:space="preserve">7. The means of verification required by the DNP is the number of databases produced, by month 4 according to the schedule.</w:t>
            </w:r>
          </w:p>
          <w:p>
            <w:pPr>
              <w:pStyle w:val="Normal"/>
              <w:keepNext w:val="false"/>
              <w:spacing w:lineRule="exact" w:line="252" w:before="0" w:after="20"/>
              <w:jc w:val="left"/>
              <w:rPr/>
            </w:pPr>
            <w:r>
              <w:rPr>
                <w:b w:val="false"/>
                <w:bCs w:val="false"/>
                <w:color w:val="1A1A1A"/>
                <w:sz w:val="16"/>
                <w:szCs w:val="16"/>
              </w:rPr>
              <w:t xml:space="preserve">8. 10 DAGRAN staff members trained in the use of the platform from month 22 to 24.</w:t>
            </w:r>
          </w:p>
        </w:tc>
        <w:tc>
          <w:tcPr>
            <w:tcW w:w="286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1. Historical records and geological data will be sufficient to train the model.</w:t>
            </w:r>
          </w:p>
          <w:p>
            <w:pPr>
              <w:pStyle w:val="Normal"/>
              <w:keepNext w:val="false"/>
              <w:spacing w:lineRule="exact" w:line="252" w:before="0" w:after="20"/>
              <w:jc w:val="left"/>
              <w:rPr/>
            </w:pPr>
            <w:r>
              <w:rPr>
                <w:b w:val="false"/>
                <w:bCs w:val="false"/>
                <w:color w:val="1A1A1A"/>
                <w:sz w:val="16"/>
                <w:szCs w:val="16"/>
              </w:rPr>
              <w:t xml:space="preserve">2. Access to external databases will be guaranteed and up to date, without significant interruptions.</w:t>
            </w:r>
          </w:p>
          <w:p>
            <w:pPr>
              <w:pStyle w:val="Normal"/>
              <w:keepNext w:val="false"/>
              <w:spacing w:lineRule="exact" w:line="252" w:before="0" w:after="20"/>
              <w:jc w:val="left"/>
              <w:rPr/>
            </w:pPr>
            <w:r>
              <w:rPr>
                <w:b w:val="false"/>
                <w:bCs w:val="false"/>
                <w:color w:val="1A1A1A"/>
                <w:sz w:val="16"/>
                <w:szCs w:val="16"/>
              </w:rPr>
              <w:t xml:space="preserve">3. The servers and systems used for monitoring must be operational 24/7 with a support system.</w:t>
            </w:r>
          </w:p>
        </w:tc>
      </w:tr>
      <w:tr>
        <w:trPr>
          <w:cantSplit w:val="true"/>
        </w:trPr>
        <w:tc>
          <w:tcPr>
            <w:tcW w:w="13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Activities</w:t>
            </w:r>
          </w:p>
        </w:tc>
        <w:tc>
          <w:tcPr>
            <w:tcW w:w="286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The activities to be carried out are described according to the schedule in Table 2 of this document, together with the budget breakdown by subsystem and the corresponding process monitoring.</w:t>
            </w:r>
          </w:p>
        </w:tc>
        <w:tc>
          <w:tcPr>
            <w:tcW w:w="31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 20%: Licenses and acquisition of databases (non-free sources).</w:t>
            </w:r>
          </w:p>
          <w:p>
            <w:pPr>
              <w:pStyle w:val="Normal"/>
              <w:keepNext w:val="false"/>
              <w:spacing w:lineRule="exact" w:line="252" w:before="0" w:after="20"/>
              <w:jc w:val="left"/>
              <w:rPr/>
            </w:pPr>
            <w:r>
              <w:rPr>
                <w:b w:val="false"/>
                <w:bCs w:val="false"/>
                <w:color w:val="1A1A1A"/>
                <w:sz w:val="16"/>
                <w:szCs w:val="16"/>
              </w:rPr>
              <w:t xml:space="preserve">2. 35%: Employee salaries (data scientists, software engineers, risk analysts, etc.).</w:t>
            </w:r>
          </w:p>
          <w:p>
            <w:pPr>
              <w:pStyle w:val="Normal"/>
              <w:keepNext w:val="false"/>
              <w:spacing w:lineRule="exact" w:line="252" w:before="0" w:after="20"/>
              <w:jc w:val="left"/>
              <w:rPr/>
            </w:pPr>
            <w:r>
              <w:rPr>
                <w:b w:val="false"/>
                <w:bCs w:val="false"/>
                <w:color w:val="1A1A1A"/>
                <w:sz w:val="16"/>
                <w:szCs w:val="16"/>
              </w:rPr>
              <w:t xml:space="preserve">3. 15%: Enterprise licenses for the YOLO v5 neural network.</w:t>
            </w:r>
          </w:p>
          <w:p>
            <w:pPr>
              <w:pStyle w:val="Normal"/>
              <w:keepNext w:val="false"/>
              <w:spacing w:lineRule="exact" w:line="252" w:before="0" w:after="20"/>
              <w:jc w:val="left"/>
              <w:rPr/>
            </w:pPr>
            <w:r>
              <w:rPr>
                <w:b w:val="false"/>
                <w:bCs w:val="false"/>
                <w:color w:val="1A1A1A"/>
                <w:sz w:val="16"/>
                <w:szCs w:val="16"/>
              </w:rPr>
              <w:t xml:space="preserve">4. 20%: Servers for deploying and processing the developed software (including cloud storage and processing costs).</w:t>
            </w:r>
          </w:p>
          <w:p>
            <w:pPr>
              <w:pStyle w:val="Normal"/>
              <w:keepNext w:val="false"/>
              <w:spacing w:lineRule="exact" w:line="252" w:before="0" w:after="20"/>
              <w:jc w:val="left"/>
              <w:rPr/>
            </w:pPr>
            <w:r>
              <w:rPr>
                <w:b w:val="false"/>
                <w:bCs w:val="false"/>
                <w:color w:val="1A1A1A"/>
                <w:sz w:val="16"/>
                <w:szCs w:val="16"/>
              </w:rPr>
              <w:t xml:space="preserve">5. 10%: Miscellaneous expenses (software maintenance, technical support, etc.).</w:t>
            </w:r>
          </w:p>
        </w:tc>
        <w:tc>
          <w:tcPr>
            <w:tcW w:w="286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As indicated in the budget, the executing entity will be supervised by a third-party accounting firm that will audit its compliance. The specific means of verification for the activities can be found in the methodology section, Table 9. Payments are made on delivery: once the means of verification of the products are approved, the executor is paid.</w:t>
            </w:r>
          </w:p>
        </w:tc>
        <w:tc>
          <w:tcPr>
            <w:tcW w:w="286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1. The algorithm tests will reflect the scenarios.</w:t>
            </w:r>
          </w:p>
          <w:p>
            <w:pPr>
              <w:pStyle w:val="Normal"/>
              <w:keepNext w:val="false"/>
              <w:spacing w:lineRule="exact" w:line="252" w:before="0" w:after="20"/>
              <w:jc w:val="left"/>
              <w:rPr/>
            </w:pPr>
            <w:r>
              <w:rPr>
                <w:b w:val="false"/>
                <w:bCs w:val="false"/>
                <w:color w:val="1A1A1A"/>
                <w:sz w:val="16"/>
                <w:szCs w:val="16"/>
              </w:rPr>
              <w:t xml:space="preserve">2. The costs of software licenses and commercial databases are included in the budget, avoiding implementation delays.</w:t>
            </w:r>
          </w:p>
          <w:p>
            <w:pPr>
              <w:pStyle w:val="Normal"/>
              <w:keepNext w:val="false"/>
              <w:spacing w:lineRule="exact" w:line="252" w:before="0" w:after="20"/>
              <w:jc w:val="left"/>
              <w:rPr/>
            </w:pPr>
            <w:r>
              <w:rPr>
                <w:b w:val="false"/>
                <w:bCs w:val="false"/>
                <w:color w:val="1A1A1A"/>
                <w:sz w:val="16"/>
                <w:szCs w:val="16"/>
              </w:rPr>
              <w:t xml:space="preserve">3. The development team must be fully available to test and adjust the system as needed without affecting project deadlines.</w:t>
            </w:r>
          </w:p>
          <w:p>
            <w:pPr>
              <w:pStyle w:val="Normal"/>
              <w:keepNext w:val="false"/>
              <w:spacing w:lineRule="exact" w:line="252" w:before="0" w:after="20"/>
              <w:jc w:val="left"/>
              <w:rPr/>
            </w:pPr>
            <w:r>
              <w:rPr>
                <w:b w:val="false"/>
                <w:bCs w:val="false"/>
                <w:color w:val="1A1A1A"/>
                <w:sz w:val="16"/>
                <w:szCs w:val="16"/>
              </w:rPr>
              <w:t xml:space="preserve">4. The project must be 100% delivered on the stipulated date.</w:t>
            </w:r>
          </w:p>
        </w:tc>
      </w:tr>
    </w:tbl>
    <w:p>
      <w:pPr>
        <w:sectPr>
          <w:headerReference w:type="default" r:id="rId18"/>
          <w:headerReference w:type="first" r:id="rId19"/>
          <w:footerReference w:type="default" r:id="rId20"/>
          <w:footerReference w:type="first" r:id="rId21"/>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1"/>
        <w:rPr/>
      </w:pPr>
      <w:bookmarkStart w:id="70" w:name="__RefHeading___Toc7959_1931662957"/>
      <w:bookmarkEnd w:id="70"/>
      <w:r>
        <w:rPr/>
        <w:t xml:space="preserve">14. Impacts</w:t>
      </w:r>
    </w:p>
    <w:p>
      <w:pPr>
        <w:pStyle w:val="Normal"/>
        <w:spacing w:lineRule="exact" w:line="288" w:before="0" w:after="140"/>
        <w:jc w:val="both"/>
        <w:rPr/>
      </w:pPr>
      <w:r>
        <w:rPr/>
        <w:t xml:space="preserve">The impacts are classified according to the categories of the course methodology —environment and society, science and technology, and productivity and competitiveness— with their indicator, means of verification and time frame (Table 18). </w:t>
      </w:r>
      <w:r>
        <w:rPr>
          <w:b/>
          <w:bCs/>
        </w:rPr>
        <w:t xml:space="preserve">Short term</w:t>
      </w:r>
      <w:r>
        <w:rPr/>
        <w:t xml:space="preserve"> means up to 2 years (execution period), </w:t>
      </w:r>
      <w:r>
        <w:rPr>
          <w:b/>
          <w:bCs/>
        </w:rPr>
        <w:t xml:space="preserve">medium term</w:t>
      </w:r>
      <w:r>
        <w:rPr/>
        <w:t xml:space="preserve"> between 3 and 5 years, and </w:t>
      </w:r>
      <w:r>
        <w:rPr>
          <w:b/>
          <w:bCs/>
        </w:rPr>
        <w:t xml:space="preserve">long term</w:t>
      </w:r>
      <w:r>
        <w:rPr/>
        <w:t xml:space="preserve"> more than 5 years after the project ends.</w:t>
      </w:r>
    </w:p>
    <w:p>
      <w:pPr>
        <w:pStyle w:val="TableCaption"/>
        <w:keepNext w:val="true"/>
        <w:spacing w:before="200" w:after="80"/>
        <w:rPr/>
      </w:pPr>
      <w:bookmarkStart w:id="71" w:name="__RefHeading___Toc8055_1931662957"/>
      <w:bookmarkEnd w:id="71"/>
      <w:r>
        <w:rPr>
          <w:b/>
          <w:bCs/>
          <w:color w:val="1F3864"/>
        </w:rPr>
        <w:t xml:space="preserve">Table </w:t>
        <w:fldChar w:fldCharType="begin"/>
        <w:instrText xml:space="preserve"> SEQ Tabla \* ARABIC </w:instrText>
        <w:fldChar w:fldCharType="separate"/>
        <w:t xml:space="preserve">18</w:t>
        <w:fldChar w:fldCharType="end"/>
        <w:t xml:space="preserve">. </w:t>
      </w:r>
      <w:r>
        <w:rPr>
          <w:i/>
          <w:iCs/>
        </w:rPr>
        <w:t xml:space="preserve">Project impacts</w:t>
      </w:r>
    </w:p>
    <w:tbl>
      <w:tblPr>
        <w:tblW w:w="9406" w:type="dxa"/>
        <w:jc w:val="left"/>
        <w:tblInd w:w="0" w:type="dxa"/>
        <w:tblLayout w:type="fixed"/>
        <w:tblCellMar>
          <w:top w:w="50" w:type="dxa"/>
          <w:left w:w="80" w:type="dxa"/>
          <w:bottom w:w="50" w:type="dxa"/>
          <w:right w:w="80" w:type="dxa"/>
        </w:tblCellMar>
      </w:tblPr>
      <w:tblGrid>
        <w:gridCol w:w="1881"/>
        <w:gridCol w:w="3009"/>
        <w:gridCol w:w="3198"/>
        <w:gridCol w:w="1317"/>
      </w:tblGrid>
      <w:tr>
        <w:trPr>
          <w:tblHeader w:val="true"/>
          <w:cantSplit w:val="true"/>
        </w:trPr>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Type of impact</w:t>
            </w:r>
          </w:p>
        </w:tc>
        <w:tc>
          <w:tcPr>
            <w:tcW w:w="300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Indicators</w:t>
            </w:r>
          </w:p>
        </w:tc>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Means of verification</w:t>
            </w:r>
          </w:p>
        </w:tc>
        <w:tc>
          <w:tcPr>
            <w:tcW w:w="131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Time frame</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Environment and society</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Reduction in the number of deaths, missing persons and directly affected persons attributed to disasters per 100,000 population.</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DAGRAN reports on damage reduction or disasters avoided, for period 5 of the investment payback.</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Long term</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Science and technology</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Neural-network service for technological development and innovation, trained with geological, geotechnical and hydrological analysis and validated in 16 months.</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Number of information systems (software) completed by month 16 according to the schedule.</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Medium term</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Productivity and competitiveness</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Days of normal freight traffic on the Medellín–Bogotá highway.</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Traffic-flow statistics issued by INVIAS for the monitored roads over the 10 budget payback periods defined in the net cash flow, for the study site.</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Medium term</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Productivity and competitiveness</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Expanded use of the software in other geographical areas, subject to demand</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Number of reports issued by the service. It will be verified during the 10 investment recovery periods after the project.</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Medium term</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Productivity and competitiveness</w:t>
            </w:r>
          </w:p>
        </w:tc>
        <w:tc>
          <w:tcPr>
            <w:tcW w:w="300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Kilometers of road that no longer need regular maintenance compared with the previous period</w:t>
            </w:r>
          </w:p>
        </w:tc>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Annual report of the Ministry of Transport on national road maintenance (evaluated over the 10 investment payback periods)</w:t>
            </w:r>
          </w:p>
        </w:tc>
        <w:tc>
          <w:tcPr>
            <w:tcW w:w="131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Medium term</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Science and technology</w:t>
            </w:r>
          </w:p>
        </w:tc>
        <w:tc>
          <w:tcPr>
            <w:tcW w:w="300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Development and licensing of computer-vision monitoring methodologies</w:t>
            </w:r>
          </w:p>
        </w:tc>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Number of third-party organizations exploiting the license/patent rights.</w:t>
            </w:r>
          </w:p>
        </w:tc>
        <w:tc>
          <w:tcPr>
            <w:tcW w:w="131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Short term</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r>
        <w:br w:type="page"/>
      </w:r>
    </w:p>
    <w:p>
      <w:pPr>
        <w:pStyle w:val="Heading1"/>
        <w:rPr/>
      </w:pPr>
      <w:bookmarkStart w:id="72" w:name="__RefHeading___Toc7961_1931662957"/>
      <w:bookmarkEnd w:id="72"/>
      <w:r>
        <w:rPr/>
        <w:t xml:space="preserve">15. Dissemination strategy</w:t>
      </w:r>
    </w:p>
    <w:p>
      <w:pPr>
        <w:pStyle w:val="Normal"/>
        <w:spacing w:lineRule="exact" w:line="288" w:before="0" w:after="140"/>
        <w:jc w:val="both"/>
        <w:rPr/>
      </w:pPr>
      <w:r>
        <w:rPr/>
        <w:t xml:space="preserve">The dissemination strategy (Table 19) combines products for the social appropriation of knowledge and for scientific dissemination, each with its expected result, indicator, beneficiaries and means of verification.</w:t>
      </w:r>
    </w:p>
    <w:p>
      <w:pPr>
        <w:pStyle w:val="TableCaption"/>
        <w:keepNext w:val="true"/>
        <w:spacing w:before="200" w:after="80"/>
        <w:rPr/>
      </w:pPr>
      <w:bookmarkStart w:id="73" w:name="__RefHeading___Toc8053_1931662957"/>
      <w:bookmarkEnd w:id="73"/>
      <w:r>
        <w:rPr>
          <w:b/>
          <w:bCs/>
          <w:color w:val="1F3864"/>
        </w:rPr>
        <w:t xml:space="preserve">Table </w:t>
        <w:fldChar w:fldCharType="begin"/>
        <w:instrText xml:space="preserve"> SEQ Tabla \* ARABIC </w:instrText>
        <w:fldChar w:fldCharType="separate"/>
        <w:t xml:space="preserve">19</w:t>
        <w:fldChar w:fldCharType="end"/>
        <w:t xml:space="preserve">. </w:t>
      </w:r>
      <w:r>
        <w:rPr>
          <w:i/>
          <w:iCs/>
        </w:rPr>
        <w:t xml:space="preserve">Dissemination strategy</w:t>
      </w:r>
    </w:p>
    <w:tbl>
      <w:tblPr>
        <w:tblW w:w="9406" w:type="dxa"/>
        <w:jc w:val="left"/>
        <w:tblInd w:w="0" w:type="dxa"/>
        <w:tblLayout w:type="fixed"/>
        <w:tblCellMar>
          <w:top w:w="50" w:type="dxa"/>
          <w:left w:w="80" w:type="dxa"/>
          <w:bottom w:w="50" w:type="dxa"/>
          <w:right w:w="80" w:type="dxa"/>
        </w:tblCellMar>
      </w:tblPr>
      <w:tblGrid>
        <w:gridCol w:w="1599"/>
        <w:gridCol w:w="2069"/>
        <w:gridCol w:w="1786"/>
        <w:gridCol w:w="1693"/>
        <w:gridCol w:w="2259"/>
      </w:tblGrid>
      <w:tr>
        <w:trPr>
          <w:tblHeader w:val="true"/>
          <w:cantSplit w:val="true"/>
        </w:trPr>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Type of product</w:t>
            </w:r>
          </w:p>
        </w:tc>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Expected result</w:t>
            </w:r>
          </w:p>
        </w:tc>
        <w:tc>
          <w:tcPr>
            <w:tcW w:w="17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Indicator</w:t>
            </w:r>
          </w:p>
        </w:tc>
        <w:tc>
          <w:tcPr>
            <w:tcW w:w="169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Beneficiary</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8"/>
                <w:szCs w:val="18"/>
              </w:rPr>
              <w:t xml:space="preserve">Means of verification</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Conference presentation</w:t>
            </w:r>
          </w:p>
        </w:tc>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Presentation of the software's results and functions at geoscience and environmental technology conferences</w:t>
            </w:r>
          </w:p>
        </w:tc>
        <w:tc>
          <w:tcPr>
            <w:tcW w:w="17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Number of attendees, groups and entities at the presentation, and positive feedback</w:t>
            </w:r>
          </w:p>
        </w:tc>
        <w:tc>
          <w:tcPr>
            <w:tcW w:w="169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Scientific community and environmental authorities</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Participation certificates and conference proceedings supporting the presentation of the work. The presentation is proposed for the PIARC 2026 congress of the World Road Association, at a cost of COP 10,000,000 per speaker (three speakers are planned), contributed in kind by EAFIT</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Presentation of results to the competent authorities</w:t>
            </w:r>
          </w:p>
        </w:tc>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Demonstration of the software to government entities for its integration into landslide risk-management plans</w:t>
            </w:r>
          </w:p>
        </w:tc>
        <w:tc>
          <w:tcPr>
            <w:tcW w:w="178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Number of agreements signed and documents approved for implementation</w:t>
            </w:r>
          </w:p>
        </w:tc>
        <w:tc>
          <w:tcPr>
            <w:tcW w:w="169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Risk-management authorities, municipalities and NGOs</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Meeting minutes, agreement documents and signed memoranda of understanding. One event with the community action board of the selected road section is estimated at COP 15,000,000</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Training DAGRAN professionals on the platform</w:t>
            </w:r>
          </w:p>
        </w:tc>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Training of 10 DAGRAN risk-management professionals in the use of the software for predictive landslide analysis</w:t>
            </w:r>
          </w:p>
        </w:tc>
        <w:tc>
          <w:tcPr>
            <w:tcW w:w="17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Number of training sessions held and assessment of the skills acquired</w:t>
            </w:r>
          </w:p>
        </w:tc>
        <w:tc>
          <w:tcPr>
            <w:tcW w:w="169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Risk-management teams, civil engineering professionals and community members</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Training reports and satisfaction surveys assessing learning and the applicability of the software. Considering a cost of COP 2,500,000 per student.</w:t>
            </w:r>
          </w:p>
        </w:tc>
      </w:tr>
      <w:tr>
        <w:trPr>
          <w:cantSplit w:val="true"/>
        </w:trPr>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Community awareness campaigns</w:t>
            </w:r>
          </w:p>
        </w:tc>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Raising public awareness of landslide risk and of the software's usefulness in preventing it</w:t>
            </w:r>
          </w:p>
        </w:tc>
        <w:tc>
          <w:tcPr>
            <w:tcW w:w="178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Number of people reached and attendees at awareness workshops</w:t>
            </w:r>
          </w:p>
        </w:tc>
        <w:tc>
          <w:tcPr>
            <w:tcW w:w="169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Vulnerable communities, especially in landslide-prone areas</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8"/>
                <w:szCs w:val="18"/>
              </w:rPr>
              <w:t xml:space="preserve">Pre- and post-campaign surveys measuring the change in risk perception and knowledge of how to use the software. A total cost of COP 15,000,000 is estimated for holding these workshops with the community.</w:t>
            </w:r>
          </w:p>
        </w:tc>
      </w:tr>
    </w:tbl>
    <w:p>
      <w:pPr>
        <w:sectPr>
          <w:headerReference w:type="default" r:id="rId22"/>
          <w:headerReference w:type="first" r:id="rId23"/>
          <w:footerReference w:type="default" r:id="rId24"/>
          <w:footerReference w:type="first" r:id="rId25"/>
          <w:type w:val="nextPage"/>
          <w:pgSz w:w="12240" w:h="158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1"/>
        <w:rPr/>
      </w:pPr>
      <w:bookmarkStart w:id="74" w:name="__RefHeading___Toc7963_1931662957"/>
      <w:bookmarkEnd w:id="74"/>
      <w:r>
        <w:rPr/>
        <w:t xml:space="preserve">16. Schedule</w:t>
      </w:r>
    </w:p>
    <w:p>
      <w:pPr>
        <w:pStyle w:val="Normal"/>
        <w:spacing w:lineRule="exact" w:line="288" w:before="0" w:after="140"/>
        <w:jc w:val="both"/>
        <w:rPr/>
      </w:pPr>
      <w:r>
        <w:rPr/>
        <w:t xml:space="preserve">The schedule (Table 20) distributes the activities over the 24 months of execution, grouped into two-month periods.</w:t>
      </w:r>
    </w:p>
    <w:p>
      <w:pPr>
        <w:pStyle w:val="TableCaption"/>
        <w:keepNext w:val="true"/>
        <w:spacing w:before="200" w:after="80"/>
        <w:rPr/>
      </w:pPr>
      <w:bookmarkStart w:id="75" w:name="__RefHeading___Toc8051_1931662957"/>
      <w:bookmarkEnd w:id="75"/>
      <w:r>
        <w:rPr>
          <w:b/>
          <w:bCs/>
          <w:color w:val="1F3864"/>
        </w:rPr>
        <w:t xml:space="preserve">Table </w:t>
        <w:fldChar w:fldCharType="begin"/>
        <w:instrText xml:space="preserve"> SEQ Tabla \* ARABIC </w:instrText>
        <w:fldChar w:fldCharType="separate"/>
        <w:t xml:space="preserve">20</w:t>
        <w:fldChar w:fldCharType="end"/>
        <w:t xml:space="preserve">. </w:t>
      </w:r>
      <w:r>
        <w:rPr>
          <w:i/>
          <w:iCs/>
        </w:rPr>
        <w:t xml:space="preserve">Project schedule (Gantt chart)</w:t>
      </w:r>
    </w:p>
    <w:tbl>
      <w:tblPr>
        <w:tblW w:w="13006" w:type="dxa"/>
        <w:jc w:val="left"/>
        <w:tblInd w:w="0" w:type="dxa"/>
        <w:tblLayout w:type="fixed"/>
        <w:tblCellMar>
          <w:top w:w="50" w:type="dxa"/>
          <w:left w:w="80" w:type="dxa"/>
          <w:bottom w:w="50" w:type="dxa"/>
          <w:right w:w="80" w:type="dxa"/>
        </w:tblCellMar>
      </w:tblPr>
      <w:tblGrid>
        <w:gridCol w:w="2211"/>
        <w:gridCol w:w="2861"/>
        <w:gridCol w:w="650"/>
        <w:gridCol w:w="649"/>
        <w:gridCol w:w="780"/>
        <w:gridCol w:w="487"/>
        <w:gridCol w:w="488"/>
        <w:gridCol w:w="486"/>
        <w:gridCol w:w="488"/>
        <w:gridCol w:w="486"/>
        <w:gridCol w:w="488"/>
        <w:gridCol w:w="486"/>
        <w:gridCol w:w="488"/>
        <w:gridCol w:w="487"/>
        <w:gridCol w:w="486"/>
        <w:gridCol w:w="488"/>
        <w:gridCol w:w="497"/>
      </w:tblGrid>
      <w:tr>
        <w:trPr>
          <w:tblHeader w:val="true"/>
          <w:cantSplit w:val="true"/>
        </w:trPr>
        <w:tc>
          <w:tcPr>
            <w:tcW w:w="2211"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Specific objective</w:t>
            </w:r>
          </w:p>
        </w:tc>
        <w:tc>
          <w:tcPr>
            <w:tcW w:w="2861"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Activity</w:t>
            </w:r>
          </w:p>
        </w:tc>
        <w:tc>
          <w:tcPr>
            <w:tcW w:w="650"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Start (month)</w:t>
            </w:r>
          </w:p>
        </w:tc>
        <w:tc>
          <w:tcPr>
            <w:tcW w:w="649"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End (month)</w:t>
            </w:r>
          </w:p>
        </w:tc>
        <w:tc>
          <w:tcPr>
            <w:tcW w:w="780"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Duration (months)</w:t>
            </w:r>
          </w:p>
        </w:tc>
        <w:tc>
          <w:tcPr>
            <w:tcW w:w="5855" w:type="dxa"/>
            <w:gridSpan w:val="1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Two-month period</w:t>
            </w:r>
          </w:p>
        </w:tc>
      </w:tr>
      <w:tr>
        <w:trPr>
          <w:tblHeader w:val="true"/>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650"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649"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80"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4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1-2</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3-4</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5-6</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7-8</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9-10</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11-12</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13-14</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15-16</w:t>
            </w:r>
          </w:p>
        </w:tc>
        <w:tc>
          <w:tcPr>
            <w:tcW w:w="48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17-18</w:t>
            </w:r>
          </w:p>
        </w:tc>
        <w:tc>
          <w:tcPr>
            <w:tcW w:w="48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19-20</w:t>
            </w:r>
          </w:p>
        </w:tc>
        <w:tc>
          <w:tcPr>
            <w:tcW w:w="48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21-22</w:t>
            </w:r>
          </w:p>
        </w:tc>
        <w:tc>
          <w:tcPr>
            <w:tcW w:w="49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23-24</w:t>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SO1. Geospatial and meteorological database</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1.1 Requirements analysis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1.2 Database design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1.3 Database configuration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1.4 Data migration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1.5 Database testing</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1.6 Documentation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1.7 Deployment and maintenance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B7D3F6" w:val="clear"/>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SO2. Dynamic risk matrix</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2.1 Definition of context, parameters and scope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2.2 Risk assessment</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2.3 Risk treatment approach</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2.4 Implementation in the monitoring cycle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2.5 Communication and consultation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2.6 Recording and reporting</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8</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SO3. Neural-network algorithm</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3.1 Algorithm training</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3.2 Algorithm validation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3.3 Implementation on the platform</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16</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SO4. Software platform</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4.1 Requirements gathering</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4.2 Platform design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4.3 Software development</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4.4 Platform integration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4.5 Adjustments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15</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20</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6</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SO5. Pilot tests</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5.1 Pilot test planning</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17</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18</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5.2 Pilot test execution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20</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5.3 Iteration and optimization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19</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4</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5.4 Final system validation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21</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22</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r>
      <w:tr>
        <w:trPr>
          <w:cantSplit w:val="true"/>
        </w:trPr>
        <w:tc>
          <w:tcPr>
            <w:tcW w:w="2211" w:type="dxa"/>
            <w:vMerge w:val="restart"/>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SO6. Reports and dissemination</w:t>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6.1 Logical report commands</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6.2 Presentation at an international conference</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r>
        <w:trPr>
          <w:cantSplit w:val="true"/>
        </w:trPr>
        <w:tc>
          <w:tcPr>
            <w:tcW w:w="2211"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286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6.3 Awareness campaign</w:t>
            </w:r>
          </w:p>
        </w:tc>
        <w:tc>
          <w:tcPr>
            <w:tcW w:w="6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23</w:t>
            </w:r>
          </w:p>
        </w:tc>
        <w:tc>
          <w:tcPr>
            <w:tcW w:w="6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24</w:t>
            </w:r>
          </w:p>
        </w:tc>
        <w:tc>
          <w:tcPr>
            <w:tcW w:w="7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5"/>
                <w:szCs w:val="15"/>
              </w:rPr>
              <w:t>2</w:t>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8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497" w:type="dxa"/>
            <w:tcBorders>
              <w:top w:val="single" w:sz="4" w:space="0" w:color="BFC7D5"/>
              <w:left w:val="single" w:sz="4" w:space="0" w:color="BFC7D5"/>
              <w:bottom w:val="single" w:sz="4" w:space="0" w:color="BFC7D5"/>
              <w:right w:val="single" w:sz="4" w:space="0" w:color="BFC7D5"/>
            </w:tcBorders>
            <w:shd w:color="auto" w:fill="2A78D6" w:val="clear"/>
          </w:tcPr>
          <w:p>
            <w:pPr>
              <w:pStyle w:val="Normal"/>
              <w:keepNext w:val="false"/>
              <w:spacing w:lineRule="exact" w:line="252" w:before="0" w:after="20"/>
              <w:jc w:val="center"/>
              <w:rPr/>
            </w:pPr>
            <w:r>
              <w:rPr/>
            </w:r>
          </w:p>
        </w:tc>
      </w:tr>
    </w:tbl>
    <w:p>
      <w:pPr>
        <w:sectPr>
          <w:headerReference w:type="default" r:id="rId26"/>
          <w:headerReference w:type="first" r:id="rId27"/>
          <w:footerReference w:type="default" r:id="rId28"/>
          <w:footerReference w:type="first" r:id="rId29"/>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 Dark blue: development activities; light blue: continuous operational activities.</w:t>
      </w:r>
    </w:p>
    <w:p>
      <w:pPr>
        <w:pStyle w:val="Heading1"/>
        <w:rPr/>
      </w:pPr>
      <w:bookmarkStart w:id="76" w:name="__RefHeading___Toc7965_1931662957"/>
      <w:bookmarkEnd w:id="76"/>
      <w:r>
        <w:rPr/>
        <w:t xml:space="preserve">17. Budget</w:t>
      </w:r>
    </w:p>
    <w:p>
      <w:pPr>
        <w:pStyle w:val="Normal"/>
        <w:spacing w:lineRule="exact" w:line="288" w:before="0" w:after="140"/>
        <w:jc w:val="both"/>
        <w:rPr/>
      </w:pPr>
      <w:r>
        <w:rPr/>
        <w:t xml:space="preserve">The total project budget amounts to </w:t>
      </w:r>
      <w:r>
        <w:rPr>
          <w:b/>
          <w:bCs/>
        </w:rPr>
        <w:t xml:space="preserve">COP 2,020,666,816</w:t>
      </w:r>
      <w:r>
        <w:rPr/>
        <w:t xml:space="preserve"> for the 24 months of execution. Each budget item is described below with its funding sources: the ally URBAM, the Universidad EAFIT counterpart contribution (in kind and in cash) and the funder (cash resources from the STI Fund of the General Royalties System or from Fondo Adaptación).</w:t>
      </w:r>
    </w:p>
    <w:p>
      <w:pPr>
        <w:pStyle w:val="Heading2"/>
        <w:rPr/>
      </w:pPr>
      <w:bookmarkStart w:id="77" w:name="__RefHeading___Toc7967_1931662957"/>
      <w:bookmarkEnd w:id="77"/>
      <w:r>
        <w:rPr/>
        <w:t xml:space="preserve">17.1. Human resources</w:t>
      </w:r>
    </w:p>
    <w:p>
      <w:pPr>
        <w:pStyle w:val="Normal"/>
        <w:spacing w:lineRule="exact" w:line="288" w:before="0" w:after="140"/>
        <w:jc w:val="both"/>
        <w:rPr/>
      </w:pPr>
      <w:r>
        <w:rPr/>
        <w:t xml:space="preserve">Corresponds to the staff in Table 2. The cost is calculated as the salary with benefits (a factor of 1.55 on the base salary) multiplied by the number of months and by the fraction of weekly dedication over a 48-hour working week. This item totals COP 601,787,500 (29.8% of the total) and is fully covered by the funder.</w:t>
      </w:r>
    </w:p>
    <w:p>
      <w:pPr>
        <w:pStyle w:val="TableCaption"/>
        <w:keepNext w:val="true"/>
        <w:spacing w:before="200" w:after="80"/>
        <w:rPr/>
      </w:pPr>
      <w:bookmarkStart w:id="78" w:name="__RefHeading___Toc8049_1931662957"/>
      <w:bookmarkEnd w:id="78"/>
      <w:r>
        <w:rPr>
          <w:b/>
          <w:bCs/>
          <w:color w:val="1F3864"/>
        </w:rPr>
        <w:t xml:space="preserve">Table </w:t>
        <w:fldChar w:fldCharType="begin"/>
        <w:instrText xml:space="preserve"> SEQ Tabla \* ARABIC </w:instrText>
        <w:fldChar w:fldCharType="separate"/>
        <w:t xml:space="preserve">21</w:t>
        <w:fldChar w:fldCharType="end"/>
        <w:t xml:space="preserve">. </w:t>
      </w:r>
      <w:r>
        <w:rPr>
          <w:i/>
          <w:iCs/>
        </w:rPr>
        <w:t xml:space="preserve">Human-resources budget</w:t>
      </w:r>
    </w:p>
    <w:tbl>
      <w:tblPr>
        <w:tblW w:w="9406" w:type="dxa"/>
        <w:jc w:val="left"/>
        <w:tblInd w:w="0" w:type="dxa"/>
        <w:tblLayout w:type="fixed"/>
        <w:tblCellMar>
          <w:top w:w="50" w:type="dxa"/>
          <w:left w:w="80" w:type="dxa"/>
          <w:bottom w:w="50" w:type="dxa"/>
          <w:right w:w="80" w:type="dxa"/>
        </w:tblCellMar>
      </w:tblPr>
      <w:tblGrid>
        <w:gridCol w:w="3198"/>
        <w:gridCol w:w="751"/>
        <w:gridCol w:w="753"/>
        <w:gridCol w:w="1504"/>
        <w:gridCol w:w="1599"/>
        <w:gridCol w:w="1600"/>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Position</w:t>
            </w:r>
          </w:p>
        </w:tc>
        <w:tc>
          <w:tcPr>
            <w:tcW w:w="7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h/week</w:t>
            </w:r>
          </w:p>
        </w:tc>
        <w:tc>
          <w:tcPr>
            <w:tcW w:w="7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Months</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Monthly salary</w:t>
            </w:r>
          </w:p>
        </w:tc>
        <w:tc>
          <w:tcPr>
            <w:tcW w:w="159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Salary + benefits</w:t>
            </w:r>
          </w:p>
        </w:tc>
        <w:tc>
          <w:tcPr>
            <w:tcW w:w="160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Total (funder)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Project manager</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$ 7,000,000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$ 10,850,000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$ 65,100,000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Database developer</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14</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$ 61,031,250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Software developer</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18</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$ 78,468,750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developer</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$ 104,625,000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Junior computer vision specialist</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$ 52,312,500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Senior computer vision specialist</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$ 69,750,000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Junior data analyst</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12</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$ 4,200,000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$ 6,510,000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$ 48,825,000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Senior data analyst</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30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18</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$ 4,200,000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$ 6,510,000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$ 73,237,500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Administrative assistant</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20</w:t>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24</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w:t>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$ 3,875,000</w:t>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$ 38,750,000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Platform administrator</w:t>
            </w:r>
          </w:p>
        </w:tc>
        <w:tc>
          <w:tcPr>
            <w:tcW w:w="7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20</w:t>
            </w:r>
          </w:p>
        </w:tc>
        <w:tc>
          <w:tcPr>
            <w:tcW w:w="7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6</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$ 2,500,000</w:t>
            </w:r>
          </w:p>
        </w:tc>
        <w:tc>
          <w:tcPr>
            <w:tcW w:w="159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$ 3,875,000</w:t>
            </w:r>
          </w:p>
        </w:tc>
        <w:tc>
          <w:tcPr>
            <w:tcW w:w="160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$ 9,687,500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7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7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59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60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$ 601,787,500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Quantity: one person per position.</w:t>
      </w:r>
    </w:p>
    <w:p>
      <w:pPr>
        <w:pStyle w:val="Heading2"/>
        <w:rPr/>
      </w:pPr>
      <w:bookmarkStart w:id="79" w:name="__RefHeading___Toc7969_1931662957"/>
      <w:bookmarkEnd w:id="79"/>
      <w:r>
        <w:rPr/>
        <w:t xml:space="preserve">17.2. Equipment and software</w:t>
      </w:r>
    </w:p>
    <w:p>
      <w:pPr>
        <w:pStyle w:val="Normal"/>
        <w:spacing w:lineRule="exact" w:line="288" w:before="0" w:after="140"/>
        <w:jc w:val="both"/>
        <w:rPr/>
      </w:pPr>
      <w:r>
        <w:rPr/>
        <w:t xml:space="preserve">Includes the assets needed to develop and operate the software: high-performance computers, computer vision licenses (YOLOv5), geotechnical and slope-stability modeling software, cloud servers and geographic information systems. It totals COP 155,588,800 (7.7%): COP 64,191,403 in kind from the counterpart and COP 91,397,397 from the funder.</w:t>
      </w:r>
    </w:p>
    <w:p>
      <w:pPr>
        <w:pStyle w:val="TableCaption"/>
        <w:keepNext w:val="true"/>
        <w:spacing w:before="200" w:after="80"/>
        <w:rPr/>
      </w:pPr>
      <w:bookmarkStart w:id="80" w:name="__RefHeading___Toc8047_1931662957"/>
      <w:bookmarkEnd w:id="80"/>
      <w:r>
        <w:rPr>
          <w:b/>
          <w:bCs/>
          <w:color w:val="1F3864"/>
        </w:rPr>
        <w:t xml:space="preserve">Table </w:t>
        <w:fldChar w:fldCharType="begin"/>
        <w:instrText xml:space="preserve"> SEQ Tabla \* ARABIC </w:instrText>
        <w:fldChar w:fldCharType="separate"/>
        <w:t xml:space="preserve">22</w:t>
        <w:fldChar w:fldCharType="end"/>
        <w:t xml:space="preserve">. </w:t>
      </w:r>
      <w:r>
        <w:rPr>
          <w:i/>
          <w:iCs/>
        </w:rPr>
        <w:t xml:space="preserve">Equipment and software budget</w:t>
      </w:r>
    </w:p>
    <w:tbl>
      <w:tblPr>
        <w:tblW w:w="9406" w:type="dxa"/>
        <w:jc w:val="left"/>
        <w:tblInd w:w="0" w:type="dxa"/>
        <w:tblLayout w:type="fixed"/>
        <w:tblCellMar>
          <w:top w:w="50" w:type="dxa"/>
          <w:left w:w="80" w:type="dxa"/>
          <w:bottom w:w="50" w:type="dxa"/>
          <w:right w:w="80" w:type="dxa"/>
        </w:tblCellMar>
      </w:tblPr>
      <w:tblGrid>
        <w:gridCol w:w="3198"/>
        <w:gridCol w:w="658"/>
        <w:gridCol w:w="1410"/>
        <w:gridCol w:w="1410"/>
        <w:gridCol w:w="1410"/>
        <w:gridCol w:w="1319"/>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Description</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Qty.</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Unit value</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In kind (counterpart)</w:t>
            </w:r>
          </w:p>
        </w:tc>
        <w:tc>
          <w:tcPr>
            <w:tcW w:w="13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Funder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High-performance computers</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9</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$ 5,000,000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$ 45,000,000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Ultralytics HUB Pro license (YOLOv5)</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6</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$ 2,000,000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$ 12,000,000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$ 12,000,000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Geotechnical modeling software (simulations on the APOLO system)</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$ 2,741,629</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$ 19,191,403</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$ 19,191,403</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Data management system (Microsoft Azure servers)</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$ 19,200,000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Data analysis software</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2</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$ 1,400,000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Geographic information system (GIS)</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9</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$ 9,000,000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Cloud server (OneDrive)</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Access to ArcGIS or QGIS</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Slope-stability software (Rocscience)</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$ 44,797,397</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Total</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$ 155,588,800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$ 64,191,403</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$ 91,397,397</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81" w:name="__RefHeading___Toc7971_1931662957"/>
      <w:bookmarkEnd w:id="81"/>
      <w:r>
        <w:rPr/>
        <w:t xml:space="preserve">17.3. Training and events</w:t>
      </w:r>
    </w:p>
    <w:p>
      <w:pPr>
        <w:pStyle w:val="Normal"/>
        <w:spacing w:lineRule="exact" w:line="288" w:before="0" w:after="140"/>
        <w:jc w:val="both"/>
        <w:rPr/>
      </w:pPr>
      <w:r>
        <w:rPr/>
        <w:t xml:space="preserve">Covers team training in GIS (COP 16,100,000) and in disaster risk management (COP 10,500,000), the training of 10 DAGRAN professionals (COP 25,000,000, of which COP 15,000,000 is an in-kind contribution from URBAM), the presentation of results to the authorities (COP 15,000,000), the presentation at an international conference (COP 30,000,000, cash contribution from URBAM) and the community awareness campaign (COP 15,000,000). This item totals COP 111,600,000 (5.5%).</w:t>
      </w:r>
    </w:p>
    <w:p>
      <w:pPr>
        <w:pStyle w:val="TableCaption"/>
        <w:keepNext w:val="true"/>
        <w:spacing w:before="200" w:after="80"/>
        <w:rPr/>
      </w:pPr>
      <w:bookmarkStart w:id="82" w:name="__RefHeading___Toc8045_1931662957"/>
      <w:bookmarkEnd w:id="82"/>
      <w:r>
        <w:rPr>
          <w:b/>
          <w:bCs/>
          <w:color w:val="1F3864"/>
        </w:rPr>
        <w:t xml:space="preserve">Table </w:t>
        <w:fldChar w:fldCharType="begin"/>
        <w:instrText xml:space="preserve"> SEQ Tabla \* ARABIC </w:instrText>
        <w:fldChar w:fldCharType="separate"/>
        <w:t xml:space="preserve">23</w:t>
        <w:fldChar w:fldCharType="end"/>
        <w:t xml:space="preserve">. </w:t>
      </w:r>
      <w:r>
        <w:rPr>
          <w:i/>
          <w:iCs/>
        </w:rPr>
        <w:t xml:space="preserve">Training and events budget</w:t>
      </w:r>
    </w:p>
    <w:tbl>
      <w:tblPr>
        <w:tblW w:w="9406" w:type="dxa"/>
        <w:jc w:val="left"/>
        <w:tblInd w:w="0" w:type="dxa"/>
        <w:tblLayout w:type="fixed"/>
        <w:tblCellMar>
          <w:top w:w="50" w:type="dxa"/>
          <w:left w:w="80" w:type="dxa"/>
          <w:bottom w:w="50" w:type="dxa"/>
          <w:right w:w="80" w:type="dxa"/>
        </w:tblCellMar>
      </w:tblPr>
      <w:tblGrid>
        <w:gridCol w:w="2820"/>
        <w:gridCol w:w="565"/>
        <w:gridCol w:w="1222"/>
        <w:gridCol w:w="1221"/>
        <w:gridCol w:w="1222"/>
        <w:gridCol w:w="1129"/>
        <w:gridCol w:w="1226"/>
      </w:tblGrid>
      <w:tr>
        <w:trPr>
          <w:tblHeader w:val="true"/>
          <w:cantSplit w:val="true"/>
        </w:trPr>
        <w:tc>
          <w:tcPr>
            <w:tcW w:w="2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Topic or event</w:t>
            </w:r>
          </w:p>
        </w:tc>
        <w:tc>
          <w:tcPr>
            <w:tcW w:w="56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Qty.</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Unit cost</w:t>
            </w:r>
          </w:p>
        </w:tc>
        <w:tc>
          <w:tcPr>
            <w:tcW w:w="12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Total</w:t>
            </w:r>
          </w:p>
        </w:tc>
        <w:tc>
          <w:tcPr>
            <w:tcW w:w="122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In kind (URBAM)</w:t>
            </w:r>
          </w:p>
        </w:tc>
        <w:tc>
          <w:tcPr>
            <w:tcW w:w="112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Cash (URBAM)</w:t>
            </w:r>
          </w:p>
        </w:tc>
        <w:tc>
          <w:tcPr>
            <w:tcW w:w="122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Funder</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Training in geographic information systems (GIS)</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$ 16,100,000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Training in disaster risk management</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$ 10,500,000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Training DAGRAN professionals on the platform</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10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$ 25,000,000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$ 15,000,000</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Presentation of results to the competent authorities</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Presentation at an international conference</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b w:val="false"/>
                <w:bCs w:val="false"/>
                <w:color w:val="1A1A1A"/>
                <w:sz w:val="16"/>
                <w:szCs w:val="16"/>
              </w:rPr>
              <w:t>3</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$ 10,000,000</w:t>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$ 30,000,000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$ 30,000,000</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Community awareness campaign</w:t>
            </w:r>
          </w:p>
        </w:tc>
        <w:tc>
          <w:tcPr>
            <w:tcW w:w="56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6"/>
                <w:szCs w:val="16"/>
              </w:rPr>
              <w:t>1</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c>
          <w:tcPr>
            <w:tcW w:w="12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2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2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$ 15,000,000</w:t>
            </w:r>
          </w:p>
        </w:tc>
      </w:tr>
      <w:tr>
        <w:trPr>
          <w:cantSplit w:val="true"/>
        </w:trPr>
        <w:tc>
          <w:tcPr>
            <w:tcW w:w="2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56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22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$ 111,600,000</w:t>
            </w:r>
          </w:p>
        </w:tc>
        <w:tc>
          <w:tcPr>
            <w:tcW w:w="12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$ 15,000,000</w:t>
            </w:r>
          </w:p>
        </w:tc>
        <w:tc>
          <w:tcPr>
            <w:tcW w:w="112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$ 30,000,000</w:t>
            </w:r>
          </w:p>
        </w:tc>
        <w:tc>
          <w:tcPr>
            <w:tcW w:w="122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$ 66,600,000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83" w:name="__RefHeading___Toc7973_1931662957"/>
      <w:bookmarkEnd w:id="83"/>
      <w:r>
        <w:rPr/>
        <w:t xml:space="preserve">17.4. Services and testing</w:t>
      </w:r>
    </w:p>
    <w:p>
      <w:pPr>
        <w:pStyle w:val="Normal"/>
        <w:spacing w:lineRule="exact" w:line="288" w:before="0" w:after="140"/>
        <w:jc w:val="both"/>
        <w:rPr/>
      </w:pPr>
      <w:r>
        <w:rPr/>
        <w:t xml:space="preserve">Groups the internet service (in-kind contribution), the platform's SSL certificate (cash from the counterpart), the geotechnical studies of the study area, the risk consultancy to evaluate the final product and the audit of budget execution. It totals COP 334,513,891 (16.6%).</w:t>
      </w:r>
    </w:p>
    <w:p>
      <w:pPr>
        <w:pStyle w:val="TableCaption"/>
        <w:keepNext w:val="true"/>
        <w:spacing w:before="200" w:after="80"/>
        <w:rPr/>
      </w:pPr>
      <w:bookmarkStart w:id="84" w:name="__RefHeading___Toc8043_1931662957"/>
      <w:bookmarkEnd w:id="84"/>
      <w:r>
        <w:rPr>
          <w:b/>
          <w:bCs/>
          <w:color w:val="1F3864"/>
        </w:rPr>
        <w:t xml:space="preserve">Table </w:t>
        <w:fldChar w:fldCharType="begin"/>
        <w:instrText xml:space="preserve"> SEQ Tabla \* ARABIC </w:instrText>
        <w:fldChar w:fldCharType="separate"/>
        <w:t xml:space="preserve">24</w:t>
        <w:fldChar w:fldCharType="end"/>
        <w:t xml:space="preserve">. </w:t>
      </w:r>
      <w:r>
        <w:rPr>
          <w:i/>
          <w:iCs/>
        </w:rPr>
        <w:t xml:space="preserve">Services and testing budget</w:t>
      </w:r>
    </w:p>
    <w:tbl>
      <w:tblPr>
        <w:tblW w:w="9406" w:type="dxa"/>
        <w:jc w:val="left"/>
        <w:tblInd w:w="0" w:type="dxa"/>
        <w:tblLayout w:type="fixed"/>
        <w:tblCellMar>
          <w:top w:w="50" w:type="dxa"/>
          <w:left w:w="80" w:type="dxa"/>
          <w:bottom w:w="50" w:type="dxa"/>
          <w:right w:w="80" w:type="dxa"/>
        </w:tblCellMar>
      </w:tblPr>
      <w:tblGrid>
        <w:gridCol w:w="3574"/>
        <w:gridCol w:w="1504"/>
        <w:gridCol w:w="1504"/>
        <w:gridCol w:w="1410"/>
        <w:gridCol w:w="1414"/>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Service</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In kind (counterpart)</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Cash (counterpart)</w:t>
            </w:r>
          </w:p>
        </w:tc>
        <w:tc>
          <w:tcPr>
            <w:tcW w:w="141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Funder</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Internet service (24 months)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SSL certificate</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Geotechnical services (geological study of the area)</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Risk consultancy (evaluation of the final product)</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$ 128,513,891</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$ 128,513,891</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Audit of budget execution</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$ 150,000,000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$ 150,000,000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Total</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$ 334,513,891</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$ 4,800,000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$ 1,200,000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$ 328,513,891</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w:t>
      </w:r>
      <w:r>
        <w:rPr>
          <w:i/>
          <w:iCs/>
          <w:color w:val="595959"/>
          <w:sz w:val="17"/>
          <w:szCs w:val="17"/>
        </w:rPr>
        <w:t xml:space="preserve">Correction:</w:t>
      </w:r>
      <w:r>
        <w:rPr>
          <w:color w:val="595959"/>
          <w:sz w:val="17"/>
          <w:szCs w:val="17"/>
        </w:rPr>
        <w:t xml:space="preserve"> the audit (COP 150,000,000) was included in the total but had no assigned source; it is assigned to the funder.</w:t>
      </w:r>
    </w:p>
    <w:p>
      <w:pPr>
        <w:pStyle w:val="Heading2"/>
        <w:rPr/>
      </w:pPr>
      <w:bookmarkStart w:id="85" w:name="__RefHeading___Toc7975_1931662957"/>
      <w:bookmarkEnd w:id="85"/>
      <w:r>
        <w:rPr/>
        <w:t xml:space="preserve">17.5. Materials, supplies and documentation</w:t>
      </w:r>
    </w:p>
    <w:p>
      <w:pPr>
        <w:pStyle w:val="Normal"/>
        <w:spacing w:lineRule="exact" w:line="288" w:before="0" w:after="140"/>
        <w:jc w:val="both"/>
        <w:rPr/>
      </w:pPr>
      <w:r>
        <w:rPr/>
        <w:t xml:space="preserve">Includes stationery for the geotechnical studies, technical documentation, safety materials and emergency kits for fieldwork. It totals COP 7,500,000 (0.4%).</w:t>
      </w:r>
    </w:p>
    <w:p>
      <w:pPr>
        <w:pStyle w:val="TableCaption"/>
        <w:keepNext w:val="true"/>
        <w:spacing w:before="200" w:after="80"/>
        <w:rPr/>
      </w:pPr>
      <w:bookmarkStart w:id="86" w:name="__RefHeading___Toc8041_1931662957"/>
      <w:bookmarkEnd w:id="86"/>
      <w:r>
        <w:rPr>
          <w:b/>
          <w:bCs/>
          <w:color w:val="1F3864"/>
        </w:rPr>
        <w:t xml:space="preserve">Table </w:t>
        <w:fldChar w:fldCharType="begin"/>
        <w:instrText xml:space="preserve"> SEQ Tabla \* ARABIC </w:instrText>
        <w:fldChar w:fldCharType="separate"/>
        <w:t xml:space="preserve">25</w:t>
        <w:fldChar w:fldCharType="end"/>
        <w:t xml:space="preserve">. </w:t>
      </w:r>
      <w:r>
        <w:rPr>
          <w:i/>
          <w:iCs/>
        </w:rPr>
        <w:t xml:space="preserve">Materials, supplies and documentation budget</w:t>
      </w:r>
    </w:p>
    <w:tbl>
      <w:tblPr>
        <w:tblW w:w="9406" w:type="dxa"/>
        <w:jc w:val="left"/>
        <w:tblInd w:w="0" w:type="dxa"/>
        <w:tblLayout w:type="fixed"/>
        <w:tblCellMar>
          <w:top w:w="50" w:type="dxa"/>
          <w:left w:w="80" w:type="dxa"/>
          <w:bottom w:w="50" w:type="dxa"/>
          <w:right w:w="80" w:type="dxa"/>
        </w:tblCellMar>
      </w:tblPr>
      <w:tblGrid>
        <w:gridCol w:w="3198"/>
        <w:gridCol w:w="658"/>
        <w:gridCol w:w="1410"/>
        <w:gridCol w:w="1410"/>
        <w:gridCol w:w="1410"/>
        <w:gridCol w:w="1319"/>
      </w:tblGrid>
      <w:tr>
        <w:trPr>
          <w:tblHeader w:val="true"/>
          <w:cantSplit w:val="true"/>
        </w:trPr>
        <w:tc>
          <w:tcPr>
            <w:tcW w:w="319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Description</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Qty.</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Unit cost</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In kind (counterpart)</w:t>
            </w:r>
          </w:p>
        </w:tc>
        <w:tc>
          <w:tcPr>
            <w:tcW w:w="13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Funder</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Stationery for geotechnical studies</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6"/>
                <w:szCs w:val="16"/>
              </w:rPr>
              <w:t>4</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$ 1,000,000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$ 3,000,000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Technical documentation</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6"/>
                <w:szCs w:val="16"/>
              </w:rPr>
              <w:t>1</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$ 700,000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$ 700,000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Safety materials</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6"/>
                <w:szCs w:val="16"/>
              </w:rPr>
              <w:t>2</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$ 1,600,000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Emergency kits</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6"/>
                <w:szCs w:val="16"/>
              </w:rPr>
              <w:t>3</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$ 400,000</w:t>
            </w:r>
          </w:p>
        </w:tc>
        <w:tc>
          <w:tcPr>
            <w:tcW w:w="13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w:t>
            </w:r>
          </w:p>
        </w:tc>
      </w:tr>
      <w:tr>
        <w:trPr>
          <w:cantSplit w:val="true"/>
        </w:trPr>
        <w:tc>
          <w:tcPr>
            <w:tcW w:w="319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$ 7,500,000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$ 2,700,000</w:t>
            </w:r>
          </w:p>
        </w:tc>
        <w:tc>
          <w:tcPr>
            <w:tcW w:w="13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$ 4,800,000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87" w:name="__RefHeading___Toc7977_1931662957"/>
      <w:bookmarkEnd w:id="87"/>
      <w:r>
        <w:rPr/>
        <w:t xml:space="preserve">17.6. Travel expenses</w:t>
      </w:r>
    </w:p>
    <w:p>
      <w:pPr>
        <w:pStyle w:val="Normal"/>
        <w:spacing w:lineRule="exact" w:line="288" w:before="0" w:after="140"/>
        <w:jc w:val="both"/>
        <w:rPr/>
      </w:pPr>
      <w:r>
        <w:rPr/>
        <w:t xml:space="preserve">Corresponds to participation in an international conference in Massachusetts (United States): flights, travel insurance, accommodation, transport and meals. It totals COP 25,400,000 (1.3%), paid by the funder.</w:t>
      </w:r>
    </w:p>
    <w:p>
      <w:pPr>
        <w:pStyle w:val="TableCaption"/>
        <w:keepNext w:val="true"/>
        <w:spacing w:before="200" w:after="80"/>
        <w:rPr/>
      </w:pPr>
      <w:bookmarkStart w:id="88" w:name="__RefHeading___Toc8039_1931662957"/>
      <w:bookmarkEnd w:id="88"/>
      <w:r>
        <w:rPr>
          <w:b/>
          <w:bCs/>
          <w:color w:val="1F3864"/>
        </w:rPr>
        <w:t xml:space="preserve">Table </w:t>
        <w:fldChar w:fldCharType="begin"/>
        <w:instrText xml:space="preserve"> SEQ Tabla \* ARABIC </w:instrText>
        <w:fldChar w:fldCharType="separate"/>
        <w:t xml:space="preserve">26</w:t>
        <w:fldChar w:fldCharType="end"/>
        <w:t xml:space="preserve">. </w:t>
      </w:r>
      <w:r>
        <w:rPr>
          <w:i/>
          <w:iCs/>
        </w:rPr>
        <w:t xml:space="preserve">Travel expenses budget (Medellín – United States)</w:t>
      </w:r>
    </w:p>
    <w:tbl>
      <w:tblPr>
        <w:tblW w:w="9406" w:type="dxa"/>
        <w:jc w:val="left"/>
        <w:tblInd w:w="0" w:type="dxa"/>
        <w:tblLayout w:type="fixed"/>
        <w:tblCellMar>
          <w:top w:w="50" w:type="dxa"/>
          <w:left w:w="80" w:type="dxa"/>
          <w:bottom w:w="50" w:type="dxa"/>
          <w:right w:w="80" w:type="dxa"/>
        </w:tblCellMar>
      </w:tblPr>
      <w:tblGrid>
        <w:gridCol w:w="6584"/>
        <w:gridCol w:w="2821"/>
      </w:tblGrid>
      <w:tr>
        <w:trPr>
          <w:tblHeader w:val="true"/>
          <w:cantSplit w:val="true"/>
        </w:trPr>
        <w:tc>
          <w:tcPr>
            <w:tcW w:w="658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Item</w:t>
            </w:r>
          </w:p>
        </w:tc>
        <w:tc>
          <w:tcPr>
            <w:tcW w:w="282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 (funder)</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Flights Medellín – Massachusetts</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Travel insurance</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Accommodation (5 nights)</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$ 13,500,000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Transport</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$ 1,500,000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Meals</w:t>
            </w:r>
          </w:p>
        </w:tc>
        <w:tc>
          <w:tcPr>
            <w:tcW w:w="282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$ 4,800,000</w:t>
            </w:r>
          </w:p>
        </w:tc>
      </w:tr>
      <w:tr>
        <w:trPr>
          <w:cantSplit w:val="true"/>
        </w:trPr>
        <w:tc>
          <w:tcPr>
            <w:tcW w:w="658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Total</w:t>
            </w:r>
          </w:p>
        </w:tc>
        <w:tc>
          <w:tcPr>
            <w:tcW w:w="282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$ 25,400,000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Total values for three travelers.</w:t>
      </w:r>
    </w:p>
    <w:p>
      <w:pPr>
        <w:pStyle w:val="Heading2"/>
        <w:rPr/>
      </w:pPr>
      <w:bookmarkStart w:id="89" w:name="__RefHeading___Toc7979_1931662957"/>
      <w:bookmarkEnd w:id="89"/>
      <w:r>
        <w:rPr/>
        <w:t xml:space="preserve">17.7. Infrastructure</w:t>
      </w:r>
    </w:p>
    <w:p>
      <w:pPr>
        <w:pStyle w:val="Normal"/>
        <w:spacing w:lineRule="exact" w:line="288" w:before="0" w:after="140"/>
        <w:jc w:val="both"/>
        <w:rPr/>
      </w:pPr>
      <w:r>
        <w:rPr/>
        <w:t xml:space="preserve">Includes the rental and fit-out of the development office, utilities for 24 months, furniture, the meeting room, the geotechnical testing laboratory, cleaning and physical security at Universidad EAFIT's facilities (El Poblado, Medellín). It totals COP 288,080,000 (14.3%).</w:t>
      </w:r>
    </w:p>
    <w:p>
      <w:pPr>
        <w:pStyle w:val="TableCaption"/>
        <w:keepNext w:val="true"/>
        <w:spacing w:before="200" w:after="80"/>
        <w:rPr/>
      </w:pPr>
      <w:bookmarkStart w:id="90" w:name="__RefHeading___Toc8037_1931662957"/>
      <w:bookmarkEnd w:id="90"/>
      <w:r>
        <w:rPr>
          <w:b/>
          <w:bCs/>
          <w:color w:val="1F3864"/>
        </w:rPr>
        <w:t xml:space="preserve">Table </w:t>
        <w:fldChar w:fldCharType="begin"/>
        <w:instrText xml:space="preserve"> SEQ Tabla \* ARABIC </w:instrText>
        <w:fldChar w:fldCharType="separate"/>
        <w:t xml:space="preserve">27</w:t>
        <w:fldChar w:fldCharType="end"/>
        <w:t xml:space="preserve">. </w:t>
      </w:r>
      <w:r>
        <w:rPr>
          <w:i/>
          <w:iCs/>
        </w:rPr>
        <w:t xml:space="preserve">Infrastructure budget</w:t>
      </w:r>
    </w:p>
    <w:tbl>
      <w:tblPr>
        <w:tblW w:w="9406" w:type="dxa"/>
        <w:jc w:val="left"/>
        <w:tblInd w:w="0" w:type="dxa"/>
        <w:tblLayout w:type="fixed"/>
        <w:tblCellMar>
          <w:top w:w="50" w:type="dxa"/>
          <w:left w:w="80" w:type="dxa"/>
          <w:bottom w:w="50" w:type="dxa"/>
          <w:right w:w="80" w:type="dxa"/>
        </w:tblCellMar>
      </w:tblPr>
      <w:tblGrid>
        <w:gridCol w:w="3574"/>
        <w:gridCol w:w="1504"/>
        <w:gridCol w:w="1504"/>
        <w:gridCol w:w="1410"/>
        <w:gridCol w:w="1414"/>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Description</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w:t>
            </w:r>
          </w:p>
        </w:tc>
        <w:tc>
          <w:tcPr>
            <w:tcW w:w="150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In kind (counterpart)</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Cash (counterpart)</w:t>
            </w:r>
          </w:p>
        </w:tc>
        <w:tc>
          <w:tcPr>
            <w:tcW w:w="141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Funder</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Office rental for developers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$ 60,000,000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$ 60,000,000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Electricity (24 months)</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$ 1,680,000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$ 840,000</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$ 840,000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Water supply (24 months)</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$ 67,200,000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$ 33,600,000</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$ 33,600,000</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Furniture (10 workstations)</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$ 8,000,000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Meeting room</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$ 12,000,000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$ 12,000,000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Geotechnical testing laboratory</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$ 57,600,000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$ 57,600,000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Cleaning</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$ 38,400,000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$ 38,400,000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Physical security</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$ 43,200,000</w:t>
            </w:r>
          </w:p>
        </w:tc>
        <w:tc>
          <w:tcPr>
            <w:tcW w:w="150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$ 43,200,000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$ 288,080,000</w:t>
            </w:r>
          </w:p>
        </w:tc>
        <w:tc>
          <w:tcPr>
            <w:tcW w:w="150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$ 159,200,000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$ 34,440,000</w:t>
            </w:r>
          </w:p>
        </w:tc>
        <w:tc>
          <w:tcPr>
            <w:tcW w:w="141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$ 94,440,000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w:t>
      </w:r>
      <w:r>
        <w:rPr>
          <w:i/>
          <w:iCs/>
          <w:color w:val="595959"/>
          <w:sz w:val="17"/>
          <w:szCs w:val="17"/>
        </w:rPr>
        <w:t xml:space="preserve">Correction:</w:t>
      </w:r>
      <w:r>
        <w:rPr>
          <w:color w:val="595959"/>
          <w:sz w:val="17"/>
          <w:szCs w:val="17"/>
        </w:rPr>
        <w:t xml:space="preserve"> utilities are funded equally by the counterpart and the funder on the value of the 24 months (previously only the monthly value had been recorded in the sources).</w:t>
      </w:r>
    </w:p>
    <w:p>
      <w:pPr>
        <w:pStyle w:val="Heading2"/>
        <w:rPr/>
      </w:pPr>
      <w:bookmarkStart w:id="91" w:name="__RefHeading___Toc7981_1931662957"/>
      <w:bookmarkEnd w:id="91"/>
      <w:r>
        <w:rPr/>
        <w:t xml:space="preserve">17.8. Administrative expenses</w:t>
      </w:r>
    </w:p>
    <w:p>
      <w:pPr>
        <w:pStyle w:val="Normal"/>
        <w:spacing w:lineRule="exact" w:line="288" w:before="0" w:after="140"/>
        <w:jc w:val="both"/>
        <w:rPr/>
      </w:pPr>
      <w:r>
        <w:rPr/>
        <w:t xml:space="preserve">Cover the space for project administration, the technical maintenance staff, the occupational health and safety (OHS) service, the environmental audit, financial control and general administration. They total COP 496,196,625 (24.6%): COP 180,000,000 in kind from the counterpart and COP 316,196,625 from the funder.</w:t>
      </w:r>
    </w:p>
    <w:p>
      <w:pPr>
        <w:pStyle w:val="TableCaption"/>
        <w:keepNext w:val="true"/>
        <w:spacing w:before="200" w:after="80"/>
        <w:rPr/>
      </w:pPr>
      <w:bookmarkStart w:id="92" w:name="__RefHeading___Toc8035_1931662957"/>
      <w:bookmarkEnd w:id="92"/>
      <w:r>
        <w:rPr>
          <w:b/>
          <w:bCs/>
          <w:color w:val="1F3864"/>
        </w:rPr>
        <w:t xml:space="preserve">Table </w:t>
        <w:fldChar w:fldCharType="begin"/>
        <w:instrText xml:space="preserve"> SEQ Tabla \* ARABIC </w:instrText>
        <w:fldChar w:fldCharType="separate"/>
        <w:t xml:space="preserve">28</w:t>
        <w:fldChar w:fldCharType="end"/>
        <w:t xml:space="preserve">. </w:t>
      </w:r>
      <w:r>
        <w:rPr>
          <w:i/>
          <w:iCs/>
        </w:rPr>
        <w:t xml:space="preserve">Administrative expenses budget</w:t>
      </w:r>
    </w:p>
    <w:tbl>
      <w:tblPr>
        <w:tblW w:w="9406" w:type="dxa"/>
        <w:jc w:val="left"/>
        <w:tblInd w:w="0" w:type="dxa"/>
        <w:tblLayout w:type="fixed"/>
        <w:tblCellMar>
          <w:top w:w="50" w:type="dxa"/>
          <w:left w:w="80" w:type="dxa"/>
          <w:bottom w:w="50" w:type="dxa"/>
          <w:right w:w="80" w:type="dxa"/>
        </w:tblCellMar>
      </w:tblPr>
      <w:tblGrid>
        <w:gridCol w:w="1881"/>
        <w:gridCol w:w="3292"/>
        <w:gridCol w:w="1410"/>
        <w:gridCol w:w="1410"/>
        <w:gridCol w:w="1413"/>
      </w:tblGrid>
      <w:tr>
        <w:trPr>
          <w:tblHeader w:val="true"/>
          <w:cantSplit w:val="true"/>
        </w:trPr>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Item</w:t>
            </w:r>
          </w:p>
        </w:tc>
        <w:tc>
          <w:tcPr>
            <w:tcW w:w="329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Justification</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w:t>
            </w:r>
          </w:p>
        </w:tc>
        <w:tc>
          <w:tcPr>
            <w:tcW w:w="141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In kind (counterpart)</w:t>
            </w:r>
          </w:p>
        </w:tc>
        <w:tc>
          <w:tcPr>
            <w:tcW w:w="141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Funder</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Legal</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Physical space for project administration</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$ 50,000,000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Technical</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Staff who maintain the spaces in use</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$ 60,000,000</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Occupational health and safety (OHS)</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Third party in charge of OHS</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$ 66,196,625</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$ 66,196,625</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Environmental</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Third-party environmental audit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$ 50,000,000</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Financial</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Financial control and management staff (accountants and auditors)</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$ 70,000,000</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$ 70,000,000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Project administration</w:t>
            </w:r>
          </w:p>
        </w:tc>
        <w:tc>
          <w:tcPr>
            <w:tcW w:w="329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Salaries of the management team, planning and resource management</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$ 200,000,000</w:t>
            </w:r>
          </w:p>
        </w:tc>
        <w:tc>
          <w:tcPr>
            <w:tcW w:w="141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w:t>
            </w:r>
          </w:p>
        </w:tc>
        <w:tc>
          <w:tcPr>
            <w:tcW w:w="141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$ 200,000,000</w:t>
            </w:r>
          </w:p>
        </w:tc>
      </w:tr>
      <w:tr>
        <w:trPr>
          <w:cantSplit w:val="true"/>
        </w:trPr>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329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$ 496,196,625</w:t>
            </w:r>
          </w:p>
        </w:tc>
        <w:tc>
          <w:tcPr>
            <w:tcW w:w="141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$ 180,000,000</w:t>
            </w:r>
          </w:p>
        </w:tc>
        <w:tc>
          <w:tcPr>
            <w:tcW w:w="141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$ 316,196,625</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w:t>
      </w:r>
      <w:r>
        <w:rPr>
          <w:i/>
          <w:iCs/>
          <w:color w:val="595959"/>
          <w:sz w:val="17"/>
          <w:szCs w:val="17"/>
        </w:rPr>
        <w:t xml:space="preserve">Correction:</w:t>
      </w:r>
      <w:r>
        <w:rPr>
          <w:color w:val="595959"/>
          <w:sz w:val="17"/>
          <w:szCs w:val="17"/>
        </w:rPr>
        <w:t xml:space="preserve"> the OHS value was adjusted to COP 66,196,625 so that the item matches the summary and the cash flow (COP 496,196,625).</w:t>
      </w:r>
    </w:p>
    <w:p>
      <w:pPr>
        <w:pStyle w:val="Heading2"/>
        <w:rPr/>
      </w:pPr>
      <w:bookmarkStart w:id="93" w:name="__RefHeading___Toc7983_1931662957"/>
      <w:bookmarkEnd w:id="93"/>
      <w:r>
        <w:rPr/>
        <w:t xml:space="preserve">17.9. Budget summary</w:t>
      </w:r>
    </w:p>
    <w:p>
      <w:pPr>
        <w:pStyle w:val="Normal"/>
        <w:spacing w:lineRule="exact" w:line="288" w:before="0" w:after="140"/>
        <w:jc w:val="both"/>
        <w:rPr/>
      </w:pPr>
      <w:r>
        <w:rPr/>
        <w:t xml:space="preserve">Table 29 consolidates the budget items and their sources. The funder contributes COP 1,529,135,413 (75.7%), the Universidad EAFIT counterpart COP 446,531,403 (22.1%) and the ally URBAM COP 45,000,000 (2.2%). The largest items are human resources, administrative expenses, and services and testing (Figure 11).</w:t>
      </w:r>
    </w:p>
    <w:p>
      <w:pPr>
        <w:pStyle w:val="TableCaption"/>
        <w:keepNext w:val="true"/>
        <w:spacing w:before="200" w:after="80"/>
        <w:rPr/>
      </w:pPr>
      <w:bookmarkStart w:id="94" w:name="__RefHeading___Toc8033_1931662957"/>
      <w:bookmarkEnd w:id="94"/>
      <w:r>
        <w:rPr>
          <w:b/>
          <w:bCs/>
          <w:color w:val="1F3864"/>
        </w:rPr>
        <w:t xml:space="preserve">Table </w:t>
        <w:fldChar w:fldCharType="begin"/>
        <w:instrText xml:space="preserve"> SEQ Tabla \* ARABIC </w:instrText>
        <w:fldChar w:fldCharType="separate"/>
        <w:t xml:space="preserve">29</w:t>
        <w:fldChar w:fldCharType="end"/>
        <w:t xml:space="preserve">. </w:t>
      </w:r>
      <w:r>
        <w:rPr>
          <w:i/>
          <w:iCs/>
        </w:rPr>
        <w:t xml:space="preserve">Budget summary by item and funding source (COP)</w:t>
      </w:r>
    </w:p>
    <w:tbl>
      <w:tblPr>
        <w:tblW w:w="9406" w:type="dxa"/>
        <w:jc w:val="left"/>
        <w:tblInd w:w="0" w:type="dxa"/>
        <w:tblLayout w:type="fixed"/>
        <w:tblCellMar>
          <w:top w:w="50" w:type="dxa"/>
          <w:left w:w="80" w:type="dxa"/>
          <w:bottom w:w="50" w:type="dxa"/>
          <w:right w:w="80" w:type="dxa"/>
        </w:tblCellMar>
      </w:tblPr>
      <w:tblGrid>
        <w:gridCol w:w="1822"/>
        <w:gridCol w:w="1056"/>
        <w:gridCol w:w="1054"/>
        <w:gridCol w:w="1151"/>
        <w:gridCol w:w="1056"/>
        <w:gridCol w:w="1246"/>
        <w:gridCol w:w="1247"/>
        <w:gridCol w:w="772"/>
      </w:tblGrid>
      <w:tr>
        <w:trPr>
          <w:tblHeader w:val="true"/>
          <w:cantSplit w:val="true"/>
        </w:trPr>
        <w:tc>
          <w:tcPr>
            <w:tcW w:w="1822"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Item</w:t>
            </w:r>
          </w:p>
        </w:tc>
        <w:tc>
          <w:tcPr>
            <w:tcW w:w="2110"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Ally URBAM</w:t>
            </w:r>
          </w:p>
        </w:tc>
        <w:tc>
          <w:tcPr>
            <w:tcW w:w="2207" w:type="dxa"/>
            <w:gridSpan w:val="2"/>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EAFIT counterpart</w:t>
            </w:r>
          </w:p>
        </w:tc>
        <w:tc>
          <w:tcPr>
            <w:tcW w:w="1246"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Funder</w:t>
            </w:r>
          </w:p>
        </w:tc>
        <w:tc>
          <w:tcPr>
            <w:tcW w:w="1247"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Total</w:t>
            </w:r>
          </w:p>
        </w:tc>
        <w:tc>
          <w:tcPr>
            <w:tcW w:w="772" w:type="dxa"/>
            <w:vMerge w:val="restart"/>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w:t>
            </w:r>
          </w:p>
        </w:tc>
      </w:tr>
      <w:tr>
        <w:trPr>
          <w:tblHeader w:val="true"/>
          <w:cantSplit w:val="true"/>
        </w:trPr>
        <w:tc>
          <w:tcPr>
            <w:tcW w:w="1822"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05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In kind</w:t>
            </w:r>
          </w:p>
        </w:tc>
        <w:tc>
          <w:tcPr>
            <w:tcW w:w="105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Cash</w:t>
            </w:r>
          </w:p>
        </w:tc>
        <w:tc>
          <w:tcPr>
            <w:tcW w:w="115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In kind</w:t>
            </w:r>
          </w:p>
        </w:tc>
        <w:tc>
          <w:tcPr>
            <w:tcW w:w="105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Cash</w:t>
            </w:r>
          </w:p>
        </w:tc>
        <w:tc>
          <w:tcPr>
            <w:tcW w:w="1246"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1247"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c>
          <w:tcPr>
            <w:tcW w:w="772" w:type="dxa"/>
            <w:vMerge w:val="continue"/>
            <w:tcBorders>
              <w:top w:val="single" w:sz="4" w:space="0" w:color="BFC7D5"/>
              <w:left w:val="single" w:sz="4" w:space="0" w:color="BFC7D5"/>
              <w:bottom w:val="single" w:sz="4" w:space="0" w:color="BFC7D5"/>
              <w:right w:val="single" w:sz="4" w:space="0" w:color="BFC7D5"/>
            </w:tcBorders>
            <w:tcMar>
              <w:top w:w="0" w:type="dxa"/>
              <w:left w:w="108" w:type="dxa"/>
              <w:bottom w:w="0" w:type="dxa"/>
              <w:right w:w="108" w:type="dxa"/>
            </w:tcMar>
          </w:tcPr>
          <w:p>
            <w:pPr>
              <w:pStyle w:val="Normal"/>
              <w:rPr/>
            </w:pPr>
            <w:r>
              <w:rPr/>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Human resources</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601,787,500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601,787,500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29.8 %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Equipment and software</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64,191,403</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91,397,397</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155,588,800</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7.7 %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Training</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15,000,000</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30,000,000</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66,600,000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111,600,000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5.5 %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Services and testing</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4,800,000</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1,200,000</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328,513,891</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334,513,891</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16.6 %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Materials, supplies and documentation</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2,700,000</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4,800,000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7,500,000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0.4 %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Travel expenses</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25,400,000</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25,400,000</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1.3 %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Infrastructure</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159,200,000</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34,440,000</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94,440,000</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288,080,000</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14.3 %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Administrative</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05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15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180,000,000</w:t>
            </w:r>
          </w:p>
        </w:tc>
        <w:tc>
          <w:tcPr>
            <w:tcW w:w="105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w:t>
            </w:r>
          </w:p>
        </w:tc>
        <w:tc>
          <w:tcPr>
            <w:tcW w:w="124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316,196,625</w:t>
            </w:r>
          </w:p>
        </w:tc>
        <w:tc>
          <w:tcPr>
            <w:tcW w:w="124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496,196,625</w:t>
            </w:r>
          </w:p>
        </w:tc>
        <w:tc>
          <w:tcPr>
            <w:tcW w:w="77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24.6 %</w:t>
            </w:r>
          </w:p>
        </w:tc>
      </w:tr>
      <w:tr>
        <w:trPr>
          <w:cantSplit w:val="true"/>
        </w:trPr>
        <w:tc>
          <w:tcPr>
            <w:tcW w:w="182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15,000,000</w:t>
            </w:r>
          </w:p>
        </w:tc>
        <w:tc>
          <w:tcPr>
            <w:tcW w:w="105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30,000,000</w:t>
            </w:r>
          </w:p>
        </w:tc>
        <w:tc>
          <w:tcPr>
            <w:tcW w:w="115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410,891,403</w:t>
            </w:r>
          </w:p>
        </w:tc>
        <w:tc>
          <w:tcPr>
            <w:tcW w:w="105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35,640,000</w:t>
            </w:r>
          </w:p>
        </w:tc>
        <w:tc>
          <w:tcPr>
            <w:tcW w:w="124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1,529,135,413</w:t>
            </w:r>
          </w:p>
        </w:tc>
        <w:tc>
          <w:tcPr>
            <w:tcW w:w="124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2,020,666,816</w:t>
            </w:r>
          </w:p>
        </w:tc>
        <w:tc>
          <w:tcPr>
            <w:tcW w:w="772"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100.0 %</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w:t>
      </w:r>
      <w:r>
        <w:rPr>
          <w:i/>
          <w:iCs/>
          <w:color w:val="595959"/>
          <w:sz w:val="17"/>
          <w:szCs w:val="17"/>
        </w:rPr>
        <w:t xml:space="preserve">Correction:</w:t>
      </w:r>
      <w:r>
        <w:rPr>
          <w:color w:val="595959"/>
          <w:sz w:val="17"/>
          <w:szCs w:val="17"/>
        </w:rPr>
        <w:t xml:space="preserve"> the funding sources for services, materials, travel expenses, infrastructure and administrative expenses were adjusted so that each row adds up to its total; the total project value does not change.</w:t>
      </w:r>
    </w:p>
    <w:p>
      <w:pPr>
        <w:pStyle w:val="Normal"/>
        <w:keepNext w:val="true"/>
        <w:spacing w:before="160" w:after="60"/>
        <w:jc w:val="center"/>
        <w:rPr/>
      </w:pPr>
      <w:r>
        <w:rPr/>
        <w:drawing>
          <wp:inline distT="0" distB="0" distL="0" distR="0">
            <wp:extent cx="5305425" cy="2524125"/>
            <wp:effectExtent l="0" t="0" r="0" b="0"/>
            <wp:docPr id="11" name="Distribución del presupuesto por rubro" descr="Distribución del presupuesto por rubro Distribución del presupuesto por ru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stribución del presupuesto por rubro" descr="Distribución del presupuesto por rubro Distribución del presupuesto por rubro"/>
                    <pic:cNvPicPr>
                      <a:picLocks noChangeAspect="1" noChangeArrowheads="1"/>
                    </pic:cNvPicPr>
                  </pic:nvPicPr>
                  <pic:blipFill>
                    <a:blip r:embed="rId30"/>
                    <a:stretch>
                      <a:fillRect/>
                    </a:stretch>
                  </pic:blipFill>
                  <pic:spPr bwMode="auto">
                    <a:xfrm>
                      <a:off x="0" y="0"/>
                      <a:ext cx="5305425" cy="2524125"/>
                    </a:xfrm>
                    <a:prstGeom prst="rect">
                      <a:avLst/>
                    </a:prstGeom>
                  </pic:spPr>
                </pic:pic>
              </a:graphicData>
            </a:graphic>
          </wp:inline>
        </w:drawing>
      </w:r>
    </w:p>
    <w:p>
      <w:pPr>
        <w:pStyle w:val="FigureCaption"/>
        <w:keepNext w:val="true"/>
        <w:spacing w:before="200" w:after="80"/>
        <w:rPr/>
      </w:pPr>
      <w:bookmarkStart w:id="95" w:name="__RefHeading___Toc8093_1931662957"/>
      <w:bookmarkEnd w:id="95"/>
      <w:r>
        <w:rPr>
          <w:b/>
          <w:bCs/>
          <w:color w:val="1F3864"/>
        </w:rPr>
        <w:t xml:space="preserve">Figure </w:t>
        <w:fldChar w:fldCharType="begin"/>
        <w:instrText xml:space="preserve"> SEQ Figura \* ARABIC </w:instrText>
        <w:fldChar w:fldCharType="separate"/>
        <w:t xml:space="preserve">11</w:t>
        <w:fldChar w:fldCharType="end"/>
        <w:t xml:space="preserve">. </w:t>
      </w:r>
      <w:r>
        <w:rPr>
          <w:i/>
          <w:iCs/>
        </w:rPr>
        <w:t xml:space="preserve">Budget distribution by item</w:t>
      </w:r>
    </w:p>
    <w:p>
      <w:pPr>
        <w:sectPr>
          <w:headerReference w:type="default" r:id="rId31"/>
          <w:headerReference w:type="first" r:id="rId32"/>
          <w:footerReference w:type="default" r:id="rId33"/>
          <w:footerReference w:type="first" r:id="rId34"/>
          <w:type w:val="nextPage"/>
          <w:pgSz w:w="12240" w:h="158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96" w:name="__RefHeading___Toc7985_1931662957"/>
      <w:bookmarkEnd w:id="96"/>
      <w:r>
        <w:rPr/>
        <w:t xml:space="preserve">17.10. Budget cash flow</w:t>
      </w:r>
    </w:p>
    <w:p>
      <w:pPr>
        <w:pStyle w:val="Normal"/>
        <w:spacing w:lineRule="exact" w:line="288" w:before="0" w:after="140"/>
        <w:jc w:val="both"/>
        <w:rPr/>
      </w:pPr>
      <w:r>
        <w:rPr/>
        <w:t xml:space="preserve">Table 30 distributes budget execution by two-month period and shows the funder's expected disbursements; Table 31 presents the detail by item.</w:t>
      </w:r>
    </w:p>
    <w:p>
      <w:pPr>
        <w:pStyle w:val="TableCaption"/>
        <w:keepNext w:val="true"/>
        <w:spacing w:before="200" w:after="80"/>
        <w:rPr/>
      </w:pPr>
      <w:bookmarkStart w:id="97" w:name="__RefHeading___Toc8031_1931662957"/>
      <w:bookmarkEnd w:id="97"/>
      <w:r>
        <w:rPr>
          <w:b/>
          <w:bCs/>
          <w:color w:val="1F3864"/>
        </w:rPr>
        <w:t xml:space="preserve">Table </w:t>
        <w:fldChar w:fldCharType="begin"/>
        <w:instrText xml:space="preserve"> SEQ Tabla \* ARABIC </w:instrText>
        <w:fldChar w:fldCharType="separate"/>
        <w:t xml:space="preserve">30</w:t>
        <w:fldChar w:fldCharType="end"/>
        <w:t xml:space="preserve">. </w:t>
      </w:r>
      <w:r>
        <w:rPr>
          <w:i/>
          <w:iCs/>
        </w:rPr>
        <w:t xml:space="preserve">Budget cash flow by two-month period (thousands of COP)</w:t>
      </w:r>
    </w:p>
    <w:tbl>
      <w:tblPr>
        <w:tblW w:w="13006" w:type="dxa"/>
        <w:jc w:val="left"/>
        <w:tblInd w:w="0" w:type="dxa"/>
        <w:tblLayout w:type="fixed"/>
        <w:tblCellMar>
          <w:top w:w="50" w:type="dxa"/>
          <w:left w:w="80" w:type="dxa"/>
          <w:bottom w:w="50" w:type="dxa"/>
          <w:right w:w="80" w:type="dxa"/>
        </w:tblCellMar>
      </w:tblPr>
      <w:tblGrid>
        <w:gridCol w:w="1949"/>
        <w:gridCol w:w="819"/>
        <w:gridCol w:w="820"/>
        <w:gridCol w:w="818"/>
        <w:gridCol w:w="819"/>
        <w:gridCol w:w="820"/>
        <w:gridCol w:w="819"/>
        <w:gridCol w:w="818"/>
        <w:gridCol w:w="820"/>
        <w:gridCol w:w="819"/>
        <w:gridCol w:w="818"/>
        <w:gridCol w:w="819"/>
        <w:gridCol w:w="820"/>
        <w:gridCol w:w="1227"/>
      </w:tblGrid>
      <w:tr>
        <w:trPr>
          <w:tblHeader w:val="true"/>
          <w:cantSplit w:val="true"/>
        </w:trPr>
        <w:tc>
          <w:tcPr>
            <w:tcW w:w="194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Item (thousands of COP)</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1-2</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3-4</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5-6</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7-8</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9-10</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11-12</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13-14</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15-16</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17-18</w:t>
            </w:r>
          </w:p>
        </w:tc>
        <w:tc>
          <w:tcPr>
            <w:tcW w:w="81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19-20</w:t>
            </w:r>
          </w:p>
        </w:tc>
        <w:tc>
          <w:tcPr>
            <w:tcW w:w="81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21-22</w:t>
            </w:r>
          </w:p>
        </w:tc>
        <w:tc>
          <w:tcPr>
            <w:tcW w:w="82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23-24</w:t>
            </w:r>
          </w:p>
        </w:tc>
        <w:tc>
          <w:tcPr>
            <w:tcW w:w="122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Total</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Human resources</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34,229</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53,410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72,093</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72,093</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63,956</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55,237</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55,237</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58,466</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39,285</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29,321</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601,788</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Equipment and software</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134,589</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21,000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155,589</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Training</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10,500</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16,100</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40,000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45,000</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111,600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Services and testing</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1,600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12,900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12,900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82,528</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82,528</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70,028</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70,028</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400</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334,514</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Materials and supplies</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3,750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3,750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7,500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Travel expenses</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25,400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25,400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Infrastructure</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72,020</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288,080</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Administrative</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41,350</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496,197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Cash flow</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287,538</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75,979</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86,479</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192,580</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113,843</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142,443</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214,976</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179,115</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179,115</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241,865</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190,663</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116,071</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2,020,667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5"/>
                <w:szCs w:val="15"/>
              </w:rPr>
              <w:t xml:space="preserve">Disbursements</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449,995</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663,842</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358,231</w:t>
            </w:r>
          </w:p>
        </w:tc>
        <w:tc>
          <w:tcPr>
            <w:tcW w:w="81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432,528</w:t>
            </w:r>
          </w:p>
        </w:tc>
        <w:tc>
          <w:tcPr>
            <w:tcW w:w="82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116,071</w:t>
            </w:r>
          </w:p>
        </w:tc>
        <w:tc>
          <w:tcPr>
            <w:tcW w:w="122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5"/>
                <w:szCs w:val="15"/>
              </w:rPr>
              <w:t>2,020,667</w:t>
            </w:r>
          </w:p>
        </w:tc>
      </w:tr>
      <w:tr>
        <w:trPr>
          <w:cantSplit w:val="true"/>
        </w:trPr>
        <w:tc>
          <w:tcPr>
            <w:tcW w:w="194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 of total</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22.3 %</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32.9 %</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17.7 %</w:t>
            </w:r>
          </w:p>
        </w:tc>
        <w:tc>
          <w:tcPr>
            <w:tcW w:w="81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81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21.4 %</w:t>
            </w:r>
          </w:p>
        </w:tc>
        <w:tc>
          <w:tcPr>
            <w:tcW w:w="82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5.7 %</w:t>
            </w:r>
          </w:p>
        </w:tc>
        <w:tc>
          <w:tcPr>
            <w:tcW w:w="122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100.0 %</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Administrative expenses are rounded to thousands; the total for the item is COP 496,196,625.</w:t>
      </w:r>
    </w:p>
    <w:p>
      <w:pPr>
        <w:pStyle w:val="TableCaption"/>
        <w:keepNext w:val="true"/>
        <w:spacing w:before="200" w:after="80"/>
        <w:rPr/>
      </w:pPr>
      <w:bookmarkStart w:id="98" w:name="__RefHeading___Toc8029_1931662957"/>
      <w:bookmarkEnd w:id="98"/>
      <w:r>
        <w:rPr>
          <w:b/>
          <w:bCs/>
          <w:color w:val="1F3864"/>
        </w:rPr>
        <w:t xml:space="preserve">Table </w:t>
        <w:fldChar w:fldCharType="begin"/>
        <w:instrText xml:space="preserve"> SEQ Tabla \* ARABIC </w:instrText>
        <w:fldChar w:fldCharType="separate"/>
        <w:t xml:space="preserve">31</w:t>
        <w:fldChar w:fldCharType="end"/>
        <w:t xml:space="preserve">. </w:t>
      </w:r>
      <w:r>
        <w:rPr>
          <w:i/>
          <w:iCs/>
        </w:rPr>
        <w:t xml:space="preserve">Detailed cash flow by item and two-month period</w:t>
      </w:r>
    </w:p>
    <w:p>
      <w:pPr>
        <w:pStyle w:val="Normal"/>
        <w:keepNext w:val="true"/>
        <w:spacing w:before="160" w:after="60"/>
        <w:jc w:val="center"/>
        <w:rPr/>
      </w:pPr>
      <w:r>
        <w:rPr/>
        <w:drawing>
          <wp:inline distT="0" distB="0" distL="0" distR="0">
            <wp:extent cx="7143750" cy="5124450"/>
            <wp:effectExtent l="0" t="0" r="0" b="0"/>
            <wp:docPr id="12" name="Flujo de caja detallado por ítem y bimes" descr="Flujo de caja detallado por ítem y bimestre Flujo de caja detallado por ítem y bim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jo de caja detallado por ítem y bimes" descr="Flujo de caja detallado por ítem y bimestre Flujo de caja detallado por ítem y bimestre"/>
                    <pic:cNvPicPr>
                      <a:picLocks noChangeAspect="1" noChangeArrowheads="1"/>
                    </pic:cNvPicPr>
                  </pic:nvPicPr>
                  <pic:blipFill>
                    <a:blip r:embed="rId35"/>
                    <a:stretch>
                      <a:fillRect/>
                    </a:stretch>
                  </pic:blipFill>
                  <pic:spPr bwMode="auto">
                    <a:xfrm>
                      <a:off x="0" y="0"/>
                      <a:ext cx="7143750" cy="5124450"/>
                    </a:xfrm>
                    <a:prstGeom prst="rect">
                      <a:avLst/>
                    </a:prstGeom>
                  </pic:spPr>
                </pic:pic>
              </a:graphicData>
            </a:graphic>
          </wp:inline>
        </w:drawing>
      </w:r>
    </w:p>
    <w:p>
      <w:pPr>
        <w:sectPr>
          <w:headerReference w:type="default" r:id="rId36"/>
          <w:headerReference w:type="first" r:id="rId37"/>
          <w:footerReference w:type="default" r:id="rId38"/>
          <w:footerReference w:type="first" r:id="rId39"/>
          <w:type w:val="nextPage"/>
          <w:pgSz w:orient="landscape" w:w="15840" w:h="12240"/>
          <w:pgMar w:left="1417" w:right="1417" w:gutter="0" w:header="708" w:top="1417" w:footer="708" w:bottom="1417"/>
          <w:pgNumType w:fmt="decimal"/>
          <w:formProt w:val="false"/>
          <w:textDirection w:val="lrTb"/>
          <w:docGrid w:type="default" w:linePitch="360" w:charSpace="4096"/>
        </w:sect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1"/>
        <w:rPr/>
      </w:pPr>
      <w:bookmarkStart w:id="99" w:name="__RefHeading___Toc7987_1931662957"/>
      <w:bookmarkEnd w:id="99"/>
      <w:r>
        <w:rPr/>
        <w:t xml:space="preserve">18. Financial evaluation</w:t>
      </w:r>
    </w:p>
    <w:p>
      <w:pPr>
        <w:pStyle w:val="Normal"/>
        <w:spacing w:lineRule="exact" w:line="288" w:before="0" w:after="140"/>
        <w:jc w:val="both"/>
        <w:rPr/>
      </w:pPr>
      <w:r>
        <w:rPr/>
        <w:t xml:space="preserve">The evaluation uses a horizon of 10 years of operation after the 24 months of execution (year 0), at economic prices (applying shadow-price conversion factors to costs) and with a discount rate of 12% per year. Income, benefits, investment costs, operation and maintenance costs, loans, amortization, interest and salvage value are identified, and the net present value (NPV), internal rate of return (IRR) and benefit/cost ratio (B/C) are calculated.</w:t>
      </w:r>
    </w:p>
    <w:p>
      <w:pPr>
        <w:pStyle w:val="Heading2"/>
        <w:rPr/>
      </w:pPr>
      <w:bookmarkStart w:id="100" w:name="__RefHeading___Toc7989_1931662957"/>
      <w:bookmarkEnd w:id="100"/>
      <w:r>
        <w:rPr/>
        <w:t xml:space="preserve">18.1. Income</w:t>
      </w:r>
    </w:p>
    <w:p>
      <w:pPr>
        <w:pStyle w:val="Normal"/>
        <w:spacing w:lineRule="exact" w:line="288" w:before="0" w:after="140"/>
        <w:jc w:val="both"/>
        <w:rPr/>
      </w:pPr>
      <w:r>
        <w:rPr>
          <w:b/>
          <w:bCs/>
        </w:rPr>
        <w:t xml:space="preserve">Income from avoided maintenance (road rehabilitation).</w:t>
      </w:r>
      <w:r>
        <w:rPr/>
        <w:t xml:space="preserve"> Predictive monitoring allows preventive intervention and avoids rehabilitating the road every two years. Savings of COP 510,000,000 are estimated in even years, equivalent to 50% of the cost of rehabilitating one kilometer (COP 1,020,000,000).</w:t>
      </w:r>
    </w:p>
    <w:p>
      <w:pPr>
        <w:pStyle w:val="Normal"/>
        <w:spacing w:lineRule="exact" w:line="288" w:before="0" w:after="140"/>
        <w:jc w:val="both"/>
        <w:rPr/>
      </w:pPr>
      <w:r>
        <w:rPr>
          <w:b/>
          <w:bCs/>
        </w:rPr>
        <w:t xml:space="preserve">Income from the monitoring service.</w:t>
      </w:r>
      <w:r>
        <w:rPr/>
        <w:t xml:space="preserve"> Licensing of the service to concessions and road authorities: one annual contract of COP 100,000,000 for 10 years.</w:t>
      </w:r>
    </w:p>
    <w:p>
      <w:pPr>
        <w:pStyle w:val="TableCaption"/>
        <w:keepNext w:val="true"/>
        <w:spacing w:before="200" w:after="80"/>
        <w:rPr/>
      </w:pPr>
      <w:bookmarkStart w:id="101" w:name="__RefHeading___Toc8027_1931662957"/>
      <w:bookmarkEnd w:id="101"/>
      <w:r>
        <w:rPr>
          <w:b/>
          <w:bCs/>
          <w:color w:val="1F3864"/>
        </w:rPr>
        <w:t xml:space="preserve">Table </w:t>
        <w:fldChar w:fldCharType="begin"/>
        <w:instrText xml:space="preserve"> SEQ Tabla \* ARABIC </w:instrText>
        <w:fldChar w:fldCharType="separate"/>
        <w:t xml:space="preserve">32</w:t>
        <w:fldChar w:fldCharType="end"/>
        <w:t xml:space="preserve">. </w:t>
      </w:r>
      <w:r>
        <w:rPr>
          <w:i/>
          <w:iCs/>
        </w:rPr>
        <w:t xml:space="preserve">Project income (millions of COP)</w:t>
      </w:r>
    </w:p>
    <w:tbl>
      <w:tblPr>
        <w:tblW w:w="9406" w:type="dxa"/>
        <w:jc w:val="left"/>
        <w:tblInd w:w="0" w:type="dxa"/>
        <w:tblLayout w:type="fixed"/>
        <w:tblCellMar>
          <w:top w:w="50" w:type="dxa"/>
          <w:left w:w="80" w:type="dxa"/>
          <w:bottom w:w="50" w:type="dxa"/>
          <w:right w:w="80" w:type="dxa"/>
        </w:tblCellMar>
      </w:tblPr>
      <w:tblGrid>
        <w:gridCol w:w="2069"/>
        <w:gridCol w:w="657"/>
        <w:gridCol w:w="659"/>
        <w:gridCol w:w="657"/>
        <w:gridCol w:w="659"/>
        <w:gridCol w:w="657"/>
        <w:gridCol w:w="659"/>
        <w:gridCol w:w="658"/>
        <w:gridCol w:w="657"/>
        <w:gridCol w:w="659"/>
        <w:gridCol w:w="657"/>
        <w:gridCol w:w="757"/>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Year</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1</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2</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3</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4</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5</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6</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7</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8</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9</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10</w:t>
            </w:r>
          </w:p>
        </w:tc>
        <w:tc>
          <w:tcPr>
            <w:tcW w:w="7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6"/>
                <w:szCs w:val="16"/>
              </w:rPr>
              <w:t xml:space="preserve">Total</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6"/>
                <w:szCs w:val="16"/>
              </w:rPr>
              <w:t xml:space="preserve">Avoided maintenance</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510.0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6"/>
                <w:szCs w:val="16"/>
              </w:rPr>
              <w:t>2,550.0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6"/>
                <w:szCs w:val="16"/>
              </w:rPr>
              <w:t xml:space="preserve">Monitoring service</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6"/>
                <w:szCs w:val="16"/>
              </w:rPr>
              <w:t>1,000.0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6"/>
                <w:szCs w:val="16"/>
              </w:rPr>
              <w:t xml:space="preserve">Total income</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100.0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610.0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6"/>
                <w:szCs w:val="16"/>
              </w:rPr>
              <w:t>3,550.0</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Maintenance: savings of COP 510 million per kilometer rehabilitated every two years. Service: one annual license of COP 100 million.</w:t>
      </w:r>
    </w:p>
    <w:p>
      <w:pPr>
        <w:pStyle w:val="Heading2"/>
        <w:rPr/>
      </w:pPr>
      <w:bookmarkStart w:id="102" w:name="__RefHeading___Toc7991_1931662957"/>
      <w:bookmarkEnd w:id="102"/>
      <w:r>
        <w:rPr/>
        <w:t xml:space="preserve">18.2. Benefits</w:t>
      </w:r>
    </w:p>
    <w:p>
      <w:pPr>
        <w:pStyle w:val="Normal"/>
        <w:spacing w:lineRule="exact" w:line="288" w:before="0" w:after="140"/>
        <w:jc w:val="both"/>
        <w:rPr/>
      </w:pPr>
      <w:r>
        <w:rPr>
          <w:b/>
          <w:bCs/>
        </w:rPr>
        <w:t xml:space="preserve">Benefits to the community from productivity and trade.</w:t>
      </w:r>
      <w:r>
        <w:rPr/>
        <w:t xml:space="preserve"> An average of 15 days of road closure per year is avoided, with commercial losses of COP 1,800,000 per day: COP 27,000,000 per year.</w:t>
      </w:r>
    </w:p>
    <w:p>
      <w:pPr>
        <w:pStyle w:val="Normal"/>
        <w:spacing w:lineRule="exact" w:line="288" w:before="0" w:after="140"/>
        <w:jc w:val="both"/>
        <w:rPr/>
      </w:pPr>
      <w:r>
        <w:rPr>
          <w:b/>
          <w:bCs/>
        </w:rPr>
        <w:t xml:space="preserve">Benefits to the State from reduced fatalities.</w:t>
      </w:r>
      <w:r>
        <w:rPr/>
        <w:t xml:space="preserve"> Based on an average of 35 deaths per year per 100,000 inhabitants, an increasing number of avoided victims is estimated (0 in the first year, 5 in years 2 to 4, 10 in year 5 and 12 from year 6), valued at COP 32,500,000 per victim in compensation and care costs.</w:t>
      </w:r>
    </w:p>
    <w:p>
      <w:pPr>
        <w:pStyle w:val="TableCaption"/>
        <w:keepNext w:val="true"/>
        <w:spacing w:before="200" w:after="80"/>
        <w:rPr/>
      </w:pPr>
      <w:bookmarkStart w:id="103" w:name="__RefHeading___Toc8025_1931662957"/>
      <w:bookmarkEnd w:id="103"/>
      <w:r>
        <w:rPr>
          <w:b/>
          <w:bCs/>
          <w:color w:val="1F3864"/>
        </w:rPr>
        <w:t xml:space="preserve">Table </w:t>
        <w:fldChar w:fldCharType="begin"/>
        <w:instrText xml:space="preserve"> SEQ Tabla \* ARABIC </w:instrText>
        <w:fldChar w:fldCharType="separate"/>
        <w:t xml:space="preserve">33</w:t>
        <w:fldChar w:fldCharType="end"/>
        <w:t xml:space="preserve">. </w:t>
      </w:r>
      <w:r>
        <w:rPr>
          <w:i/>
          <w:iCs/>
        </w:rPr>
        <w:t xml:space="preserve">Project benefits (millions of COP)</w:t>
      </w:r>
    </w:p>
    <w:tbl>
      <w:tblPr>
        <w:tblW w:w="9406" w:type="dxa"/>
        <w:jc w:val="left"/>
        <w:tblInd w:w="0" w:type="dxa"/>
        <w:tblLayout w:type="fixed"/>
        <w:tblCellMar>
          <w:top w:w="50" w:type="dxa"/>
          <w:left w:w="80" w:type="dxa"/>
          <w:bottom w:w="50" w:type="dxa"/>
          <w:right w:w="80" w:type="dxa"/>
        </w:tblCellMar>
      </w:tblPr>
      <w:tblGrid>
        <w:gridCol w:w="2069"/>
        <w:gridCol w:w="657"/>
        <w:gridCol w:w="659"/>
        <w:gridCol w:w="657"/>
        <w:gridCol w:w="659"/>
        <w:gridCol w:w="657"/>
        <w:gridCol w:w="659"/>
        <w:gridCol w:w="658"/>
        <w:gridCol w:w="657"/>
        <w:gridCol w:w="659"/>
        <w:gridCol w:w="657"/>
        <w:gridCol w:w="757"/>
      </w:tblGrid>
      <w:tr>
        <w:trPr>
          <w:tblHeader w:val="true"/>
          <w:cantSplit w:val="true"/>
        </w:trPr>
        <w:tc>
          <w:tcPr>
            <w:tcW w:w="206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Year</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1</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2</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3</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4</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5</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6</w:t>
            </w:r>
          </w:p>
        </w:tc>
        <w:tc>
          <w:tcPr>
            <w:tcW w:w="65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7</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8</w:t>
            </w:r>
          </w:p>
        </w:tc>
        <w:tc>
          <w:tcPr>
            <w:tcW w:w="6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9</w:t>
            </w:r>
          </w:p>
        </w:tc>
        <w:tc>
          <w:tcPr>
            <w:tcW w:w="6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10</w:t>
            </w:r>
          </w:p>
        </w:tc>
        <w:tc>
          <w:tcPr>
            <w:tcW w:w="75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6"/>
                <w:szCs w:val="16"/>
              </w:rPr>
              <w:t xml:space="preserve">Total</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Victims avoided</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5</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12</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85</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6"/>
                <w:szCs w:val="16"/>
              </w:rPr>
              <w:t xml:space="preserve">Compensation savings</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162.5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325.0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390.0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6"/>
                <w:szCs w:val="16"/>
              </w:rPr>
              <w:t>2,762.5</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6"/>
                <w:szCs w:val="16"/>
              </w:rPr>
              <w:t xml:space="preserve">Productivity and trade</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6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w:t>
            </w:r>
          </w:p>
        </w:tc>
        <w:tc>
          <w:tcPr>
            <w:tcW w:w="75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6"/>
                <w:szCs w:val="16"/>
              </w:rPr>
              <w:t>270.0</w:t>
            </w:r>
          </w:p>
        </w:tc>
      </w:tr>
      <w:tr>
        <w:trPr>
          <w:cantSplit w:val="true"/>
        </w:trPr>
        <w:tc>
          <w:tcPr>
            <w:tcW w:w="206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6"/>
                <w:szCs w:val="16"/>
              </w:rPr>
              <w:t xml:space="preserve">Total benefits</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27.0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189.5</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352.0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6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417.0</w:t>
            </w:r>
          </w:p>
        </w:tc>
        <w:tc>
          <w:tcPr>
            <w:tcW w:w="75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6"/>
                <w:szCs w:val="16"/>
              </w:rPr>
              <w:t>3,032.5</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104" w:name="__RefHeading___Toc7993_1931662957"/>
      <w:bookmarkEnd w:id="104"/>
      <w:r>
        <w:rPr/>
        <w:t xml:space="preserve">18.3. Investment costs</w:t>
      </w:r>
    </w:p>
    <w:p>
      <w:pPr>
        <w:pStyle w:val="Normal"/>
        <w:spacing w:lineRule="exact" w:line="288" w:before="0" w:after="140"/>
        <w:jc w:val="both"/>
        <w:rPr/>
      </w:pPr>
      <w:r>
        <w:rPr/>
        <w:t xml:space="preserve">The investment corresponds to the total project budget (COP 2,020,666,816), converted to economic prices with the shadow-price conversion factor of each item. The investment at economic prices is </w:t>
      </w:r>
      <w:r>
        <w:rPr>
          <w:b/>
          <w:bCs/>
        </w:rPr>
        <w:t xml:space="preserve">COP 1,458,108,104</w:t>
      </w:r>
      <w:r>
        <w:rPr/>
        <w:t xml:space="preserve"> and is recorded in year 0.</w:t>
      </w:r>
    </w:p>
    <w:p>
      <w:pPr>
        <w:pStyle w:val="TableCaption"/>
        <w:keepNext w:val="true"/>
        <w:spacing w:before="200" w:after="80"/>
        <w:rPr/>
      </w:pPr>
      <w:bookmarkStart w:id="105" w:name="__RefHeading___Toc8023_1931662957"/>
      <w:bookmarkEnd w:id="105"/>
      <w:r>
        <w:rPr>
          <w:b/>
          <w:bCs/>
          <w:color w:val="1F3864"/>
        </w:rPr>
        <w:t xml:space="preserve">Table </w:t>
        <w:fldChar w:fldCharType="begin"/>
        <w:instrText xml:space="preserve"> SEQ Tabla \* ARABIC </w:instrText>
        <w:fldChar w:fldCharType="separate"/>
        <w:t xml:space="preserve">34</w:t>
        <w:fldChar w:fldCharType="end"/>
        <w:t xml:space="preserve">. </w:t>
      </w:r>
      <w:r>
        <w:rPr>
          <w:i/>
          <w:iCs/>
        </w:rPr>
        <w:t xml:space="preserve">Investment costs at economic prices</w:t>
      </w:r>
    </w:p>
    <w:tbl>
      <w:tblPr>
        <w:tblW w:w="9406" w:type="dxa"/>
        <w:jc w:val="left"/>
        <w:tblInd w:w="0" w:type="dxa"/>
        <w:tblLayout w:type="fixed"/>
        <w:tblCellMar>
          <w:top w:w="50" w:type="dxa"/>
          <w:left w:w="80" w:type="dxa"/>
          <w:bottom w:w="50" w:type="dxa"/>
          <w:right w:w="80" w:type="dxa"/>
        </w:tblCellMar>
      </w:tblPr>
      <w:tblGrid>
        <w:gridCol w:w="4137"/>
        <w:gridCol w:w="1881"/>
        <w:gridCol w:w="1128"/>
        <w:gridCol w:w="2259"/>
      </w:tblGrid>
      <w:tr>
        <w:trPr>
          <w:tblHeader w:val="true"/>
          <w:cantSplit w:val="true"/>
        </w:trPr>
        <w:tc>
          <w:tcPr>
            <w:tcW w:w="413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Item</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Market value (M COP)</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CF</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Economic value (M COP)</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Human resources</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601.8</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367.1</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Equipment and software</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155.6</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117.2</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Training</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111.6</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0.800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89.3</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Services and testing</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334.5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237.5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Materials, supplies and documentation</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7.5</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0.600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Travel expenses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25.4</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18.0</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Infrastructure</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288.1</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0.790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227.6</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Administrative</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496.2</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0.800</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397.0</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8"/>
                <w:szCs w:val="18"/>
              </w:rPr>
              <w:t xml:space="preserve">Total</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8"/>
                <w:szCs w:val="18"/>
              </w:rPr>
              <w:t>2,020.7</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center"/>
              <w:rPr/>
            </w:pPr>
            <w:r>
              <w:rPr/>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8"/>
                <w:szCs w:val="18"/>
              </w:rPr>
              <w:t>1,458.1</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CF: shadow-price conversion factor.</w:t>
      </w:r>
    </w:p>
    <w:p>
      <w:pPr>
        <w:pStyle w:val="Heading2"/>
        <w:rPr/>
      </w:pPr>
      <w:bookmarkStart w:id="106" w:name="__RefHeading___Toc7995_1931662957"/>
      <w:bookmarkEnd w:id="106"/>
      <w:r>
        <w:rPr/>
        <w:t xml:space="preserve">18.4. Operation and maintenance costs</w:t>
      </w:r>
    </w:p>
    <w:p>
      <w:pPr>
        <w:pStyle w:val="Normal"/>
        <w:spacing w:lineRule="exact" w:line="288" w:before="0" w:after="140"/>
        <w:jc w:val="both"/>
        <w:rPr/>
      </w:pPr>
      <w:r>
        <w:rPr/>
        <w:t xml:space="preserve">Once the platform is delivered, its operation requires a platform administrator, cloud servers, computer vision and GIS licenses, and internet with an SSL certificate. These costs total COP 42,475,000 per year at market prices and </w:t>
      </w:r>
      <w:r>
        <w:rPr>
          <w:b/>
          <w:bCs/>
        </w:rPr>
        <w:t xml:space="preserve">COP 29,084,050</w:t>
      </w:r>
      <w:r>
        <w:rPr/>
        <w:t xml:space="preserve"> at economic prices. In addition, the high-performance computers (5-year useful life) are expected to be replaced in year 5 for COP 33,885,000 at economic prices.</w:t>
      </w:r>
    </w:p>
    <w:p>
      <w:pPr>
        <w:pStyle w:val="TableCaption"/>
        <w:keepNext w:val="true"/>
        <w:spacing w:before="200" w:after="80"/>
        <w:rPr/>
      </w:pPr>
      <w:bookmarkStart w:id="107" w:name="__RefHeading___Toc8021_1931662957"/>
      <w:bookmarkEnd w:id="107"/>
      <w:r>
        <w:rPr>
          <w:b/>
          <w:bCs/>
          <w:color w:val="1F3864"/>
        </w:rPr>
        <w:t xml:space="preserve">Table </w:t>
        <w:fldChar w:fldCharType="begin"/>
        <w:instrText xml:space="preserve"> SEQ Tabla \* ARABIC </w:instrText>
        <w:fldChar w:fldCharType="separate"/>
        <w:t xml:space="preserve">35</w:t>
        <w:fldChar w:fldCharType="end"/>
        <w:t xml:space="preserve">. </w:t>
      </w:r>
      <w:r>
        <w:rPr>
          <w:i/>
          <w:iCs/>
        </w:rPr>
        <w:t xml:space="preserve">Annual operation and maintenance costs</w:t>
      </w:r>
    </w:p>
    <w:tbl>
      <w:tblPr>
        <w:tblW w:w="9406" w:type="dxa"/>
        <w:jc w:val="left"/>
        <w:tblInd w:w="0" w:type="dxa"/>
        <w:tblLayout w:type="fixed"/>
        <w:tblCellMar>
          <w:top w:w="50" w:type="dxa"/>
          <w:left w:w="80" w:type="dxa"/>
          <w:bottom w:w="50" w:type="dxa"/>
          <w:right w:w="80" w:type="dxa"/>
        </w:tblCellMar>
      </w:tblPr>
      <w:tblGrid>
        <w:gridCol w:w="4137"/>
        <w:gridCol w:w="1881"/>
        <w:gridCol w:w="1128"/>
        <w:gridCol w:w="2259"/>
      </w:tblGrid>
      <w:tr>
        <w:trPr>
          <w:tblHeader w:val="true"/>
          <w:cantSplit w:val="true"/>
        </w:trPr>
        <w:tc>
          <w:tcPr>
            <w:tcW w:w="4137"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Item</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Annual market value (M COP)</w:t>
            </w:r>
          </w:p>
        </w:tc>
        <w:tc>
          <w:tcPr>
            <w:tcW w:w="112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CF</w:t>
            </w:r>
          </w:p>
        </w:tc>
        <w:tc>
          <w:tcPr>
            <w:tcW w:w="2259"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Annual economic value (M COP)</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Platform administrator (20 h/week, 12 months)</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19.4</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0.610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11.8</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Microsoft Azure servers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9.6</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7.2</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Ultralytics HUB Pro licenses (YOLOv5)</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6.0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4.5</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GIS licenses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4.5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0.753</w:t>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3.4</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Internet and SSL certificate</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3.0</w:t>
            </w:r>
          </w:p>
        </w:tc>
        <w:tc>
          <w:tcPr>
            <w:tcW w:w="112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0.710</w:t>
            </w:r>
          </w:p>
        </w:tc>
        <w:tc>
          <w:tcPr>
            <w:tcW w:w="2259"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2.1</w:t>
            </w:r>
          </w:p>
        </w:tc>
      </w:tr>
      <w:tr>
        <w:trPr>
          <w:cantSplit w:val="true"/>
        </w:trPr>
        <w:tc>
          <w:tcPr>
            <w:tcW w:w="4137"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Annual total</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8"/>
                <w:szCs w:val="18"/>
              </w:rPr>
              <w:t>42.5</w:t>
            </w:r>
          </w:p>
        </w:tc>
        <w:tc>
          <w:tcPr>
            <w:tcW w:w="112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r>
          </w:p>
        </w:tc>
        <w:tc>
          <w:tcPr>
            <w:tcW w:w="2259"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bCs/>
                <w:color w:val="1A1A1A"/>
                <w:sz w:val="18"/>
                <w:szCs w:val="18"/>
              </w:rPr>
              <w:t>29.1</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 based on the unit values in the budget (Tables 21, 22 and 24).</w:t>
      </w:r>
    </w:p>
    <w:p>
      <w:pPr>
        <w:pStyle w:val="Heading2"/>
        <w:rPr/>
      </w:pPr>
      <w:bookmarkStart w:id="108" w:name="__RefHeading___Toc7997_1931662957"/>
      <w:bookmarkEnd w:id="108"/>
      <w:r>
        <w:rPr/>
        <w:t xml:space="preserve">18.5. Loans, amortization and interest</w:t>
      </w:r>
    </w:p>
    <w:p>
      <w:pPr>
        <w:pStyle w:val="Normal"/>
        <w:spacing w:lineRule="exact" w:line="288" w:before="0" w:after="140"/>
        <w:jc w:val="both"/>
        <w:rPr/>
      </w:pPr>
      <w:r>
        <w:rPr/>
        <w:t xml:space="preserve">The project is funded with non-reimbursable resources (STI Fund of the General Royalties System or Fondo Adaptación) and with contributions from Universidad EAFIT and URBAM. Therefore, no loans are taken out and amortization and interest are zero in all periods.</w:t>
      </w:r>
    </w:p>
    <w:p>
      <w:pPr>
        <w:pStyle w:val="Heading2"/>
        <w:rPr/>
      </w:pPr>
      <w:bookmarkStart w:id="109" w:name="__RefHeading___Toc7999_1931662957"/>
      <w:bookmarkEnd w:id="109"/>
      <w:r>
        <w:rPr/>
        <w:t xml:space="preserve">18.6. Salvage value</w:t>
      </w:r>
    </w:p>
    <w:p>
      <w:pPr>
        <w:pStyle w:val="Normal"/>
        <w:spacing w:lineRule="exact" w:line="288" w:before="0" w:after="140"/>
        <w:jc w:val="both"/>
        <w:rPr/>
      </w:pPr>
      <w:r>
        <w:rPr/>
        <w:t xml:space="preserve">At the end of the evaluation horizon (year 10), the equipment replaced in year 5 is fully depreciated and the software licenses have no residual value. The salvage value is estimated at zero, a conservative assumption.</w:t>
      </w:r>
    </w:p>
    <w:p>
      <w:pPr>
        <w:pStyle w:val="Heading2"/>
        <w:rPr/>
      </w:pPr>
      <w:bookmarkStart w:id="110" w:name="__RefHeading___Toc8001_1931662957"/>
      <w:bookmarkEnd w:id="110"/>
      <w:r>
        <w:rPr/>
        <w:t xml:space="preserve">18.7. Net cash flow</w:t>
      </w:r>
    </w:p>
    <w:p>
      <w:pPr>
        <w:pStyle w:val="TableCaption"/>
        <w:keepNext w:val="true"/>
        <w:spacing w:before="200" w:after="80"/>
        <w:rPr/>
      </w:pPr>
      <w:bookmarkStart w:id="111" w:name="__RefHeading___Toc8019_1931662957"/>
      <w:bookmarkEnd w:id="111"/>
      <w:r>
        <w:rPr>
          <w:b/>
          <w:bCs/>
          <w:color w:val="1F3864"/>
        </w:rPr>
        <w:t xml:space="preserve">Table </w:t>
        <w:fldChar w:fldCharType="begin"/>
        <w:instrText xml:space="preserve"> SEQ Tabla \* ARABIC </w:instrText>
        <w:fldChar w:fldCharType="separate"/>
        <w:t xml:space="preserve">36</w:t>
        <w:fldChar w:fldCharType="end"/>
        <w:t xml:space="preserve">. </w:t>
      </w:r>
      <w:r>
        <w:rPr>
          <w:i/>
          <w:iCs/>
        </w:rPr>
        <w:t xml:space="preserve">Net cash flow at economic prices (millions of COP)</w:t>
      </w:r>
    </w:p>
    <w:tbl>
      <w:tblPr>
        <w:tblW w:w="9406" w:type="dxa"/>
        <w:jc w:val="left"/>
        <w:tblInd w:w="0" w:type="dxa"/>
        <w:tblLayout w:type="fixed"/>
        <w:tblCellMar>
          <w:top w:w="50" w:type="dxa"/>
          <w:left w:w="80" w:type="dxa"/>
          <w:bottom w:w="50" w:type="dxa"/>
          <w:right w:w="80" w:type="dxa"/>
        </w:tblCellMar>
      </w:tblPr>
      <w:tblGrid>
        <w:gridCol w:w="1975"/>
        <w:gridCol w:w="674"/>
        <w:gridCol w:w="676"/>
        <w:gridCol w:w="675"/>
        <w:gridCol w:w="674"/>
        <w:gridCol w:w="676"/>
        <w:gridCol w:w="674"/>
        <w:gridCol w:w="675"/>
        <w:gridCol w:w="676"/>
        <w:gridCol w:w="674"/>
        <w:gridCol w:w="676"/>
        <w:gridCol w:w="680"/>
      </w:tblGrid>
      <w:tr>
        <w:trPr>
          <w:tblHeader w:val="true"/>
          <w:cantSplit w:val="true"/>
        </w:trPr>
        <w:tc>
          <w:tcPr>
            <w:tcW w:w="19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 xml:space="preserve">Item (M COP)</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0</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w:t>
            </w:r>
          </w:p>
        </w:tc>
        <w:tc>
          <w:tcPr>
            <w:tcW w:w="6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2</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3</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4</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5</w:t>
            </w:r>
          </w:p>
        </w:tc>
        <w:tc>
          <w:tcPr>
            <w:tcW w:w="675"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6</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7</w:t>
            </w:r>
          </w:p>
        </w:tc>
        <w:tc>
          <w:tcPr>
            <w:tcW w:w="6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8</w:t>
            </w:r>
          </w:p>
        </w:tc>
        <w:tc>
          <w:tcPr>
            <w:tcW w:w="676"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9</w:t>
            </w:r>
          </w:p>
        </w:tc>
        <w:tc>
          <w:tcPr>
            <w:tcW w:w="68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false"/>
              <w:spacing w:lineRule="exact" w:line="252" w:before="0" w:after="20"/>
              <w:jc w:val="center"/>
              <w:rPr/>
            </w:pPr>
            <w:r>
              <w:rPr>
                <w:b/>
                <w:bCs/>
                <w:color w:val="FFFFFF"/>
                <w:sz w:val="15"/>
                <w:szCs w:val="15"/>
              </w:rPr>
              <w:t>10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 Income</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100.0</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610.0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 Benefits</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27.0</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189.5</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352.0</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417.0</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 Investment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 Operation and maint.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-29.1</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 Equipment replacement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-33.9</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 Loans</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5"/>
                <w:szCs w:val="15"/>
              </w:rPr>
              <w:t xml:space="preserve">(−) Amortization and interest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 Salvage value</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bCs/>
                <w:color w:val="1A1A1A"/>
                <w:sz w:val="15"/>
                <w:szCs w:val="15"/>
              </w:rPr>
              <w:t xml:space="preserve">Net cash flow</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97.9</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770.4</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260.4</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770.4</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389.0</w:t>
            </w:r>
          </w:p>
        </w:tc>
        <w:tc>
          <w:tcPr>
            <w:tcW w:w="675"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487.9</w:t>
            </w:r>
          </w:p>
        </w:tc>
        <w:tc>
          <w:tcPr>
            <w:tcW w:w="674"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c>
          <w:tcPr>
            <w:tcW w:w="676"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487.9</w:t>
            </w:r>
          </w:p>
        </w:tc>
        <w:tc>
          <w:tcPr>
            <w:tcW w:w="68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bCs/>
                <w:color w:val="1A1A1A"/>
                <w:sz w:val="15"/>
                <w:szCs w:val="15"/>
              </w:rPr>
              <w:t>997.9</w:t>
            </w:r>
          </w:p>
        </w:tc>
      </w:tr>
      <w:tr>
        <w:trPr>
          <w:cantSplit w:val="true"/>
        </w:trPr>
        <w:tc>
          <w:tcPr>
            <w:tcW w:w="19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val="false"/>
                <w:bCs w:val="false"/>
                <w:color w:val="1A1A1A"/>
                <w:sz w:val="15"/>
                <w:szCs w:val="15"/>
              </w:rPr>
              <w:t xml:space="preserve">Present value (12%)</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-1,458.1</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87.4</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614.2</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185.4</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489.6</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220.7</w:t>
            </w:r>
          </w:p>
        </w:tc>
        <w:tc>
          <w:tcPr>
            <w:tcW w:w="675"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505.6</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220.7</w:t>
            </w:r>
          </w:p>
        </w:tc>
        <w:tc>
          <w:tcPr>
            <w:tcW w:w="6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403.0</w:t>
            </w:r>
          </w:p>
        </w:tc>
        <w:tc>
          <w:tcPr>
            <w:tcW w:w="676"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175.9</w:t>
            </w:r>
          </w:p>
        </w:tc>
        <w:tc>
          <w:tcPr>
            <w:tcW w:w="68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5"/>
                <w:szCs w:val="15"/>
              </w:rPr>
              <w:t>321.3</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Normal"/>
        <w:keepNext w:val="true"/>
        <w:spacing w:before="160" w:after="60"/>
        <w:jc w:val="center"/>
        <w:rPr/>
      </w:pPr>
      <w:r>
        <w:rPr/>
        <w:drawing>
          <wp:inline distT="0" distB="0" distL="0" distR="0">
            <wp:extent cx="5305425" cy="2609850"/>
            <wp:effectExtent l="0" t="0" r="0" b="0"/>
            <wp:docPr id="13" name="Flujo neto de caja anual y valor present" descr="Flujo neto de caja anual y valor presente acumulado Flujo neto de caja anual y valor presente acu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ujo neto de caja anual y valor present" descr="Flujo neto de caja anual y valor presente acumulado Flujo neto de caja anual y valor presente acumulado"/>
                    <pic:cNvPicPr>
                      <a:picLocks noChangeAspect="1" noChangeArrowheads="1"/>
                    </pic:cNvPicPr>
                  </pic:nvPicPr>
                  <pic:blipFill>
                    <a:blip r:embed="rId40"/>
                    <a:stretch>
                      <a:fillRect/>
                    </a:stretch>
                  </pic:blipFill>
                  <pic:spPr bwMode="auto">
                    <a:xfrm>
                      <a:off x="0" y="0"/>
                      <a:ext cx="5305425" cy="2609850"/>
                    </a:xfrm>
                    <a:prstGeom prst="rect">
                      <a:avLst/>
                    </a:prstGeom>
                  </pic:spPr>
                </pic:pic>
              </a:graphicData>
            </a:graphic>
          </wp:inline>
        </w:drawing>
      </w:r>
    </w:p>
    <w:p>
      <w:pPr>
        <w:pStyle w:val="FigureCaption"/>
        <w:keepNext w:val="true"/>
        <w:spacing w:before="200" w:after="80"/>
        <w:rPr/>
      </w:pPr>
      <w:bookmarkStart w:id="112" w:name="__RefHeading___Toc8091_1931662957"/>
      <w:bookmarkEnd w:id="112"/>
      <w:r>
        <w:rPr>
          <w:b/>
          <w:bCs/>
          <w:color w:val="1F3864"/>
        </w:rPr>
        <w:t xml:space="preserve">Figure </w:t>
        <w:fldChar w:fldCharType="begin"/>
        <w:instrText xml:space="preserve"> SEQ Figura \* ARABIC </w:instrText>
        <w:fldChar w:fldCharType="separate"/>
        <w:t xml:space="preserve">12</w:t>
        <w:fldChar w:fldCharType="end"/>
        <w:t xml:space="preserve">. </w:t>
      </w:r>
      <w:r>
        <w:rPr>
          <w:i/>
          <w:iCs/>
        </w:rPr>
        <w:t xml:space="preserve">Annual net cash flow and cumulative present value</w:t>
      </w:r>
    </w:p>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Heading2"/>
        <w:rPr/>
      </w:pPr>
      <w:bookmarkStart w:id="113" w:name="__RefHeading___Toc8003_1931662957"/>
      <w:bookmarkEnd w:id="113"/>
      <w:r>
        <w:rPr/>
        <w:t xml:space="preserve">18.8. Financial indicators</w:t>
      </w:r>
    </w:p>
    <w:p>
      <w:pPr>
        <w:pStyle w:val="TableCaption"/>
        <w:keepNext w:val="true"/>
        <w:spacing w:before="200" w:after="80"/>
        <w:rPr/>
      </w:pPr>
      <w:bookmarkStart w:id="114" w:name="__RefHeading___Toc8017_1931662957"/>
      <w:bookmarkEnd w:id="114"/>
      <w:r>
        <w:rPr>
          <w:b/>
          <w:bCs/>
          <w:color w:val="1F3864"/>
        </w:rPr>
        <w:t xml:space="preserve">Table </w:t>
        <w:fldChar w:fldCharType="begin"/>
        <w:instrText xml:space="preserve"> SEQ Tabla \* ARABIC </w:instrText>
        <w:fldChar w:fldCharType="separate"/>
        <w:t xml:space="preserve">37</w:t>
        <w:fldChar w:fldCharType="end"/>
        <w:t xml:space="preserve">. </w:t>
      </w:r>
      <w:r>
        <w:rPr>
          <w:i/>
          <w:iCs/>
        </w:rPr>
        <w:t xml:space="preserve">Financial evaluation indicators</w:t>
      </w:r>
    </w:p>
    <w:tbl>
      <w:tblPr>
        <w:tblW w:w="9406" w:type="dxa"/>
        <w:jc w:val="left"/>
        <w:tblInd w:w="0" w:type="dxa"/>
        <w:tblLayout w:type="fixed"/>
        <w:tblCellMar>
          <w:top w:w="50" w:type="dxa"/>
          <w:left w:w="80" w:type="dxa"/>
          <w:bottom w:w="50" w:type="dxa"/>
          <w:right w:w="80" w:type="dxa"/>
        </w:tblCellMar>
      </w:tblPr>
      <w:tblGrid>
        <w:gridCol w:w="3574"/>
        <w:gridCol w:w="2068"/>
        <w:gridCol w:w="1881"/>
        <w:gridCol w:w="1882"/>
      </w:tblGrid>
      <w:tr>
        <w:trPr>
          <w:tblHeader w:val="true"/>
          <w:cantSplit w:val="true"/>
        </w:trPr>
        <w:tc>
          <w:tcPr>
            <w:tcW w:w="3574"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Indicator</w:t>
            </w:r>
          </w:p>
        </w:tc>
        <w:tc>
          <w:tcPr>
            <w:tcW w:w="2068"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Result</w:t>
            </w:r>
          </w:p>
        </w:tc>
        <w:tc>
          <w:tcPr>
            <w:tcW w:w="1881"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Criterion</w:t>
            </w:r>
          </w:p>
        </w:tc>
        <w:tc>
          <w:tcPr>
            <w:tcW w:w="1882"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Decision</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Net present value (NPV, 12%)</w:t>
            </w:r>
          </w:p>
        </w:tc>
        <w:tc>
          <w:tcPr>
            <w:tcW w:w="206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$ 1,765,781,332</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 xml:space="preserve">NPV &gt; 0</w:t>
            </w:r>
          </w:p>
        </w:tc>
        <w:tc>
          <w:tcPr>
            <w:tcW w:w="188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 xml:space="preserve">Accepted</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bCs/>
                <w:color w:val="1A1A1A"/>
                <w:sz w:val="18"/>
                <w:szCs w:val="18"/>
              </w:rPr>
              <w:t xml:space="preserve">Internal rate of return (IRR)</w:t>
            </w:r>
          </w:p>
        </w:tc>
        <w:tc>
          <w:tcPr>
            <w:tcW w:w="206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31.8 %</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 xml:space="preserve">IRR &gt; 12%</w:t>
            </w:r>
          </w:p>
        </w:tc>
        <w:tc>
          <w:tcPr>
            <w:tcW w:w="188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center"/>
              <w:rPr/>
            </w:pPr>
            <w:r>
              <w:rPr>
                <w:b w:val="false"/>
                <w:bCs w:val="false"/>
                <w:color w:val="1A1A1A"/>
                <w:sz w:val="18"/>
                <w:szCs w:val="18"/>
              </w:rPr>
              <w:t xml:space="preserve">Accepted</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bCs/>
                <w:color w:val="1A1A1A"/>
                <w:sz w:val="18"/>
                <w:szCs w:val="18"/>
              </w:rPr>
              <w:t xml:space="preserve">Benefit/cost ratio (B/C)</w:t>
            </w:r>
          </w:p>
        </w:tc>
        <w:tc>
          <w:tcPr>
            <w:tcW w:w="2068"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2.08</w:t>
            </w:r>
          </w:p>
        </w:tc>
        <w:tc>
          <w:tcPr>
            <w:tcW w:w="1881"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 xml:space="preserve">B/C &gt; 1</w:t>
            </w:r>
          </w:p>
        </w:tc>
        <w:tc>
          <w:tcPr>
            <w:tcW w:w="1882"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center"/>
              <w:rPr/>
            </w:pPr>
            <w:r>
              <w:rPr>
                <w:b w:val="false"/>
                <w:bCs w:val="false"/>
                <w:color w:val="1A1A1A"/>
                <w:sz w:val="18"/>
                <w:szCs w:val="18"/>
              </w:rPr>
              <w:t xml:space="preserve">Accepted</w:t>
            </w:r>
          </w:p>
        </w:tc>
      </w:tr>
      <w:tr>
        <w:trPr>
          <w:cantSplit w:val="true"/>
        </w:trPr>
        <w:tc>
          <w:tcPr>
            <w:tcW w:w="3574"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left"/>
              <w:rPr/>
            </w:pPr>
            <w:r>
              <w:rPr>
                <w:b/>
                <w:bCs/>
                <w:color w:val="1A1A1A"/>
                <w:sz w:val="18"/>
                <w:szCs w:val="18"/>
              </w:rPr>
              <w:t xml:space="preserve">Discounted payback period</w:t>
            </w:r>
          </w:p>
        </w:tc>
        <w:tc>
          <w:tcPr>
            <w:tcW w:w="2068"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right"/>
              <w:rPr/>
            </w:pPr>
            <w:r>
              <w:rPr>
                <w:b w:val="false"/>
                <w:bCs w:val="false"/>
                <w:color w:val="1A1A1A"/>
                <w:sz w:val="18"/>
                <w:szCs w:val="18"/>
              </w:rPr>
              <w:t xml:space="preserve">4.4 years</w:t>
            </w:r>
          </w:p>
        </w:tc>
        <w:tc>
          <w:tcPr>
            <w:tcW w:w="1881"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 xml:space="preserve">&lt; 10 years</w:t>
            </w:r>
          </w:p>
        </w:tc>
        <w:tc>
          <w:tcPr>
            <w:tcW w:w="1882"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false"/>
              <w:spacing w:lineRule="exact" w:line="252" w:before="0" w:after="20"/>
              <w:jc w:val="center"/>
              <w:rPr/>
            </w:pPr>
            <w:r>
              <w:rPr>
                <w:b w:val="false"/>
                <w:bCs w:val="false"/>
                <w:color w:val="1A1A1A"/>
                <w:sz w:val="18"/>
                <w:szCs w:val="18"/>
              </w:rPr>
              <w:t xml:space="preserve">Accepted</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Normal"/>
        <w:spacing w:lineRule="exact" w:line="288" w:before="0" w:after="140"/>
        <w:jc w:val="both"/>
        <w:rPr/>
      </w:pPr>
      <w:r>
        <w:rPr/>
        <w:t xml:space="preserve">The NPV at a 12% rate is COP 1,765,781,332, the IRR is 31.8% and the benefit/cost ratio is 2.08. In other words, for every peso invested and spent on operation, the project generates 2.08 pesos of income and benefits in present value, and the investment is recovered, in present value, after 4.4 years of operation.</w:t>
      </w:r>
    </w:p>
    <w:p>
      <w:pPr>
        <w:pStyle w:val="Normal"/>
        <w:spacing w:lineRule="exact" w:line="288" w:before="0" w:after="140"/>
        <w:jc w:val="both"/>
        <w:rPr/>
      </w:pPr>
      <w:r>
        <w:rPr>
          <w:i/>
          <w:iCs/>
        </w:rPr>
        <w:t xml:space="preserve">Correction note:</w:t>
      </w:r>
      <w:r>
        <w:rPr/>
        <w:t xml:space="preserve"> in the previous version, the net flow for years 6, 8 and 10 omitted the maintenance income and was discounted over a single period, the fatality benefit for year 1 did not match the benefits table, operating costs were not included, and the investment at economic prices did not correspond to the final budget. With these corrections, the NPV rises from COP 1,523 million to COP 1,766 million and the IRR from 27.9% to 31.8%.</w:t>
      </w:r>
    </w:p>
    <w:p>
      <w:pPr>
        <w:pStyle w:val="Heading2"/>
        <w:rPr/>
      </w:pPr>
      <w:bookmarkStart w:id="115" w:name="__RefHeading___Toc8005_1931662957"/>
      <w:bookmarkEnd w:id="115"/>
      <w:r>
        <w:rPr/>
        <w:t xml:space="preserve">18.9. Sensitivity analysis</w:t>
      </w:r>
    </w:p>
    <w:p>
      <w:pPr>
        <w:pStyle w:val="TableCaption"/>
        <w:keepNext w:val="true"/>
        <w:spacing w:before="200" w:after="80"/>
        <w:rPr/>
      </w:pPr>
      <w:bookmarkStart w:id="116" w:name="__RefHeading___Toc8015_1931662957"/>
      <w:bookmarkEnd w:id="116"/>
      <w:r>
        <w:rPr>
          <w:b/>
          <w:bCs/>
          <w:color w:val="1F3864"/>
        </w:rPr>
        <w:t xml:space="preserve">Table </w:t>
        <w:fldChar w:fldCharType="begin"/>
        <w:instrText xml:space="preserve"> SEQ Tabla \* ARABIC </w:instrText>
        <w:fldChar w:fldCharType="separate"/>
        <w:t xml:space="preserve">38</w:t>
        <w:fldChar w:fldCharType="end"/>
        <w:t xml:space="preserve">. </w:t>
      </w:r>
      <w:r>
        <w:rPr>
          <w:i/>
          <w:iCs/>
        </w:rPr>
        <w:t xml:space="preserve">Sensitivity analysis</w:t>
      </w:r>
    </w:p>
    <w:tbl>
      <w:tblPr>
        <w:tblW w:w="9406" w:type="dxa"/>
        <w:jc w:val="left"/>
        <w:tblInd w:w="0" w:type="dxa"/>
        <w:tblLayout w:type="fixed"/>
        <w:tblCellMar>
          <w:top w:w="50" w:type="dxa"/>
          <w:left w:w="80" w:type="dxa"/>
          <w:bottom w:w="50" w:type="dxa"/>
          <w:right w:w="80" w:type="dxa"/>
        </w:tblCellMar>
      </w:tblPr>
      <w:tblGrid>
        <w:gridCol w:w="4703"/>
        <w:gridCol w:w="2350"/>
        <w:gridCol w:w="2353"/>
      </w:tblGrid>
      <w:tr>
        <w:trPr>
          <w:tblHeader w:val="true"/>
          <w:cantSplit w:val="true"/>
        </w:trPr>
        <w:tc>
          <w:tcPr>
            <w:tcW w:w="470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Scenario</w:t>
            </w:r>
          </w:p>
        </w:tc>
        <w:tc>
          <w:tcPr>
            <w:tcW w:w="2350"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NPV (M COP)</w:t>
            </w:r>
          </w:p>
        </w:tc>
        <w:tc>
          <w:tcPr>
            <w:tcW w:w="2353" w:type="dxa"/>
            <w:tcBorders>
              <w:top w:val="single" w:sz="4" w:space="0" w:color="BFC7D5"/>
              <w:left w:val="single" w:sz="4" w:space="0" w:color="BFC7D5"/>
              <w:bottom w:val="single" w:sz="4" w:space="0" w:color="BFC7D5"/>
              <w:right w:val="single" w:sz="4" w:space="0" w:color="BFC7D5"/>
            </w:tcBorders>
            <w:shd w:color="auto" w:fill="1F3864" w:val="clear"/>
            <w:vAlign w:val="center"/>
          </w:tcPr>
          <w:p>
            <w:pPr>
              <w:pStyle w:val="Normal"/>
              <w:keepNext w:val="true"/>
              <w:spacing w:lineRule="exact" w:line="252" w:before="0" w:after="20"/>
              <w:jc w:val="center"/>
              <w:rPr/>
            </w:pPr>
            <w:r>
              <w:rPr>
                <w:b/>
                <w:bCs/>
                <w:color w:val="FFFFFF"/>
                <w:sz w:val="18"/>
                <w:szCs w:val="18"/>
              </w:rPr>
              <w:t xml:space="preserve">IRR</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Base scenario</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1,765.8</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31.8 %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Benefits and income −20%</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1,084.3</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25.0 %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Benefits and income −40%</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402.8</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17.3 %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Investment and operating costs +20%</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1,437.4</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26.2 %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left"/>
              <w:rPr/>
            </w:pPr>
            <w:r>
              <w:rPr>
                <w:b w:val="false"/>
                <w:bCs w:val="false"/>
                <w:color w:val="1A1A1A"/>
                <w:sz w:val="18"/>
                <w:szCs w:val="18"/>
              </w:rPr>
              <w:t xml:space="preserve">No income from avoided maintenance</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406.5</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true"/>
              <w:spacing w:lineRule="exact" w:line="252" w:before="0" w:after="20"/>
              <w:jc w:val="right"/>
              <w:rPr/>
            </w:pPr>
            <w:r>
              <w:rPr>
                <w:b w:val="false"/>
                <w:bCs w:val="false"/>
                <w:color w:val="1A1A1A"/>
                <w:sz w:val="18"/>
                <w:szCs w:val="18"/>
              </w:rPr>
              <w:t>17.1 %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left"/>
              <w:rPr/>
            </w:pPr>
            <w:r>
              <w:rPr>
                <w:b w:val="false"/>
                <w:bCs w:val="false"/>
                <w:color w:val="1A1A1A"/>
                <w:sz w:val="18"/>
                <w:szCs w:val="18"/>
              </w:rPr>
              <w:t xml:space="preserve">Discount rate 9%</w:t>
            </w:r>
          </w:p>
        </w:tc>
        <w:tc>
          <w:tcPr>
            <w:tcW w:w="2350"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2,288.8</w:t>
            </w:r>
          </w:p>
        </w:tc>
        <w:tc>
          <w:tcPr>
            <w:tcW w:w="2353" w:type="dxa"/>
            <w:tcBorders>
              <w:top w:val="single" w:sz="4" w:space="0" w:color="BFC7D5"/>
              <w:left w:val="single" w:sz="4" w:space="0" w:color="BFC7D5"/>
              <w:bottom w:val="single" w:sz="4" w:space="0" w:color="BFC7D5"/>
              <w:right w:val="single" w:sz="4" w:space="0" w:color="BFC7D5"/>
            </w:tcBorders>
            <w:shd w:color="auto" w:fill="F2F5FA" w:val="clear"/>
          </w:tcPr>
          <w:p>
            <w:pPr>
              <w:pStyle w:val="Normal"/>
              <w:keepNext w:val="true"/>
              <w:spacing w:lineRule="exact" w:line="252" w:before="0" w:after="20"/>
              <w:jc w:val="right"/>
              <w:rPr/>
            </w:pPr>
            <w:r>
              <w:rPr>
                <w:b w:val="false"/>
                <w:bCs w:val="false"/>
                <w:color w:val="1A1A1A"/>
                <w:sz w:val="18"/>
                <w:szCs w:val="18"/>
              </w:rPr>
              <w:t>31.8 %</w:t>
            </w:r>
          </w:p>
        </w:tc>
      </w:tr>
      <w:tr>
        <w:trPr>
          <w:cantSplit w:val="true"/>
        </w:trPr>
        <w:tc>
          <w:tcPr>
            <w:tcW w:w="470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left"/>
              <w:rPr/>
            </w:pPr>
            <w:r>
              <w:rPr>
                <w:b w:val="false"/>
                <w:bCs w:val="false"/>
                <w:color w:val="1A1A1A"/>
                <w:sz w:val="18"/>
                <w:szCs w:val="18"/>
              </w:rPr>
              <w:t xml:space="preserve">Discount rate 15%</w:t>
            </w:r>
          </w:p>
        </w:tc>
        <w:tc>
          <w:tcPr>
            <w:tcW w:w="2350"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8"/>
                <w:szCs w:val="18"/>
              </w:rPr>
              <w:t>1,341.2</w:t>
            </w:r>
          </w:p>
        </w:tc>
        <w:tc>
          <w:tcPr>
            <w:tcW w:w="2353" w:type="dxa"/>
            <w:tcBorders>
              <w:top w:val="single" w:sz="4" w:space="0" w:color="BFC7D5"/>
              <w:left w:val="single" w:sz="4" w:space="0" w:color="BFC7D5"/>
              <w:bottom w:val="single" w:sz="4" w:space="0" w:color="BFC7D5"/>
              <w:right w:val="single" w:sz="4" w:space="0" w:color="BFC7D5"/>
            </w:tcBorders>
          </w:tcPr>
          <w:p>
            <w:pPr>
              <w:pStyle w:val="Normal"/>
              <w:keepNext w:val="false"/>
              <w:spacing w:lineRule="exact" w:line="252" w:before="0" w:after="20"/>
              <w:jc w:val="right"/>
              <w:rPr/>
            </w:pPr>
            <w:r>
              <w:rPr>
                <w:b w:val="false"/>
                <w:bCs w:val="false"/>
                <w:color w:val="1A1A1A"/>
                <w:sz w:val="18"/>
                <w:szCs w:val="18"/>
              </w:rPr>
              <w:t>31.8 %</w:t>
            </w:r>
          </w:p>
        </w:tc>
      </w:tr>
    </w:tbl>
    <w:p>
      <w:pPr>
        <w:pStyle w:val="Normal"/>
        <w:spacing w:before="60" w:after="240"/>
        <w:jc w:val="left"/>
        <w:rPr/>
      </w:pPr>
      <w:r>
        <w:rPr>
          <w:i/>
          <w:iCs/>
          <w:color w:val="595959"/>
          <w:sz w:val="17"/>
          <w:szCs w:val="17"/>
        </w:rPr>
        <w:t xml:space="preserve">Note. </w:t>
      </w:r>
      <w:r>
        <w:rPr>
          <w:color w:val="595959"/>
          <w:sz w:val="17"/>
          <w:szCs w:val="17"/>
        </w:rPr>
        <w:t xml:space="preserve">Own elaboration.</w:t>
      </w:r>
    </w:p>
    <w:p>
      <w:pPr>
        <w:pStyle w:val="Normal"/>
        <w:spacing w:lineRule="exact" w:line="288" w:before="0" w:after="140"/>
        <w:jc w:val="both"/>
        <w:rPr/>
      </w:pPr>
      <w:r>
        <w:rPr/>
        <w:t xml:space="preserve">The project keeps a positive NPV in all the scenarios evaluated. Income and benefits could fall by up to 52% before the NPV becomes negative. The most sensitive assumption is the maintenance saving: without it, the NPV drops to COP 406,529,566 and the IRR to 17.1%, still above the discount rate.</w:t>
      </w:r>
    </w:p>
    <w:p>
      <w:pPr>
        <w:pStyle w:val="Heading2"/>
        <w:rPr/>
      </w:pPr>
      <w:bookmarkStart w:id="117" w:name="__RefHeading___Toc8007_1931662957"/>
      <w:bookmarkEnd w:id="117"/>
      <w:r>
        <w:rPr/>
        <w:t xml:space="preserve">18.10. Conclusion of the financial evaluation</w:t>
      </w:r>
    </w:p>
    <w:p>
      <w:pPr>
        <w:pStyle w:val="Normal"/>
        <w:spacing w:lineRule="exact" w:line="288" w:before="0" w:after="140"/>
        <w:jc w:val="both"/>
        <w:rPr/>
      </w:pPr>
      <w:r>
        <w:rPr/>
        <w:t xml:space="preserve">The project is financially and economically viable: with a positive NPV, an IRR above the discount rate and a B/C ratio greater than 2, the benefits for the State, the concessions and the communities far exceed the investment and operating costs. Its main source of value is prevention: fewer road rehabilitations and fewer victims. It is therefore recommended to document the events avoided and the maintenance costs from the pilot tests onwards, in order to validate these assumptions and strengthen the sustainability of the service by licensing it to other concessions in the country.</w:t>
      </w:r>
      <w:r>
        <w:br w:type="page"/>
      </w:r>
    </w:p>
    <w:p>
      <w:pPr>
        <w:pStyle w:val="Heading1"/>
        <w:rPr/>
      </w:pPr>
      <w:bookmarkStart w:id="118" w:name="__RefHeading___Toc8009_1931662957"/>
      <w:bookmarkEnd w:id="118"/>
      <w:r>
        <w:rPr/>
        <w:t xml:space="preserve">19. Conclusions</w:t>
      </w:r>
    </w:p>
    <w:p>
      <w:pPr>
        <w:pStyle w:val="ListParagraph"/>
        <w:numPr>
          <w:ilvl w:val="0"/>
          <w:numId w:val="1"/>
        </w:numPr>
        <w:spacing w:lineRule="exact" w:line="276" w:before="0" w:after="80"/>
        <w:jc w:val="both"/>
        <w:rPr/>
      </w:pPr>
      <w:r>
        <w:rPr/>
        <w:t xml:space="preserve">Landslides on the Medellín–Bogotá Highway (Route 60) are a high-magnitude problem for the safety, economy and connectivity of eastern Antioquia, and public spending remains focused on response rather than prevention.</w:t>
      </w:r>
    </w:p>
    <w:p>
      <w:pPr>
        <w:pStyle w:val="ListParagraph"/>
        <w:numPr>
          <w:ilvl w:val="0"/>
          <w:numId w:val="1"/>
        </w:numPr>
        <w:spacing w:lineRule="exact" w:line="276" w:before="0" w:after="80"/>
        <w:jc w:val="both"/>
        <w:rPr/>
      </w:pPr>
      <w:r>
        <w:rPr/>
        <w:t xml:space="preserve">The state of the art —14 indexed articles, 13 standards and regulations, 8 books and other sources, and 3 patents— supports the use of remote sensing, satellite rainfall data and neural networks to anticipate mass movements.</w:t>
      </w:r>
    </w:p>
    <w:p>
      <w:pPr>
        <w:pStyle w:val="ListParagraph"/>
        <w:numPr>
          <w:ilvl w:val="0"/>
          <w:numId w:val="1"/>
        </w:numPr>
        <w:spacing w:lineRule="exact" w:line="276" w:before="0" w:after="80"/>
        <w:jc w:val="both"/>
        <w:rPr/>
      </w:pPr>
      <w:r>
        <w:rPr/>
        <w:t xml:space="preserve">Among four alternatives, the geographic information monitoring platform with Industry 4.0 technologies obtained the highest score (68/75) and is the basis of the project's six specific objectives.</w:t>
      </w:r>
    </w:p>
    <w:p>
      <w:pPr>
        <w:pStyle w:val="ListParagraph"/>
        <w:numPr>
          <w:ilvl w:val="0"/>
          <w:numId w:val="1"/>
        </w:numPr>
        <w:spacing w:lineRule="exact" w:line="276" w:before="0" w:after="80"/>
        <w:jc w:val="both"/>
        <w:rPr/>
      </w:pPr>
      <w:r>
        <w:rPr/>
        <w:t xml:space="preserve">The project runs for 24 months, with a budget of COP 2,020,666,816, 75.7% of which is provided by the funder and 24.3% by Universidad EAFIT and URBAM.</w:t>
      </w:r>
    </w:p>
    <w:p>
      <w:pPr>
        <w:pStyle w:val="ListParagraph"/>
        <w:numPr>
          <w:ilvl w:val="0"/>
          <w:numId w:val="1"/>
        </w:numPr>
        <w:spacing w:lineRule="exact" w:line="276" w:before="0" w:after="80"/>
        <w:jc w:val="both"/>
        <w:rPr/>
      </w:pPr>
      <w:r>
        <w:rPr/>
        <w:t xml:space="preserve">The financial evaluation at economic prices yields an NPV of COP 1,766 million, an IRR of 31.8% and a B/C ratio of 2.08, so the project is viable and resilient to reductions of up to 50% in its benefits.</w:t>
      </w:r>
      <w:r>
        <w:br w:type="page"/>
      </w:r>
    </w:p>
    <w:p>
      <w:pPr>
        <w:pStyle w:val="Heading1"/>
        <w:rPr/>
      </w:pPr>
      <w:bookmarkStart w:id="119" w:name="__RefHeading___Toc8011_1931662957"/>
      <w:bookmarkEnd w:id="119"/>
      <w:r>
        <w:rPr/>
        <w:t xml:space="preserve">References</w:t>
      </w:r>
    </w:p>
    <w:p>
      <w:pPr>
        <w:pStyle w:val="Normal"/>
        <w:spacing w:lineRule="exact" w:line="264" w:before="0" w:after="120"/>
        <w:ind w:hanging="720" w:left="720"/>
        <w:jc w:val="left"/>
        <w:rPr/>
      </w:pPr>
      <w:r>
        <w:rPr>
          <w:sz w:val="21"/>
          <w:szCs w:val="21"/>
        </w:rPr>
        <w:t xml:space="preserve">Aguilera, Q., Lombardo, L., and Tanyas, H. (2022). On the prediction of landslide occurrences and sizes via hierarchical neural networks. </w:t>
      </w:r>
      <w:r>
        <w:rPr>
          <w:i/>
          <w:iCs/>
          <w:sz w:val="21"/>
          <w:szCs w:val="21"/>
        </w:rPr>
        <w:t xml:space="preserve">Stochastic Environmental Research and Risk Assessment, 36</w:t>
      </w:r>
      <w:r>
        <w:rPr>
          <w:sz w:val="21"/>
          <w:szCs w:val="21"/>
        </w:rPr>
        <w:t xml:space="preserve">(8), 2031–2048. https://doi.org/10.1007/s00477-022-02215-0</w:t>
      </w:r>
    </w:p>
    <w:p>
      <w:pPr>
        <w:pStyle w:val="Normal"/>
        <w:spacing w:lineRule="exact" w:line="264" w:before="0" w:after="120"/>
        <w:ind w:hanging="720" w:left="720"/>
        <w:jc w:val="left"/>
        <w:rPr/>
      </w:pPr>
      <w:r>
        <w:rPr>
          <w:sz w:val="21"/>
          <w:szCs w:val="21"/>
        </w:rPr>
        <w:t xml:space="preserve">Ahmed, B., and Alam, A. (Eds.). (2022). </w:t>
      </w:r>
      <w:r>
        <w:rPr>
          <w:i/>
          <w:iCs/>
          <w:sz w:val="21"/>
          <w:szCs w:val="21"/>
        </w:rPr>
        <w:t xml:space="preserve">Remote sensing of natural hazards</w:t>
      </w:r>
      <w:r>
        <w:rPr>
          <w:sz w:val="21"/>
          <w:szCs w:val="21"/>
        </w:rPr>
        <w:t xml:space="preserve">. MDPI.</w:t>
      </w:r>
    </w:p>
    <w:p>
      <w:pPr>
        <w:pStyle w:val="Normal"/>
        <w:spacing w:lineRule="exact" w:line="264" w:before="0" w:after="120"/>
        <w:ind w:hanging="720" w:left="720"/>
        <w:jc w:val="left"/>
        <w:rPr/>
      </w:pPr>
      <w:r>
        <w:rPr>
          <w:sz w:val="21"/>
          <w:szCs w:val="21"/>
        </w:rPr>
        <w:t xml:space="preserve">Akosah, S., Gratchev, I., Kim, D., and Ohn, S. (2024). Application of artificial intelligence and remote sensing for landslide detection and prediction: Systematic review. </w:t>
      </w:r>
      <w:r>
        <w:rPr>
          <w:i/>
          <w:iCs/>
          <w:sz w:val="21"/>
          <w:szCs w:val="21"/>
        </w:rPr>
        <w:t xml:space="preserve">Remote Sensing, 16</w:t>
      </w:r>
      <w:r>
        <w:rPr>
          <w:sz w:val="21"/>
          <w:szCs w:val="21"/>
        </w:rPr>
        <w:t xml:space="preserve">(16), 2947. https://doi.org/10.3390/rs16162947</w:t>
      </w:r>
    </w:p>
    <w:p>
      <w:pPr>
        <w:pStyle w:val="Normal"/>
        <w:spacing w:lineRule="exact" w:line="264" w:before="0" w:after="120"/>
        <w:ind w:hanging="720" w:left="720"/>
        <w:jc w:val="left"/>
        <w:rPr/>
      </w:pPr>
      <w:r>
        <w:rPr>
          <w:sz w:val="21"/>
          <w:szCs w:val="21"/>
        </w:rPr>
        <w:t xml:space="preserve">Alcaldía de Cali. (2024). </w:t>
      </w:r>
      <w:r>
        <w:rPr>
          <w:i/>
          <w:iCs/>
          <w:sz w:val="21"/>
          <w:szCs w:val="21"/>
        </w:rPr>
        <w:t xml:space="preserve">Alcaldía de Cali implementa herramienta de inteligencia artificial para pronosticar el riesgo de deslizamientos de tierra [Cali City Hall implements an artificial intelligence tool to forecast landslide risk]</w:t>
      </w:r>
      <w:r>
        <w:rPr>
          <w:sz w:val="21"/>
          <w:szCs w:val="21"/>
        </w:rPr>
        <w:t xml:space="preserve">. https://www.cali.gov.co/tic/publicaciones/181895/</w:t>
      </w:r>
    </w:p>
    <w:p>
      <w:pPr>
        <w:pStyle w:val="Normal"/>
        <w:spacing w:lineRule="exact" w:line="264" w:before="0" w:after="120"/>
        <w:ind w:hanging="720" w:left="720"/>
        <w:jc w:val="left"/>
        <w:rPr/>
      </w:pPr>
      <w:r>
        <w:rPr>
          <w:sz w:val="21"/>
          <w:szCs w:val="21"/>
        </w:rPr>
        <w:t xml:space="preserve">Amatya, P., Kirschbaum, D., Stanley, T., and Tanyas, H. (2021). Landslide mapping using object-based image analysis and open-source tools. </w:t>
      </w:r>
      <w:r>
        <w:rPr>
          <w:i/>
          <w:iCs/>
          <w:sz w:val="21"/>
          <w:szCs w:val="21"/>
        </w:rPr>
        <w:t xml:space="preserve">Engineering Geology, 282</w:t>
      </w:r>
      <w:r>
        <w:rPr>
          <w:sz w:val="21"/>
          <w:szCs w:val="21"/>
        </w:rPr>
        <w:t xml:space="preserve">, 106000. https://doi.org/10.1016/j.enggeo.2021.106000</w:t>
      </w:r>
    </w:p>
    <w:p>
      <w:pPr>
        <w:pStyle w:val="Normal"/>
        <w:spacing w:lineRule="exact" w:line="264" w:before="0" w:after="120"/>
        <w:ind w:hanging="720" w:left="720"/>
        <w:jc w:val="left"/>
        <w:rPr/>
      </w:pPr>
      <w:r>
        <w:rPr>
          <w:sz w:val="21"/>
          <w:szCs w:val="21"/>
        </w:rPr>
        <w:t xml:space="preserve">Ansari, S. (2020). </w:t>
      </w:r>
      <w:r>
        <w:rPr>
          <w:i/>
          <w:iCs/>
          <w:sz w:val="21"/>
          <w:szCs w:val="21"/>
        </w:rPr>
        <w:t xml:space="preserve">Building computer vision applications using artificial neural networks: With step-by-step examples in OpenCV and TensorFlow with Python</w:t>
      </w:r>
      <w:r>
        <w:rPr>
          <w:sz w:val="21"/>
          <w:szCs w:val="21"/>
        </w:rPr>
        <w:t xml:space="preserve">. Apress. https://doi.org/10.1007/978-1-4842-5887-3</w:t>
      </w:r>
    </w:p>
    <w:p>
      <w:pPr>
        <w:pStyle w:val="Normal"/>
        <w:spacing w:lineRule="exact" w:line="264" w:before="0" w:after="120"/>
        <w:ind w:hanging="720" w:left="720"/>
        <w:jc w:val="left"/>
        <w:rPr/>
      </w:pPr>
      <w:r>
        <w:rPr>
          <w:sz w:val="21"/>
          <w:szCs w:val="21"/>
        </w:rPr>
        <w:t xml:space="preserve">Ayala, J., and Ospino, K. (2023). </w:t>
      </w:r>
      <w:r>
        <w:rPr>
          <w:i/>
          <w:iCs/>
          <w:sz w:val="21"/>
          <w:szCs w:val="21"/>
        </w:rPr>
        <w:t xml:space="preserve">Desastres naturales en Colombia: un análisis regional [Natural disasters in Colombia: A regional analysis]</w:t>
      </w:r>
      <w:r>
        <w:rPr>
          <w:sz w:val="21"/>
          <w:szCs w:val="21"/>
        </w:rPr>
        <w:t xml:space="preserve">. Banco de la República.</w:t>
      </w:r>
    </w:p>
    <w:p>
      <w:pPr>
        <w:pStyle w:val="Normal"/>
        <w:spacing w:lineRule="exact" w:line="264" w:before="0" w:after="120"/>
        <w:ind w:hanging="720" w:left="720"/>
        <w:jc w:val="left"/>
        <w:rPr/>
      </w:pPr>
      <w:r>
        <w:rPr>
          <w:sz w:val="21"/>
          <w:szCs w:val="21"/>
        </w:rPr>
        <w:t xml:space="preserve">Benavides Pinilla, C. H. (2019). </w:t>
      </w:r>
      <w:r>
        <w:rPr>
          <w:i/>
          <w:iCs/>
          <w:sz w:val="21"/>
          <w:szCs w:val="21"/>
        </w:rPr>
        <w:t xml:space="preserve">Identificación automática de nubes a partir de imágenes tomadas por cámara hemisférica y su relación con la radiación solar incidente en el Valle de Aburrá [Automatic cloud identification from hemispherical camera images and its relationship with incident solar radiation in the Aburrá Valley]</w:t>
      </w:r>
      <w:r>
        <w:rPr>
          <w:sz w:val="21"/>
          <w:szCs w:val="21"/>
        </w:rPr>
        <w:t xml:space="preserve"> [Master's thesis, Universidad Nacional de Colombia].</w:t>
      </w:r>
    </w:p>
    <w:p>
      <w:pPr>
        <w:pStyle w:val="Normal"/>
        <w:spacing w:lineRule="exact" w:line="264" w:before="0" w:after="120"/>
        <w:ind w:hanging="720" w:left="720"/>
        <w:jc w:val="left"/>
        <w:rPr/>
      </w:pPr>
      <w:r>
        <w:rPr>
          <w:sz w:val="21"/>
          <w:szCs w:val="21"/>
        </w:rPr>
        <w:t xml:space="preserve">Brunetti, M. T., Melillo, M., Gariano, S. L., Ciabatta, L., Brocca, L., Amarnath, G., and Peruccacci, S. (2021). Satellite rainfall products outperform ground observations for landslide prediction in India. </w:t>
      </w:r>
      <w:r>
        <w:rPr>
          <w:i/>
          <w:iCs/>
          <w:sz w:val="21"/>
          <w:szCs w:val="21"/>
        </w:rPr>
        <w:t xml:space="preserve">Hydrology and Earth System Sciences, 25</w:t>
      </w:r>
      <w:r>
        <w:rPr>
          <w:sz w:val="21"/>
          <w:szCs w:val="21"/>
        </w:rPr>
        <w:t xml:space="preserve">(6), 3267–3279. https://doi.org/10.5194/hess-25-3267-2021</w:t>
      </w:r>
    </w:p>
    <w:p>
      <w:pPr>
        <w:pStyle w:val="Normal"/>
        <w:spacing w:lineRule="exact" w:line="264" w:before="0" w:after="120"/>
        <w:ind w:hanging="720" w:left="720"/>
        <w:jc w:val="left"/>
        <w:rPr/>
      </w:pPr>
      <w:r>
        <w:rPr>
          <w:sz w:val="21"/>
          <w:szCs w:val="21"/>
        </w:rPr>
        <w:t xml:space="preserve">Campos, A., and Holm-Nielsen, N. (Eds.). (2012). </w:t>
      </w:r>
      <w:r>
        <w:rPr>
          <w:i/>
          <w:iCs/>
          <w:sz w:val="21"/>
          <w:szCs w:val="21"/>
        </w:rPr>
        <w:t xml:space="preserve">Análisis de la gestión del riesgo de desastres en Colombia: un aporte para la construcción de políticas públicas [Analysis of disaster risk management in Colombia: A contribution to building public policy]</w:t>
      </w:r>
      <w:r>
        <w:rPr>
          <w:sz w:val="21"/>
          <w:szCs w:val="21"/>
        </w:rPr>
        <w:t xml:space="preserve">. World Bank.</w:t>
      </w:r>
    </w:p>
    <w:p>
      <w:pPr>
        <w:pStyle w:val="Normal"/>
        <w:spacing w:lineRule="exact" w:line="264" w:before="0" w:after="120"/>
        <w:ind w:hanging="720" w:left="720"/>
        <w:jc w:val="left"/>
        <w:rPr/>
      </w:pPr>
      <w:r>
        <w:rPr>
          <w:sz w:val="21"/>
          <w:szCs w:val="21"/>
        </w:rPr>
        <w:t xml:space="preserve">Comercial e Industrial Geosecology Ltda. (2018). </w:t>
      </w:r>
      <w:r>
        <w:rPr>
          <w:i/>
          <w:iCs/>
          <w:sz w:val="21"/>
          <w:szCs w:val="21"/>
        </w:rPr>
        <w:t xml:space="preserve">Método y sistema para el análisis y generación de alertas tempranas o predictivas de estabilidad de taludes en minas a rajo abierto [Method and system for analyzing and generating early or predictive slope-stability warnings in open-pit mines]</w:t>
      </w:r>
      <w:r>
        <w:rPr>
          <w:sz w:val="21"/>
          <w:szCs w:val="21"/>
        </w:rPr>
        <w:t xml:space="preserve"> (Patent WO 2018/027332 A1). World Intellectual Property Organization.</w:t>
      </w:r>
    </w:p>
    <w:p>
      <w:pPr>
        <w:pStyle w:val="Normal"/>
        <w:spacing w:lineRule="exact" w:line="264" w:before="0" w:after="120"/>
        <w:ind w:hanging="720" w:left="720"/>
        <w:jc w:val="left"/>
        <w:rPr/>
      </w:pPr>
      <w:r>
        <w:rPr>
          <w:sz w:val="21"/>
          <w:szCs w:val="21"/>
        </w:rPr>
        <w:t xml:space="preserve">Economic Commission for Latin America and the Caribbean [ECLAC]. (2017). </w:t>
      </w:r>
      <w:r>
        <w:rPr>
          <w:i/>
          <w:iCs/>
          <w:sz w:val="21"/>
          <w:szCs w:val="21"/>
        </w:rPr>
        <w:t xml:space="preserve">Directrices para la reducción del riesgo de deslizamientos de tierra en infraestructuras de transporte [Guidelines for reducing landslide risk in transport infrastructure]</w:t>
      </w:r>
      <w:r>
        <w:rPr>
          <w:sz w:val="21"/>
          <w:szCs w:val="21"/>
        </w:rPr>
        <w:t xml:space="preserve">. ECLAC.</w:t>
      </w:r>
    </w:p>
    <w:p>
      <w:pPr>
        <w:pStyle w:val="Normal"/>
        <w:spacing w:lineRule="exact" w:line="264" w:before="0" w:after="120"/>
        <w:ind w:hanging="720" w:left="720"/>
        <w:jc w:val="left"/>
        <w:rPr/>
      </w:pPr>
      <w:r>
        <w:rPr>
          <w:sz w:val="21"/>
          <w:szCs w:val="21"/>
        </w:rPr>
        <w:t xml:space="preserve">Congreso de la República de Colombia. (2012). </w:t>
      </w:r>
      <w:r>
        <w:rPr>
          <w:i/>
          <w:iCs/>
          <w:sz w:val="21"/>
          <w:szCs w:val="21"/>
        </w:rPr>
        <w:t xml:space="preserve">Ley 1523 de 2012, por la cual se adopta la política nacional de gestión del riesgo de desastres y se establece el Sistema Nacional de Gestión del Riesgo de Desastres [Law 1523 of 2012, adopting the national disaster risk management policy and establishing the National Disaster Risk Management System]</w:t>
      </w:r>
      <w:r>
        <w:rPr>
          <w:sz w:val="21"/>
          <w:szCs w:val="21"/>
        </w:rPr>
        <w:t xml:space="preserve">.</w:t>
      </w:r>
    </w:p>
    <w:p>
      <w:pPr>
        <w:pStyle w:val="Normal"/>
        <w:spacing w:lineRule="exact" w:line="264" w:before="0" w:after="120"/>
        <w:ind w:hanging="720" w:left="720"/>
        <w:jc w:val="left"/>
        <w:rPr/>
      </w:pPr>
      <w:r>
        <w:rPr>
          <w:sz w:val="21"/>
          <w:szCs w:val="21"/>
        </w:rPr>
        <w:t xml:space="preserve">Congreso de la República de Colombia. (2023). </w:t>
      </w:r>
      <w:r>
        <w:rPr>
          <w:i/>
          <w:iCs/>
          <w:sz w:val="21"/>
          <w:szCs w:val="21"/>
        </w:rPr>
        <w:t xml:space="preserve">Ley 2294 de 2023, por la cual se expide el Plan Nacional de Desarrollo 2022-2026 “Colombia, potencia mundial de la vida” [Law 2294 of 2023, issuing the National Development Plan 2022-2026]</w:t>
      </w:r>
      <w:r>
        <w:rPr>
          <w:sz w:val="21"/>
          <w:szCs w:val="21"/>
        </w:rPr>
        <w:t xml:space="preserve">.</w:t>
      </w:r>
    </w:p>
    <w:p>
      <w:pPr>
        <w:pStyle w:val="Normal"/>
        <w:spacing w:lineRule="exact" w:line="264" w:before="0" w:after="120"/>
        <w:ind w:hanging="720" w:left="720"/>
        <w:jc w:val="left"/>
        <w:rPr/>
      </w:pPr>
      <w:r>
        <w:rPr>
          <w:sz w:val="21"/>
          <w:szCs w:val="21"/>
        </w:rPr>
        <w:t xml:space="preserve">Cruden, D. M., and Varnes, D. J. (1996). Landslide types and processes. In A. K. Turner and R. L. Schuster (Eds.), </w:t>
      </w:r>
      <w:r>
        <w:rPr>
          <w:i/>
          <w:iCs/>
          <w:sz w:val="21"/>
          <w:szCs w:val="21"/>
        </w:rPr>
        <w:t xml:space="preserve">Landslides: Investigation and mitigation</w:t>
      </w:r>
      <w:r>
        <w:rPr>
          <w:sz w:val="21"/>
          <w:szCs w:val="21"/>
        </w:rPr>
        <w:t xml:space="preserve"> (Special Report 247, pp. 36–75). Transportation Research Board.</w:t>
      </w:r>
    </w:p>
    <w:p>
      <w:pPr>
        <w:pStyle w:val="Normal"/>
        <w:spacing w:lineRule="exact" w:line="264" w:before="0" w:after="120"/>
        <w:ind w:hanging="720" w:left="720"/>
        <w:jc w:val="left"/>
        <w:rPr/>
      </w:pPr>
      <w:r>
        <w:rPr>
          <w:sz w:val="21"/>
          <w:szCs w:val="21"/>
        </w:rPr>
        <w:t xml:space="preserve">Cruz, M. (2022). Mitigating infrastructure risks from climate change: A comprehensive approach. </w:t>
      </w:r>
      <w:r>
        <w:rPr>
          <w:i/>
          <w:iCs/>
          <w:sz w:val="21"/>
          <w:szCs w:val="21"/>
        </w:rPr>
        <w:t xml:space="preserve">Annual Review of Environment and Resources</w:t>
      </w:r>
      <w:r>
        <w:rPr>
          <w:sz w:val="21"/>
          <w:szCs w:val="21"/>
        </w:rPr>
        <w:t xml:space="preserve">. https://www.annualreviews.org/content/journals/10.1146/annurev-environ-112320-101903</w:t>
      </w:r>
    </w:p>
    <w:p>
      <w:pPr>
        <w:pStyle w:val="Normal"/>
        <w:spacing w:lineRule="exact" w:line="264" w:before="0" w:after="120"/>
        <w:ind w:hanging="720" w:left="720"/>
        <w:jc w:val="left"/>
        <w:rPr/>
      </w:pPr>
      <w:r>
        <w:rPr>
          <w:sz w:val="21"/>
          <w:szCs w:val="21"/>
        </w:rPr>
        <w:t xml:space="preserve">Departamento Administrativo de la Presidencia de la República. (2014). </w:t>
      </w:r>
      <w:r>
        <w:rPr>
          <w:i/>
          <w:iCs/>
          <w:sz w:val="21"/>
          <w:szCs w:val="21"/>
        </w:rPr>
        <w:t xml:space="preserve">Decreto 1807 de 2014, por el cual se reglamenta el artículo 189 del Decreto Ley 019 de 2012 en lo relativo a la incorporación de la gestión del riesgo en los planes de ordenamiento territorial [Decree 1807 of 2014, on the incorporation of risk management into land-use plans]</w:t>
      </w:r>
      <w:r>
        <w:rPr>
          <w:sz w:val="21"/>
          <w:szCs w:val="21"/>
        </w:rPr>
        <w:t xml:space="preserve">.</w:t>
      </w:r>
    </w:p>
    <w:p>
      <w:pPr>
        <w:pStyle w:val="Normal"/>
        <w:spacing w:lineRule="exact" w:line="264" w:before="0" w:after="120"/>
        <w:ind w:hanging="720" w:left="720"/>
        <w:jc w:val="left"/>
        <w:rPr/>
      </w:pPr>
      <w:r>
        <w:rPr>
          <w:sz w:val="21"/>
          <w:szCs w:val="21"/>
        </w:rPr>
        <w:t xml:space="preserve">Douris, J., and Kim, G. (2021). </w:t>
      </w:r>
      <w:r>
        <w:rPr>
          <w:i/>
          <w:iCs/>
          <w:sz w:val="21"/>
          <w:szCs w:val="21"/>
        </w:rPr>
        <w:t xml:space="preserve">The atlas of mortality and economic losses from weather, climate and water extremes (1970–2019)</w:t>
      </w:r>
      <w:r>
        <w:rPr>
          <w:sz w:val="21"/>
          <w:szCs w:val="21"/>
        </w:rPr>
        <w:t xml:space="preserve"> (WMO-No. 1267). World Meteorological Organization.</w:t>
      </w:r>
    </w:p>
    <w:p>
      <w:pPr>
        <w:pStyle w:val="Normal"/>
        <w:spacing w:lineRule="exact" w:line="264" w:before="0" w:after="120"/>
        <w:ind w:hanging="720" w:left="720"/>
        <w:jc w:val="left"/>
        <w:rPr/>
      </w:pPr>
      <w:r>
        <w:rPr>
          <w:sz w:val="21"/>
          <w:szCs w:val="21"/>
        </w:rPr>
        <w:t xml:space="preserve">Echeverri, A., Vélez, A., and Werthmann, C. (2012). </w:t>
      </w:r>
      <w:r>
        <w:rPr>
          <w:i/>
          <w:iCs/>
          <w:sz w:val="21"/>
          <w:szCs w:val="21"/>
        </w:rPr>
        <w:t xml:space="preserve">Rehabitar la ladera: operaciones en áreas de riesgo y asentamiento precario en Medellín [Re-inhabiting the hillside: Operations in risk areas and informal settlements in Medellín]</w:t>
      </w:r>
      <w:r>
        <w:rPr>
          <w:sz w:val="21"/>
          <w:szCs w:val="21"/>
        </w:rPr>
        <w:t xml:space="preserve">. Universidad EAFIT.</w:t>
      </w:r>
    </w:p>
    <w:p>
      <w:pPr>
        <w:pStyle w:val="Normal"/>
        <w:spacing w:lineRule="exact" w:line="264" w:before="0" w:after="120"/>
        <w:ind w:hanging="720" w:left="720"/>
        <w:jc w:val="left"/>
        <w:rPr/>
      </w:pPr>
      <w:r>
        <w:rPr>
          <w:sz w:val="21"/>
          <w:szCs w:val="21"/>
        </w:rPr>
        <w:t xml:space="preserve">Echeverri, A., and Orsini, F. (Eds.). (2013). </w:t>
      </w:r>
      <w:r>
        <w:rPr>
          <w:i/>
          <w:iCs/>
          <w:sz w:val="21"/>
          <w:szCs w:val="21"/>
        </w:rPr>
        <w:t xml:space="preserve">Rehabitar la montaña: memorias del seminario internacional [Re-inhabiting the mountain: Proceedings of the international seminar]</w:t>
      </w:r>
      <w:r>
        <w:rPr>
          <w:sz w:val="21"/>
          <w:szCs w:val="21"/>
        </w:rPr>
        <w:t xml:space="preserve">. Universidad EAFIT.</w:t>
      </w:r>
    </w:p>
    <w:p>
      <w:pPr>
        <w:pStyle w:val="Normal"/>
        <w:spacing w:lineRule="exact" w:line="264" w:before="0" w:after="120"/>
        <w:ind w:hanging="720" w:left="720"/>
        <w:jc w:val="left"/>
        <w:rPr/>
      </w:pPr>
      <w:r>
        <w:rPr>
          <w:sz w:val="21"/>
          <w:szCs w:val="21"/>
        </w:rPr>
        <w:t xml:space="preserve">El Colombiano. (2024, July 2). Cierre total en la autopista Medellín-Bogotá tras deslizamiento [Medellín–Bogotá highway fully closed after landslide]. </w:t>
      </w:r>
      <w:r>
        <w:rPr>
          <w:i/>
          <w:iCs/>
          <w:sz w:val="21"/>
          <w:szCs w:val="21"/>
        </w:rPr>
        <w:t xml:space="preserve">El Colombiano</w:t>
      </w:r>
      <w:r>
        <w:rPr>
          <w:sz w:val="21"/>
          <w:szCs w:val="21"/>
        </w:rPr>
        <w:t xml:space="preserve">.</w:t>
      </w:r>
    </w:p>
    <w:p>
      <w:pPr>
        <w:pStyle w:val="Normal"/>
        <w:spacing w:lineRule="exact" w:line="264" w:before="0" w:after="120"/>
        <w:ind w:hanging="720" w:left="720"/>
        <w:jc w:val="left"/>
        <w:rPr/>
      </w:pPr>
      <w:r>
        <w:rPr>
          <w:sz w:val="21"/>
          <w:szCs w:val="21"/>
        </w:rPr>
        <w:t xml:space="preserve">Emberson, R., Kirschbaum, D., and Stanley, T. (2020). New global characterisation of landslide exposure. </w:t>
      </w:r>
      <w:r>
        <w:rPr>
          <w:i/>
          <w:iCs/>
          <w:sz w:val="21"/>
          <w:szCs w:val="21"/>
        </w:rPr>
        <w:t xml:space="preserve">Natural Hazards and Earth System Sciences, 20</w:t>
      </w:r>
      <w:r>
        <w:rPr>
          <w:sz w:val="21"/>
          <w:szCs w:val="21"/>
        </w:rPr>
        <w:t xml:space="preserve">(12), 3413–3424. https://doi.org/10.5194/nhess-20-3413-2020</w:t>
      </w:r>
    </w:p>
    <w:p>
      <w:pPr>
        <w:pStyle w:val="Normal"/>
        <w:spacing w:lineRule="exact" w:line="264" w:before="0" w:after="120"/>
        <w:ind w:hanging="720" w:left="720"/>
        <w:jc w:val="left"/>
        <w:rPr/>
      </w:pPr>
      <w:r>
        <w:rPr>
          <w:sz w:val="21"/>
          <w:szCs w:val="21"/>
        </w:rPr>
        <w:t xml:space="preserve">Emberson, R., Kirschbaum, D., and Stanley, T. (2021). Global connections between El Niño and landslide impacts. </w:t>
      </w:r>
      <w:r>
        <w:rPr>
          <w:i/>
          <w:iCs/>
          <w:sz w:val="21"/>
          <w:szCs w:val="21"/>
        </w:rPr>
        <w:t xml:space="preserve">Nature Communications, 12</w:t>
      </w:r>
      <w:r>
        <w:rPr>
          <w:sz w:val="21"/>
          <w:szCs w:val="21"/>
        </w:rPr>
        <w:t xml:space="preserve">. https://doi.org/10.1038/s41467-021-22398-4</w:t>
      </w:r>
    </w:p>
    <w:p>
      <w:pPr>
        <w:pStyle w:val="Normal"/>
        <w:spacing w:lineRule="exact" w:line="264" w:before="0" w:after="120"/>
        <w:ind w:hanging="720" w:left="720"/>
        <w:jc w:val="left"/>
        <w:rPr/>
      </w:pPr>
      <w:r>
        <w:rPr>
          <w:sz w:val="21"/>
          <w:szCs w:val="21"/>
        </w:rPr>
        <w:t xml:space="preserve">European Committee for Standardization [CEN]. (2004). </w:t>
      </w:r>
      <w:r>
        <w:rPr>
          <w:i/>
          <w:iCs/>
          <w:sz w:val="21"/>
          <w:szCs w:val="21"/>
        </w:rPr>
        <w:t xml:space="preserve">Eurocode 7: Geotechnical design – Part 1: General rules</w:t>
      </w:r>
      <w:r>
        <w:rPr>
          <w:sz w:val="21"/>
          <w:szCs w:val="21"/>
        </w:rPr>
        <w:t xml:space="preserve"> (EN 1997-1:2004 + A1:2013). CEN.</w:t>
      </w:r>
    </w:p>
    <w:p>
      <w:pPr>
        <w:pStyle w:val="Normal"/>
        <w:spacing w:lineRule="exact" w:line="264" w:before="0" w:after="120"/>
        <w:ind w:hanging="720" w:left="720"/>
        <w:jc w:val="left"/>
        <w:rPr/>
      </w:pPr>
      <w:r>
        <w:rPr>
          <w:sz w:val="21"/>
          <w:szCs w:val="21"/>
        </w:rPr>
        <w:t xml:space="preserve">Federal Highway Administration. (2002). </w:t>
      </w:r>
      <w:r>
        <w:rPr>
          <w:i/>
          <w:iCs/>
          <w:sz w:val="21"/>
          <w:szCs w:val="21"/>
        </w:rPr>
        <w:t xml:space="preserve">Geotechnical engineering circular No. 5: Evaluation of soil and rock properties</w:t>
      </w:r>
      <w:r>
        <w:rPr>
          <w:sz w:val="21"/>
          <w:szCs w:val="21"/>
        </w:rPr>
        <w:t xml:space="preserve">. U.S. Department of Transportation.</w:t>
      </w:r>
    </w:p>
    <w:p>
      <w:pPr>
        <w:pStyle w:val="Normal"/>
        <w:spacing w:lineRule="exact" w:line="264" w:before="0" w:after="120"/>
        <w:ind w:hanging="720" w:left="720"/>
        <w:jc w:val="left"/>
        <w:rPr/>
      </w:pPr>
      <w:r>
        <w:rPr>
          <w:sz w:val="21"/>
          <w:szCs w:val="21"/>
        </w:rPr>
        <w:t xml:space="preserve">Federal Emergency Management Agency [FEMA]. (2020). </w:t>
      </w:r>
      <w:r>
        <w:rPr>
          <w:i/>
          <w:iCs/>
          <w:sz w:val="21"/>
          <w:szCs w:val="21"/>
        </w:rPr>
        <w:t xml:space="preserve">Hazard mitigation planning: A guide for communities</w:t>
      </w:r>
      <w:r>
        <w:rPr>
          <w:sz w:val="21"/>
          <w:szCs w:val="21"/>
        </w:rPr>
        <w:t xml:space="preserve">. FEMA.</w:t>
      </w:r>
    </w:p>
    <w:p>
      <w:pPr>
        <w:pStyle w:val="Normal"/>
        <w:spacing w:lineRule="exact" w:line="264" w:before="0" w:after="120"/>
        <w:ind w:hanging="720" w:left="720"/>
        <w:jc w:val="left"/>
        <w:rPr/>
      </w:pPr>
      <w:r>
        <w:rPr>
          <w:sz w:val="21"/>
          <w:szCs w:val="21"/>
        </w:rPr>
        <w:t xml:space="preserve">García-Delgado, H., Petley, D. N., Bermúdez, M. A., and Sepúlveda, S. A. (2022). Fatal landslides in Colombia (from historical times to 2020) and their socio-economic impacts. </w:t>
      </w:r>
      <w:r>
        <w:rPr>
          <w:i/>
          <w:iCs/>
          <w:sz w:val="21"/>
          <w:szCs w:val="21"/>
        </w:rPr>
        <w:t xml:space="preserve">Landslides, 19</w:t>
      </w:r>
      <w:r>
        <w:rPr>
          <w:sz w:val="21"/>
          <w:szCs w:val="21"/>
        </w:rPr>
        <w:t xml:space="preserve">, 1689–1716. https://doi.org/10.1007/s10346-022-01870-2</w:t>
      </w:r>
    </w:p>
    <w:p>
      <w:pPr>
        <w:pStyle w:val="Normal"/>
        <w:spacing w:lineRule="exact" w:line="264" w:before="0" w:after="120"/>
        <w:ind w:hanging="720" w:left="720"/>
        <w:jc w:val="left"/>
        <w:rPr/>
      </w:pPr>
      <w:r>
        <w:rPr>
          <w:sz w:val="21"/>
          <w:szCs w:val="21"/>
        </w:rPr>
        <w:t xml:space="preserve">Ghorbanzadeh, O., Xu, Y., Ghamisi, P., Kopp, M., and Kreil, D. (2022). Landslide4Sense: Reference benchmark data and deep learning models for landslide detection. </w:t>
      </w:r>
      <w:r>
        <w:rPr>
          <w:i/>
          <w:iCs/>
          <w:sz w:val="21"/>
          <w:szCs w:val="21"/>
        </w:rPr>
        <w:t xml:space="preserve">IEEE Transactions on Geoscience and Remote Sensing, 60</w:t>
      </w:r>
      <w:r>
        <w:rPr>
          <w:sz w:val="21"/>
          <w:szCs w:val="21"/>
        </w:rPr>
        <w:t xml:space="preserve">, 1–17.</w:t>
      </w:r>
    </w:p>
    <w:p>
      <w:pPr>
        <w:pStyle w:val="Normal"/>
        <w:spacing w:lineRule="exact" w:line="264" w:before="0" w:after="120"/>
        <w:ind w:hanging="720" w:left="720"/>
        <w:jc w:val="left"/>
        <w:rPr/>
      </w:pPr>
      <w:r>
        <w:rPr>
          <w:sz w:val="21"/>
          <w:szCs w:val="21"/>
        </w:rPr>
        <w:t xml:space="preserve">Giri, P., Ng, K., and Phillips, W. (2019). Wireless sensor network system for landslide monitoring and warning. </w:t>
      </w:r>
      <w:r>
        <w:rPr>
          <w:i/>
          <w:iCs/>
          <w:sz w:val="21"/>
          <w:szCs w:val="21"/>
        </w:rPr>
        <w:t xml:space="preserve">IEEE Transactions on Instrumentation and Measurement, 68</w:t>
      </w:r>
      <w:r>
        <w:rPr>
          <w:sz w:val="21"/>
          <w:szCs w:val="21"/>
        </w:rPr>
        <w:t xml:space="preserve">(4), 1210–1220.</w:t>
      </w:r>
    </w:p>
    <w:p>
      <w:pPr>
        <w:pStyle w:val="Normal"/>
        <w:spacing w:lineRule="exact" w:line="264" w:before="0" w:after="120"/>
        <w:ind w:hanging="720" w:left="720"/>
        <w:jc w:val="left"/>
        <w:rPr/>
      </w:pPr>
      <w:r>
        <w:rPr>
          <w:sz w:val="21"/>
          <w:szCs w:val="21"/>
        </w:rPr>
        <w:t xml:space="preserve">Gómez, J. (2023, August 30). Cada 5 días ocurrió un derrumbe en Antioquia en los últimos 30 años [A landslide occurred every 5 days in Antioquia over the last 30 years]. </w:t>
      </w:r>
      <w:r>
        <w:rPr>
          <w:i/>
          <w:iCs/>
          <w:sz w:val="21"/>
          <w:szCs w:val="21"/>
        </w:rPr>
        <w:t xml:space="preserve">El Colombiano</w:t>
      </w:r>
      <w:r>
        <w:rPr>
          <w:sz w:val="21"/>
          <w:szCs w:val="21"/>
        </w:rPr>
        <w:t xml:space="preserve">. https://www.elcolombiano.com/antioquia/cada-5-dias-ocurrio-un-derrumbe-en-antioquia-en-los-ultimos-30-anos-KH18799388</w:t>
      </w:r>
    </w:p>
    <w:p>
      <w:pPr>
        <w:pStyle w:val="Normal"/>
        <w:spacing w:lineRule="exact" w:line="264" w:before="0" w:after="120"/>
        <w:ind w:hanging="720" w:left="720"/>
        <w:jc w:val="left"/>
        <w:rPr/>
      </w:pPr>
      <w:r>
        <w:rPr>
          <w:sz w:val="21"/>
          <w:szCs w:val="21"/>
        </w:rPr>
        <w:t xml:space="preserve">Gobernación de Antioquia. (2024). </w:t>
      </w:r>
      <w:r>
        <w:rPr>
          <w:i/>
          <w:iCs/>
          <w:sz w:val="21"/>
          <w:szCs w:val="21"/>
        </w:rPr>
        <w:t xml:space="preserve">Plan de Desarrollo “Por Antioquia firme” 2024-2027 [Departmental Development Plan 2024-2027]</w:t>
      </w:r>
      <w:r>
        <w:rPr>
          <w:sz w:val="21"/>
          <w:szCs w:val="21"/>
        </w:rPr>
        <w:t xml:space="preserve">. https://www.antioquia.gov.co/plan-desarrollo-2024-2027</w:t>
      </w:r>
    </w:p>
    <w:p>
      <w:pPr>
        <w:pStyle w:val="Normal"/>
        <w:spacing w:lineRule="exact" w:line="264" w:before="0" w:after="120"/>
        <w:ind w:hanging="720" w:left="720"/>
        <w:jc w:val="left"/>
        <w:rPr/>
      </w:pPr>
      <w:r>
        <w:rPr>
          <w:sz w:val="21"/>
          <w:szCs w:val="21"/>
        </w:rPr>
        <w:t xml:space="preserve">Highland, L. (2004). </w:t>
      </w:r>
      <w:r>
        <w:rPr>
          <w:i/>
          <w:iCs/>
          <w:sz w:val="21"/>
          <w:szCs w:val="21"/>
        </w:rPr>
        <w:t xml:space="preserve">Landslide types and processes</w:t>
      </w:r>
      <w:r>
        <w:rPr>
          <w:sz w:val="21"/>
          <w:szCs w:val="21"/>
        </w:rPr>
        <w:t xml:space="preserve"> (Fact Sheet 2004-3072). U.S. Geological Survey.</w:t>
      </w:r>
    </w:p>
    <w:p>
      <w:pPr>
        <w:pStyle w:val="Normal"/>
        <w:spacing w:lineRule="exact" w:line="264" w:before="0" w:after="120"/>
        <w:ind w:hanging="720" w:left="720"/>
        <w:jc w:val="left"/>
        <w:rPr/>
      </w:pPr>
      <w:r>
        <w:rPr>
          <w:sz w:val="21"/>
          <w:szCs w:val="21"/>
        </w:rPr>
        <w:t xml:space="preserve">Hölbling, D. (2022). Data and knowledge integration for object-based landslide mapping: Challenges, opportunities and applications [Conference presentation].</w:t>
      </w:r>
    </w:p>
    <w:p>
      <w:pPr>
        <w:pStyle w:val="Normal"/>
        <w:spacing w:lineRule="exact" w:line="264" w:before="0" w:after="120"/>
        <w:ind w:hanging="720" w:left="720"/>
        <w:jc w:val="left"/>
        <w:rPr/>
      </w:pPr>
      <w:r>
        <w:rPr>
          <w:sz w:val="21"/>
          <w:szCs w:val="21"/>
        </w:rPr>
        <w:t xml:space="preserve">Hungr, O., Leroueil, S., and Picarelli, L. (2014). The Varnes classification of landslide types, an update. </w:t>
      </w:r>
      <w:r>
        <w:rPr>
          <w:i/>
          <w:iCs/>
          <w:sz w:val="21"/>
          <w:szCs w:val="21"/>
        </w:rPr>
        <w:t xml:space="preserve">Landslides, 11</w:t>
      </w:r>
      <w:r>
        <w:rPr>
          <w:sz w:val="21"/>
          <w:szCs w:val="21"/>
        </w:rPr>
        <w:t xml:space="preserve">, 167–194. https://doi.org/10.1007/s10346-013-0436-y</w:t>
      </w:r>
    </w:p>
    <w:p>
      <w:pPr>
        <w:pStyle w:val="Normal"/>
        <w:spacing w:lineRule="exact" w:line="264" w:before="0" w:after="120"/>
        <w:ind w:hanging="720" w:left="720"/>
        <w:jc w:val="left"/>
        <w:rPr/>
      </w:pPr>
      <w:r>
        <w:rPr>
          <w:sz w:val="21"/>
          <w:szCs w:val="21"/>
        </w:rPr>
        <w:t xml:space="preserve">Instituto Nacional de Vías [INVIAS]. (n.d.). </w:t>
      </w:r>
      <w:r>
        <w:rPr>
          <w:i/>
          <w:iCs/>
          <w:sz w:val="21"/>
          <w:szCs w:val="21"/>
        </w:rPr>
        <w:t xml:space="preserve">Manual de estabilidad de taludes: geotecnia vial [Slope stability manual: Road geotechnics]</w:t>
      </w:r>
      <w:r>
        <w:rPr>
          <w:sz w:val="21"/>
          <w:szCs w:val="21"/>
        </w:rPr>
        <w:t xml:space="preserve">. Ministerio de Transporte.</w:t>
      </w:r>
    </w:p>
    <w:p>
      <w:pPr>
        <w:pStyle w:val="Normal"/>
        <w:spacing w:lineRule="exact" w:line="264" w:before="0" w:after="120"/>
        <w:ind w:hanging="720" w:left="720"/>
        <w:jc w:val="left"/>
        <w:rPr/>
      </w:pPr>
      <w:r>
        <w:rPr>
          <w:sz w:val="21"/>
          <w:szCs w:val="21"/>
        </w:rPr>
        <w:t xml:space="preserve">International Organization for Standardization [ISO]. (2003). </w:t>
      </w:r>
      <w:r>
        <w:rPr>
          <w:i/>
          <w:iCs/>
          <w:sz w:val="21"/>
          <w:szCs w:val="21"/>
        </w:rPr>
        <w:t xml:space="preserve">Geographic information — Spatial referencing by coordinates</w:t>
      </w:r>
      <w:r>
        <w:rPr>
          <w:sz w:val="21"/>
          <w:szCs w:val="21"/>
        </w:rPr>
        <w:t xml:space="preserve"> (ISO 19111:2003).</w:t>
      </w:r>
    </w:p>
    <w:p>
      <w:pPr>
        <w:pStyle w:val="Normal"/>
        <w:spacing w:lineRule="exact" w:line="264" w:before="0" w:after="120"/>
        <w:ind w:hanging="720" w:left="720"/>
        <w:jc w:val="left"/>
        <w:rPr/>
      </w:pPr>
      <w:r>
        <w:rPr>
          <w:sz w:val="21"/>
          <w:szCs w:val="21"/>
        </w:rPr>
        <w:t xml:space="preserve">International Organization for Standardization [ISO]. (2013). </w:t>
      </w:r>
      <w:r>
        <w:rPr>
          <w:i/>
          <w:iCs/>
          <w:sz w:val="21"/>
          <w:szCs w:val="21"/>
        </w:rPr>
        <w:t xml:space="preserve">Geographic information — Data quality</w:t>
      </w:r>
      <w:r>
        <w:rPr>
          <w:sz w:val="21"/>
          <w:szCs w:val="21"/>
        </w:rPr>
        <w:t xml:space="preserve"> (ISO 19157:2013).</w:t>
      </w:r>
    </w:p>
    <w:p>
      <w:pPr>
        <w:pStyle w:val="Normal"/>
        <w:spacing w:lineRule="exact" w:line="264" w:before="0" w:after="120"/>
        <w:ind w:hanging="720" w:left="720"/>
        <w:jc w:val="left"/>
        <w:rPr/>
      </w:pPr>
      <w:r>
        <w:rPr>
          <w:sz w:val="21"/>
          <w:szCs w:val="21"/>
        </w:rPr>
        <w:t xml:space="preserve">International Organization for Standardization [ISO]. (2018). </w:t>
      </w:r>
      <w:r>
        <w:rPr>
          <w:i/>
          <w:iCs/>
          <w:sz w:val="21"/>
          <w:szCs w:val="21"/>
        </w:rPr>
        <w:t xml:space="preserve">Risk management — Guidelines</w:t>
      </w:r>
      <w:r>
        <w:rPr>
          <w:sz w:val="21"/>
          <w:szCs w:val="21"/>
        </w:rPr>
        <w:t xml:space="preserve"> (ISO 31000:2018).</w:t>
      </w:r>
    </w:p>
    <w:p>
      <w:pPr>
        <w:pStyle w:val="Normal"/>
        <w:spacing w:lineRule="exact" w:line="264" w:before="0" w:after="120"/>
        <w:ind w:hanging="720" w:left="720"/>
        <w:jc w:val="left"/>
        <w:rPr/>
      </w:pPr>
      <w:r>
        <w:rPr>
          <w:sz w:val="21"/>
          <w:szCs w:val="21"/>
        </w:rPr>
        <w:t xml:space="preserve">International Organization for Standardization [ISO]. (2023). </w:t>
      </w:r>
      <w:r>
        <w:rPr>
          <w:i/>
          <w:iCs/>
          <w:sz w:val="21"/>
          <w:szCs w:val="21"/>
        </w:rPr>
        <w:t xml:space="preserve">Smart community infrastructures — City service continuity against disasters</w:t>
      </w:r>
      <w:r>
        <w:rPr>
          <w:sz w:val="21"/>
          <w:szCs w:val="21"/>
        </w:rPr>
        <w:t xml:space="preserve"> (ISO/DIS 37179, draft for public comment).</w:t>
      </w:r>
    </w:p>
    <w:p>
      <w:pPr>
        <w:pStyle w:val="Normal"/>
        <w:spacing w:lineRule="exact" w:line="264" w:before="0" w:after="120"/>
        <w:ind w:hanging="720" w:left="720"/>
        <w:jc w:val="left"/>
        <w:rPr/>
      </w:pPr>
      <w:r>
        <w:rPr>
          <w:sz w:val="21"/>
          <w:szCs w:val="21"/>
        </w:rPr>
        <w:t xml:space="preserve">International Organization for Standardization [ISO] and European Committee for Standardization [CEN]. (2006). </w:t>
      </w:r>
      <w:r>
        <w:rPr>
          <w:i/>
          <w:iCs/>
          <w:sz w:val="21"/>
          <w:szCs w:val="21"/>
        </w:rPr>
        <w:t xml:space="preserve">Geotechnical investigation and testing — Sampling methods and groundwater measurements — Part 2</w:t>
      </w:r>
      <w:r>
        <w:rPr>
          <w:sz w:val="21"/>
          <w:szCs w:val="21"/>
        </w:rPr>
        <w:t xml:space="preserve"> (ISO/TS 22475-2:2006).</w:t>
      </w:r>
    </w:p>
    <w:p>
      <w:pPr>
        <w:pStyle w:val="Normal"/>
        <w:spacing w:lineRule="exact" w:line="264" w:before="0" w:after="120"/>
        <w:ind w:hanging="720" w:left="720"/>
        <w:jc w:val="left"/>
        <w:rPr/>
      </w:pPr>
      <w:r>
        <w:rPr>
          <w:sz w:val="21"/>
          <w:szCs w:val="21"/>
        </w:rPr>
        <w:t xml:space="preserve">International Organization for Standardization [ISO] and International Electrotechnical Commission [IEC]. (2008). </w:t>
      </w:r>
      <w:r>
        <w:rPr>
          <w:i/>
          <w:iCs/>
          <w:sz w:val="21"/>
          <w:szCs w:val="21"/>
        </w:rPr>
        <w:t xml:space="preserve">Information technology — Security techniques — Guidelines for information and communications technology disaster recovery services</w:t>
      </w:r>
      <w:r>
        <w:rPr>
          <w:sz w:val="21"/>
          <w:szCs w:val="21"/>
        </w:rPr>
        <w:t xml:space="preserve"> (ISO/IEC 24762:2008).</w:t>
      </w:r>
    </w:p>
    <w:p>
      <w:pPr>
        <w:pStyle w:val="Normal"/>
        <w:spacing w:lineRule="exact" w:line="264" w:before="0" w:after="120"/>
        <w:ind w:hanging="720" w:left="720"/>
        <w:jc w:val="left"/>
        <w:rPr/>
      </w:pPr>
      <w:r>
        <w:rPr>
          <w:sz w:val="21"/>
          <w:szCs w:val="21"/>
        </w:rPr>
        <w:t xml:space="preserve">International Organization for Standardization [ISO] and International Electrotechnical Commission [IEC]. (2011). </w:t>
      </w:r>
      <w:r>
        <w:rPr>
          <w:i/>
          <w:iCs/>
          <w:sz w:val="21"/>
          <w:szCs w:val="21"/>
        </w:rPr>
        <w:t xml:space="preserve">Systems and software engineering — Systems and software Quality Requirements and Evaluation (SQuaRE) — System and software quality models</w:t>
      </w:r>
      <w:r>
        <w:rPr>
          <w:sz w:val="21"/>
          <w:szCs w:val="21"/>
        </w:rPr>
        <w:t xml:space="preserve"> (ISO/IEC 25010:2011).</w:t>
      </w:r>
    </w:p>
    <w:p>
      <w:pPr>
        <w:pStyle w:val="Normal"/>
        <w:spacing w:lineRule="exact" w:line="264" w:before="0" w:after="120"/>
        <w:ind w:hanging="720" w:left="720"/>
        <w:jc w:val="left"/>
        <w:rPr/>
      </w:pPr>
      <w:r>
        <w:rPr>
          <w:sz w:val="21"/>
          <w:szCs w:val="21"/>
        </w:rPr>
        <w:t xml:space="preserve">International Organization for Standardization [ISO] and International Electrotechnical Commission [IEC]. (2022). </w:t>
      </w:r>
      <w:r>
        <w:rPr>
          <w:i/>
          <w:iCs/>
          <w:sz w:val="21"/>
          <w:szCs w:val="21"/>
        </w:rPr>
        <w:t xml:space="preserve">Information security, cybersecurity and privacy protection — Information security management systems — Requirements</w:t>
      </w:r>
      <w:r>
        <w:rPr>
          <w:sz w:val="21"/>
          <w:szCs w:val="21"/>
        </w:rPr>
        <w:t xml:space="preserve"> (ISO/IEC 27001:2022).</w:t>
      </w:r>
    </w:p>
    <w:p>
      <w:pPr>
        <w:pStyle w:val="Normal"/>
        <w:spacing w:lineRule="exact" w:line="264" w:before="0" w:after="120"/>
        <w:ind w:hanging="720" w:left="720"/>
        <w:jc w:val="left"/>
        <w:rPr/>
      </w:pPr>
      <w:r>
        <w:rPr>
          <w:sz w:val="21"/>
          <w:szCs w:val="21"/>
        </w:rPr>
        <w:t xml:space="preserve">Jocher, G. (2020). </w:t>
      </w:r>
      <w:r>
        <w:rPr>
          <w:i/>
          <w:iCs/>
          <w:sz w:val="21"/>
          <w:szCs w:val="21"/>
        </w:rPr>
        <w:t xml:space="preserve">ultralytics/yolov5</w:t>
      </w:r>
      <w:r>
        <w:rPr>
          <w:sz w:val="21"/>
          <w:szCs w:val="21"/>
        </w:rPr>
        <w:t xml:space="preserve"> [Software]. GitHub. https://github.com/ultralytics/yolov5</w:t>
      </w:r>
    </w:p>
    <w:p>
      <w:pPr>
        <w:pStyle w:val="Normal"/>
        <w:spacing w:lineRule="exact" w:line="264" w:before="0" w:after="120"/>
        <w:ind w:hanging="720" w:left="720"/>
        <w:jc w:val="left"/>
        <w:rPr/>
      </w:pPr>
      <w:r>
        <w:rPr>
          <w:sz w:val="21"/>
          <w:szCs w:val="21"/>
        </w:rPr>
        <w:t xml:space="preserve">Kirschbaum, D., Stanley, T., Emberson, R., Amatya, P., Khan, S., and Tanyas, H. (2020). </w:t>
      </w:r>
      <w:r>
        <w:rPr>
          <w:i/>
          <w:iCs/>
          <w:sz w:val="21"/>
          <w:szCs w:val="21"/>
        </w:rPr>
        <w:t xml:space="preserve">Global landslide hazard assessment for situational awareness (LHASA) version 2: New activities and future plans</w:t>
      </w:r>
      <w:r>
        <w:rPr>
          <w:sz w:val="21"/>
          <w:szCs w:val="21"/>
        </w:rPr>
        <w:t xml:space="preserve"> [Abstract, EGU General Assembly 2020]. https://doi.org/10.5194/egusphere-egu2020-11012</w:t>
      </w:r>
    </w:p>
    <w:p>
      <w:pPr>
        <w:pStyle w:val="Normal"/>
        <w:spacing w:lineRule="exact" w:line="264" w:before="0" w:after="120"/>
        <w:ind w:hanging="720" w:left="720"/>
        <w:jc w:val="left"/>
        <w:rPr/>
      </w:pPr>
      <w:r>
        <w:rPr>
          <w:sz w:val="21"/>
          <w:szCs w:val="21"/>
        </w:rPr>
        <w:t xml:space="preserve">López, A. (2023, July 25). ¿Por qué en Colombia ocurren frecuentes deslizamientos y derrumbes? [Why are landslides so frequent in Colombia?]. </w:t>
      </w:r>
      <w:r>
        <w:rPr>
          <w:i/>
          <w:iCs/>
          <w:sz w:val="21"/>
          <w:szCs w:val="21"/>
        </w:rPr>
        <w:t xml:space="preserve">El Tiempo</w:t>
      </w:r>
      <w:r>
        <w:rPr>
          <w:sz w:val="21"/>
          <w:szCs w:val="21"/>
        </w:rPr>
        <w:t xml:space="preserve">.</w:t>
      </w:r>
    </w:p>
    <w:p>
      <w:pPr>
        <w:pStyle w:val="Normal"/>
        <w:spacing w:lineRule="exact" w:line="264" w:before="0" w:after="120"/>
        <w:ind w:hanging="720" w:left="720"/>
        <w:jc w:val="left"/>
        <w:rPr/>
      </w:pPr>
      <w:r>
        <w:rPr>
          <w:sz w:val="21"/>
          <w:szCs w:val="21"/>
        </w:rPr>
        <w:t xml:space="preserve">Lund University, Department of Physical Geography and Ecosystem Science. (2012). </w:t>
      </w:r>
      <w:r>
        <w:rPr>
          <w:i/>
          <w:iCs/>
          <w:sz w:val="21"/>
          <w:szCs w:val="21"/>
        </w:rPr>
        <w:t xml:space="preserve">Introduction to remote sensing and geographical information systems</w:t>
      </w:r>
      <w:r>
        <w:rPr>
          <w:sz w:val="21"/>
          <w:szCs w:val="21"/>
        </w:rPr>
        <w:t xml:space="preserve">. Lund University.</w:t>
      </w:r>
    </w:p>
    <w:p>
      <w:pPr>
        <w:pStyle w:val="Normal"/>
        <w:spacing w:lineRule="exact" w:line="264" w:before="0" w:after="120"/>
        <w:ind w:hanging="720" w:left="720"/>
        <w:jc w:val="left"/>
        <w:rPr/>
      </w:pPr>
      <w:r>
        <w:rPr>
          <w:sz w:val="21"/>
          <w:szCs w:val="21"/>
        </w:rPr>
        <w:t xml:space="preserve">Marín, N., Vega, J., Betancurt, O., González, J., and Botero, S. (2024). Towards an understanding of landslide risk assessment and its economic losses: A scientometric analysis. </w:t>
      </w:r>
      <w:r>
        <w:rPr>
          <w:i/>
          <w:iCs/>
          <w:sz w:val="21"/>
          <w:szCs w:val="21"/>
        </w:rPr>
        <w:t xml:space="preserve">Landslides</w:t>
      </w:r>
      <w:r>
        <w:rPr>
          <w:sz w:val="21"/>
          <w:szCs w:val="21"/>
        </w:rPr>
        <w:t xml:space="preserve">.</w:t>
      </w:r>
    </w:p>
    <w:p>
      <w:pPr>
        <w:pStyle w:val="Normal"/>
        <w:spacing w:lineRule="exact" w:line="264" w:before="0" w:after="120"/>
        <w:ind w:hanging="720" w:left="720"/>
        <w:jc w:val="left"/>
        <w:rPr/>
      </w:pPr>
      <w:r>
        <w:rPr>
          <w:sz w:val="21"/>
          <w:szCs w:val="21"/>
        </w:rPr>
        <w:t xml:space="preserve">McAdoo, B. G., Quak, M., Gnyawali, K. R., Adhikari, B. R., Devkota, S., Rajbhandari, P. L., and Sudmeier-Rieux, K. (2018). Roads and landslides in Nepal: How development affects environmental risk. </w:t>
      </w:r>
      <w:r>
        <w:rPr>
          <w:i/>
          <w:iCs/>
          <w:sz w:val="21"/>
          <w:szCs w:val="21"/>
        </w:rPr>
        <w:t xml:space="preserve">Natural Hazards and Earth System Sciences, 18</w:t>
      </w:r>
      <w:r>
        <w:rPr>
          <w:sz w:val="21"/>
          <w:szCs w:val="21"/>
        </w:rPr>
        <w:t xml:space="preserve">, 3203–3210. https://doi.org/10.5194/nhess-18-3203-2018</w:t>
      </w:r>
    </w:p>
    <w:p>
      <w:pPr>
        <w:pStyle w:val="Normal"/>
        <w:spacing w:lineRule="exact" w:line="264" w:before="0" w:after="120"/>
        <w:ind w:hanging="720" w:left="720"/>
        <w:jc w:val="left"/>
        <w:rPr/>
      </w:pPr>
      <w:r>
        <w:rPr>
          <w:sz w:val="21"/>
          <w:szCs w:val="21"/>
        </w:rPr>
        <w:t xml:space="preserve">Miccadei, E., Carabella, C., and Paglia, G. (Eds.). (2022). </w:t>
      </w:r>
      <w:r>
        <w:rPr>
          <w:i/>
          <w:iCs/>
          <w:sz w:val="21"/>
          <w:szCs w:val="21"/>
        </w:rPr>
        <w:t xml:space="preserve">Landslide hazard and environment risk assessment</w:t>
      </w:r>
      <w:r>
        <w:rPr>
          <w:sz w:val="21"/>
          <w:szCs w:val="21"/>
        </w:rPr>
        <w:t xml:space="preserve">. MDPI.</w:t>
      </w:r>
    </w:p>
    <w:p>
      <w:pPr>
        <w:pStyle w:val="Normal"/>
        <w:spacing w:lineRule="exact" w:line="264" w:before="0" w:after="120"/>
        <w:ind w:hanging="720" w:left="720"/>
        <w:jc w:val="left"/>
        <w:rPr/>
      </w:pPr>
      <w:r>
        <w:rPr>
          <w:sz w:val="21"/>
          <w:szCs w:val="21"/>
        </w:rPr>
        <w:t xml:space="preserve">Mignan, A., and Broccardo, M. (2020). Neural network applications in earthquake prediction (1994–2019): Meta-analytic and statistical insights on their limitations. </w:t>
      </w:r>
      <w:r>
        <w:rPr>
          <w:i/>
          <w:iCs/>
          <w:sz w:val="21"/>
          <w:szCs w:val="21"/>
        </w:rPr>
        <w:t xml:space="preserve">Seismological Research Letters, 91</w:t>
      </w:r>
      <w:r>
        <w:rPr>
          <w:sz w:val="21"/>
          <w:szCs w:val="21"/>
        </w:rPr>
        <w:t xml:space="preserve">(4), 2330–2342.</w:t>
      </w:r>
    </w:p>
    <w:p>
      <w:pPr>
        <w:pStyle w:val="Normal"/>
        <w:spacing w:lineRule="exact" w:line="264" w:before="0" w:after="120"/>
        <w:ind w:hanging="720" w:left="720"/>
        <w:jc w:val="left"/>
        <w:rPr/>
      </w:pPr>
      <w:r>
        <w:rPr>
          <w:sz w:val="21"/>
          <w:szCs w:val="21"/>
        </w:rPr>
        <w:t xml:space="preserve">Ministerio de Ambiente y Desarrollo Sostenible. (2020). </w:t>
      </w:r>
      <w:r>
        <w:rPr>
          <w:i/>
          <w:iCs/>
          <w:sz w:val="21"/>
          <w:szCs w:val="21"/>
        </w:rPr>
        <w:t xml:space="preserve">Estudio sobre el impacto del cambio climático en la economía colombiana [Study on the impact of climate change on the Colombian economy]</w:t>
      </w:r>
      <w:r>
        <w:rPr>
          <w:sz w:val="21"/>
          <w:szCs w:val="21"/>
        </w:rPr>
        <w:t xml:space="preserve">.</w:t>
      </w:r>
    </w:p>
    <w:p>
      <w:pPr>
        <w:pStyle w:val="Normal"/>
        <w:spacing w:lineRule="exact" w:line="264" w:before="0" w:after="120"/>
        <w:ind w:hanging="720" w:left="720"/>
        <w:jc w:val="left"/>
        <w:rPr/>
      </w:pPr>
      <w:r>
        <w:rPr>
          <w:sz w:val="21"/>
          <w:szCs w:val="21"/>
        </w:rPr>
        <w:t xml:space="preserve">Ministerio de Tecnologías de la Información y las Comunicaciones [MinTIC]. (2022). </w:t>
      </w:r>
      <w:r>
        <w:rPr>
          <w:i/>
          <w:iCs/>
          <w:sz w:val="21"/>
          <w:szCs w:val="21"/>
        </w:rPr>
        <w:t xml:space="preserve">Metodología para la formulación de proyectos en el marco de la política Colombia TIC [Methodology for formulating projects under the Colombia ICT policy]</w:t>
      </w:r>
      <w:r>
        <w:rPr>
          <w:sz w:val="21"/>
          <w:szCs w:val="21"/>
        </w:rPr>
        <w:t xml:space="preserve">. https://colombiatic.mintic.gov.co/679/articles-63403_metodologia.pdf</w:t>
      </w:r>
    </w:p>
    <w:p>
      <w:pPr>
        <w:pStyle w:val="Normal"/>
        <w:spacing w:lineRule="exact" w:line="264" w:before="0" w:after="120"/>
        <w:ind w:hanging="720" w:left="720"/>
        <w:jc w:val="left"/>
        <w:rPr/>
      </w:pPr>
      <w:r>
        <w:rPr>
          <w:sz w:val="21"/>
          <w:szCs w:val="21"/>
        </w:rPr>
        <w:t xml:space="preserve">National Aeronautics and Space Administration [NASA]. (2023). </w:t>
      </w:r>
      <w:r>
        <w:rPr>
          <w:i/>
          <w:iCs/>
          <w:sz w:val="21"/>
          <w:szCs w:val="21"/>
        </w:rPr>
        <w:t xml:space="preserve">Earth Observing System Data and Information System (EOSDIS)</w:t>
      </w:r>
      <w:r>
        <w:rPr>
          <w:sz w:val="21"/>
          <w:szCs w:val="21"/>
        </w:rPr>
        <w:t xml:space="preserve">. NASA Earthdata.</w:t>
      </w:r>
    </w:p>
    <w:p>
      <w:pPr>
        <w:pStyle w:val="Normal"/>
        <w:spacing w:lineRule="exact" w:line="264" w:before="0" w:after="120"/>
        <w:ind w:hanging="720" w:left="720"/>
        <w:jc w:val="left"/>
        <w:rPr/>
      </w:pPr>
      <w:r>
        <w:rPr>
          <w:sz w:val="21"/>
          <w:szCs w:val="21"/>
        </w:rPr>
        <w:t xml:space="preserve">National Aeronautics and Space Administration [NASA]. (2024). </w:t>
      </w:r>
      <w:r>
        <w:rPr>
          <w:i/>
          <w:iCs/>
          <w:sz w:val="21"/>
          <w:szCs w:val="21"/>
        </w:rPr>
        <w:t xml:space="preserve">Global Landslide Catalog</w:t>
      </w:r>
      <w:r>
        <w:rPr>
          <w:sz w:val="21"/>
          <w:szCs w:val="21"/>
        </w:rPr>
        <w:t xml:space="preserve">. NASA.</w:t>
      </w:r>
    </w:p>
    <w:p>
      <w:pPr>
        <w:pStyle w:val="Normal"/>
        <w:spacing w:lineRule="exact" w:line="264" w:before="0" w:after="120"/>
        <w:ind w:hanging="720" w:left="720"/>
        <w:jc w:val="left"/>
        <w:rPr/>
      </w:pPr>
      <w:r>
        <w:rPr>
          <w:sz w:val="21"/>
          <w:szCs w:val="21"/>
        </w:rPr>
        <w:t xml:space="preserve">National Aeronautics and Space Administration [NASA]. (n.d.-a). </w:t>
      </w:r>
      <w:r>
        <w:rPr>
          <w:i/>
          <w:iCs/>
          <w:sz w:val="21"/>
          <w:szCs w:val="21"/>
        </w:rPr>
        <w:t xml:space="preserve">LHASA: Landslide Hazard Assessment for Situational Awareness</w:t>
      </w:r>
      <w:r>
        <w:rPr>
          <w:sz w:val="21"/>
          <w:szCs w:val="21"/>
        </w:rPr>
        <w:t xml:space="preserve"> [Software]. GitHub. https://github.com/nasa/LHASA</w:t>
      </w:r>
    </w:p>
    <w:p>
      <w:pPr>
        <w:pStyle w:val="Normal"/>
        <w:spacing w:lineRule="exact" w:line="264" w:before="0" w:after="120"/>
        <w:ind w:hanging="720" w:left="720"/>
        <w:jc w:val="left"/>
        <w:rPr/>
      </w:pPr>
      <w:r>
        <w:rPr>
          <w:sz w:val="21"/>
          <w:szCs w:val="21"/>
        </w:rPr>
        <w:t xml:space="preserve">National Aeronautics and Space Administration [NASA] Global Precipitation Measurement Mission. (n.d.-b). </w:t>
      </w:r>
      <w:r>
        <w:rPr>
          <w:i/>
          <w:iCs/>
          <w:sz w:val="21"/>
          <w:szCs w:val="21"/>
        </w:rPr>
        <w:t xml:space="preserve">Landslides @ NASA</w:t>
      </w:r>
      <w:r>
        <w:rPr>
          <w:sz w:val="21"/>
          <w:szCs w:val="21"/>
        </w:rPr>
        <w:t xml:space="preserve">. NASA.</w:t>
      </w:r>
    </w:p>
    <w:p>
      <w:pPr>
        <w:pStyle w:val="Normal"/>
        <w:spacing w:lineRule="exact" w:line="264" w:before="0" w:after="120"/>
        <w:ind w:hanging="720" w:left="720"/>
        <w:jc w:val="left"/>
        <w:rPr/>
      </w:pPr>
      <w:r>
        <w:rPr>
          <w:sz w:val="21"/>
          <w:szCs w:val="21"/>
        </w:rPr>
        <w:t xml:space="preserve">United Nations Office for Disaster Risk Reduction [UNDRR]. (2018). </w:t>
      </w:r>
      <w:r>
        <w:rPr>
          <w:i/>
          <w:iCs/>
          <w:sz w:val="21"/>
          <w:szCs w:val="21"/>
        </w:rPr>
        <w:t xml:space="preserve">Global assessment report on disaster risk</w:t>
      </w:r>
      <w:r>
        <w:rPr>
          <w:sz w:val="21"/>
          <w:szCs w:val="21"/>
        </w:rPr>
        <w:t xml:space="preserve">. UNDRR.</w:t>
      </w:r>
    </w:p>
    <w:p>
      <w:pPr>
        <w:pStyle w:val="Normal"/>
        <w:spacing w:lineRule="exact" w:line="264" w:before="0" w:after="120"/>
        <w:ind w:hanging="720" w:left="720"/>
        <w:jc w:val="left"/>
        <w:rPr/>
      </w:pPr>
      <w:r>
        <w:rPr>
          <w:sz w:val="21"/>
          <w:szCs w:val="21"/>
        </w:rPr>
        <w:t xml:space="preserve">United Nations Office for Disaster Risk Reduction [UNDRR]. (2022). </w:t>
      </w:r>
      <w:r>
        <w:rPr>
          <w:i/>
          <w:iCs/>
          <w:sz w:val="21"/>
          <w:szCs w:val="21"/>
        </w:rPr>
        <w:t xml:space="preserve">Global assessment report on disaster risk reduction 2022</w:t>
      </w:r>
      <w:r>
        <w:rPr>
          <w:sz w:val="21"/>
          <w:szCs w:val="21"/>
        </w:rPr>
        <w:t xml:space="preserve">. UNDRR.</w:t>
      </w:r>
    </w:p>
    <w:p>
      <w:pPr>
        <w:pStyle w:val="Normal"/>
        <w:spacing w:lineRule="exact" w:line="264" w:before="0" w:after="120"/>
        <w:ind w:hanging="720" w:left="720"/>
        <w:jc w:val="left"/>
        <w:rPr/>
      </w:pPr>
      <w:r>
        <w:rPr>
          <w:sz w:val="21"/>
          <w:szCs w:val="21"/>
        </w:rPr>
        <w:t xml:space="preserve">Olarte, M. (2014). </w:t>
      </w:r>
      <w:r>
        <w:rPr>
          <w:i/>
          <w:iCs/>
          <w:sz w:val="21"/>
          <w:szCs w:val="21"/>
        </w:rPr>
        <w:t xml:space="preserve">Resiliencia urbana: otra forma de abordar [Urban resilience: Another approach]</w:t>
      </w:r>
      <w:r>
        <w:rPr>
          <w:sz w:val="21"/>
          <w:szCs w:val="21"/>
        </w:rPr>
        <w:t xml:space="preserve">. Universidad EAFIT. https://www.eafit.edu.co/social/informate/Paginas/resiliencia-urbana-otra-forma-de-abordar.aspx</w:t>
      </w:r>
    </w:p>
    <w:p>
      <w:pPr>
        <w:pStyle w:val="Normal"/>
        <w:spacing w:lineRule="exact" w:line="264" w:before="0" w:after="120"/>
        <w:ind w:hanging="720" w:left="720"/>
        <w:jc w:val="left"/>
        <w:rPr/>
      </w:pPr>
      <w:r>
        <w:rPr>
          <w:sz w:val="21"/>
          <w:szCs w:val="21"/>
        </w:rPr>
        <w:t xml:space="preserve">Paisaje Cultural Cafetero. (2021). </w:t>
      </w:r>
      <w:r>
        <w:rPr>
          <w:i/>
          <w:iCs/>
          <w:sz w:val="21"/>
          <w:szCs w:val="21"/>
        </w:rPr>
        <w:t xml:space="preserve">Cambio climático 2021: impactos, adaptación y vulnerabilidad [Climate change 2021: Impacts, adaptation and vulnerability]</w:t>
      </w:r>
      <w:r>
        <w:rPr>
          <w:sz w:val="21"/>
          <w:szCs w:val="21"/>
        </w:rPr>
        <w:t xml:space="preserve">.</w:t>
      </w:r>
    </w:p>
    <w:p>
      <w:pPr>
        <w:pStyle w:val="Normal"/>
        <w:spacing w:lineRule="exact" w:line="264" w:before="0" w:after="120"/>
        <w:ind w:hanging="720" w:left="720"/>
        <w:jc w:val="left"/>
        <w:rPr/>
      </w:pPr>
      <w:r>
        <w:rPr>
          <w:sz w:val="21"/>
          <w:szCs w:val="21"/>
        </w:rPr>
        <w:t xml:space="preserve">Ramesh, M. V., Pullarkatt, D., Thirugnanam, H., Kumar M., N., and Rangan, P. V. (2023). </w:t>
      </w:r>
      <w:r>
        <w:rPr>
          <w:i/>
          <w:iCs/>
          <w:sz w:val="21"/>
          <w:szCs w:val="21"/>
        </w:rPr>
        <w:t xml:space="preserve">Multilevel rapid warning system for landslide detection</w:t>
      </w:r>
      <w:r>
        <w:rPr>
          <w:sz w:val="21"/>
          <w:szCs w:val="21"/>
        </w:rPr>
        <w:t xml:space="preserve"> (U.S. Patent No. 11,610,466 B2). U.S. Patent and Trademark Office.</w:t>
      </w:r>
    </w:p>
    <w:p>
      <w:pPr>
        <w:pStyle w:val="Normal"/>
        <w:spacing w:lineRule="exact" w:line="264" w:before="0" w:after="120"/>
        <w:ind w:hanging="720" w:left="720"/>
        <w:jc w:val="left"/>
        <w:rPr/>
      </w:pPr>
      <w:r>
        <w:rPr>
          <w:sz w:val="21"/>
          <w:szCs w:val="21"/>
        </w:rPr>
        <w:t xml:space="preserve">Restrepo, J. (2023). Valle de Aburrá: una de las zonas más afectadas y propensas a deslizamientos en Colombia [Aburrá Valley: One of the areas most affected by and prone to landslides in Colombia]. </w:t>
      </w:r>
      <w:r>
        <w:rPr>
          <w:i/>
          <w:iCs/>
          <w:sz w:val="21"/>
          <w:szCs w:val="21"/>
        </w:rPr>
        <w:t xml:space="preserve">Periódico Alma Máter</w:t>
      </w:r>
      <w:r>
        <w:rPr>
          <w:sz w:val="21"/>
          <w:szCs w:val="21"/>
        </w:rPr>
        <w:t xml:space="preserve">.</w:t>
      </w:r>
    </w:p>
    <w:p>
      <w:pPr>
        <w:pStyle w:val="Normal"/>
        <w:spacing w:lineRule="exact" w:line="264" w:before="0" w:after="120"/>
        <w:ind w:hanging="720" w:left="720"/>
        <w:jc w:val="left"/>
        <w:rPr/>
      </w:pPr>
      <w:r>
        <w:rPr>
          <w:sz w:val="21"/>
          <w:szCs w:val="21"/>
        </w:rPr>
        <w:t xml:space="preserve">Segoni, S., and Caleca, F. (2021). Definition of environmental indicators for a fast estimation of landslide risk at national scale. In E. Miccadei, C. Carabella and G. Paglia (Eds.), </w:t>
      </w:r>
      <w:r>
        <w:rPr>
          <w:i/>
          <w:iCs/>
          <w:sz w:val="21"/>
          <w:szCs w:val="21"/>
        </w:rPr>
        <w:t xml:space="preserve">Landslide hazard and environment risk assessment</w:t>
      </w:r>
      <w:r>
        <w:rPr>
          <w:sz w:val="21"/>
          <w:szCs w:val="21"/>
        </w:rPr>
        <w:t xml:space="preserve"> (2022). MDPI.</w:t>
      </w:r>
    </w:p>
    <w:p>
      <w:pPr>
        <w:pStyle w:val="Normal"/>
        <w:spacing w:lineRule="exact" w:line="264" w:before="0" w:after="120"/>
        <w:ind w:hanging="720" w:left="720"/>
        <w:jc w:val="left"/>
        <w:rPr/>
      </w:pPr>
      <w:r>
        <w:rPr>
          <w:sz w:val="21"/>
          <w:szCs w:val="21"/>
        </w:rPr>
        <w:t xml:space="preserve">Tehrani, F. S., Calvello, M., Liu, Z., Zhang, L., and Lacasse, S. (2022). Machine learning and landslide studies: Recent advances and applications. </w:t>
      </w:r>
      <w:r>
        <w:rPr>
          <w:i/>
          <w:iCs/>
          <w:sz w:val="21"/>
          <w:szCs w:val="21"/>
        </w:rPr>
        <w:t xml:space="preserve">Natural Hazards, 114</w:t>
      </w:r>
      <w:r>
        <w:rPr>
          <w:sz w:val="21"/>
          <w:szCs w:val="21"/>
        </w:rPr>
        <w:t xml:space="preserve">, 1197–1245. https://doi.org/10.1007/s11069-022-05423-7</w:t>
      </w:r>
    </w:p>
    <w:p>
      <w:pPr>
        <w:pStyle w:val="Normal"/>
        <w:spacing w:lineRule="exact" w:line="264" w:before="0" w:after="120"/>
        <w:ind w:hanging="720" w:left="720"/>
        <w:jc w:val="left"/>
        <w:rPr/>
      </w:pPr>
      <w:r>
        <w:rPr>
          <w:sz w:val="21"/>
          <w:szCs w:val="21"/>
        </w:rPr>
        <w:t xml:space="preserve">Ultralytics. (n.d.). </w:t>
      </w:r>
      <w:r>
        <w:rPr>
          <w:i/>
          <w:iCs/>
          <w:sz w:val="21"/>
          <w:szCs w:val="21"/>
        </w:rPr>
        <w:t xml:space="preserve">Releases</w:t>
      </w:r>
      <w:r>
        <w:rPr>
          <w:sz w:val="21"/>
          <w:szCs w:val="21"/>
        </w:rPr>
        <w:t xml:space="preserve"> [Software]. GitHub. https://github.com/ultralytics/ultralytics/releases</w:t>
      </w:r>
    </w:p>
    <w:p>
      <w:pPr>
        <w:pStyle w:val="Normal"/>
        <w:spacing w:lineRule="exact" w:line="264" w:before="0" w:after="120"/>
        <w:ind w:hanging="720" w:left="720"/>
        <w:jc w:val="left"/>
        <w:rPr/>
      </w:pPr>
      <w:r>
        <w:rPr>
          <w:sz w:val="21"/>
          <w:szCs w:val="21"/>
        </w:rPr>
        <w:t xml:space="preserve">Unidad Nacional para la Gestión del Riesgo de Desastres [UNGRD]. (2020). </w:t>
      </w:r>
      <w:r>
        <w:rPr>
          <w:i/>
          <w:iCs/>
          <w:sz w:val="21"/>
          <w:szCs w:val="21"/>
        </w:rPr>
        <w:t xml:space="preserve">Riesgo por movimientos en masa en Colombia [Mass-movement risk in Colombia]</w:t>
      </w:r>
      <w:r>
        <w:rPr>
          <w:sz w:val="21"/>
          <w:szCs w:val="21"/>
        </w:rPr>
        <w:t xml:space="preserve">. UNGRD.</w:t>
      </w:r>
    </w:p>
    <w:p>
      <w:pPr>
        <w:pStyle w:val="Normal"/>
        <w:spacing w:lineRule="exact" w:line="264" w:before="0" w:after="120"/>
        <w:ind w:hanging="720" w:left="720"/>
        <w:jc w:val="left"/>
        <w:rPr/>
      </w:pPr>
      <w:r>
        <w:rPr>
          <w:sz w:val="21"/>
          <w:szCs w:val="21"/>
        </w:rPr>
        <w:t xml:space="preserve">United Nations Environment Programme [UNEP]. (2024). </w:t>
      </w:r>
      <w:r>
        <w:rPr>
          <w:i/>
          <w:iCs/>
          <w:sz w:val="21"/>
          <w:szCs w:val="21"/>
        </w:rPr>
        <w:t xml:space="preserve">Goal 11: Sustainable cities and communities</w:t>
      </w:r>
      <w:r>
        <w:rPr>
          <w:sz w:val="21"/>
          <w:szCs w:val="21"/>
        </w:rPr>
        <w:t xml:space="preserve">. UNEP.</w:t>
      </w:r>
    </w:p>
    <w:p>
      <w:pPr>
        <w:pStyle w:val="Normal"/>
        <w:spacing w:lineRule="exact" w:line="264" w:before="0" w:after="120"/>
        <w:ind w:hanging="720" w:left="720"/>
        <w:jc w:val="left"/>
        <w:rPr/>
      </w:pPr>
      <w:r>
        <w:rPr>
          <w:sz w:val="21"/>
          <w:szCs w:val="21"/>
        </w:rPr>
        <w:t xml:space="preserve">Varnes, D. J. (1978). Slope movement types and processes. In R. L. Schuster and R. J. Krizek (Eds.), </w:t>
      </w:r>
      <w:r>
        <w:rPr>
          <w:i/>
          <w:iCs/>
          <w:sz w:val="21"/>
          <w:szCs w:val="21"/>
        </w:rPr>
        <w:t xml:space="preserve">Landslides: Analysis and control</w:t>
      </w:r>
      <w:r>
        <w:rPr>
          <w:sz w:val="21"/>
          <w:szCs w:val="21"/>
        </w:rPr>
        <w:t xml:space="preserve"> (Special Report 176, pp. 11–33). Transportation Research Board, National Academy of Sciences.</w:t>
      </w:r>
    </w:p>
    <w:p>
      <w:pPr>
        <w:pStyle w:val="Normal"/>
        <w:spacing w:lineRule="exact" w:line="264" w:before="0" w:after="120"/>
        <w:ind w:hanging="720" w:left="720"/>
        <w:jc w:val="left"/>
        <w:rPr/>
      </w:pPr>
      <w:r>
        <w:rPr>
          <w:sz w:val="21"/>
          <w:szCs w:val="21"/>
        </w:rPr>
        <w:t xml:space="preserve">Vega, J. (2013). </w:t>
      </w:r>
      <w:r>
        <w:rPr>
          <w:i/>
          <w:iCs/>
          <w:sz w:val="21"/>
          <w:szCs w:val="21"/>
        </w:rPr>
        <w:t xml:space="preserve">Estimación del riesgo por deslizamientos de laderas generados por eventos sísmicos en la ciudad de Medellín usando herramientas de la geomática [Estimation of earthquake-induced landslide risk in Medellín using geomatics tools]</w:t>
      </w:r>
      <w:r>
        <w:rPr>
          <w:sz w:val="21"/>
          <w:szCs w:val="21"/>
        </w:rPr>
        <w:t xml:space="preserve"> [Master's thesis, Universidad Nacional de La Plata].</w:t>
      </w:r>
    </w:p>
    <w:p>
      <w:pPr>
        <w:pStyle w:val="Normal"/>
        <w:spacing w:lineRule="exact" w:line="264" w:before="0" w:after="120"/>
        <w:ind w:hanging="720" w:left="720"/>
        <w:jc w:val="left"/>
        <w:rPr/>
      </w:pPr>
      <w:r>
        <w:rPr>
          <w:sz w:val="21"/>
          <w:szCs w:val="21"/>
        </w:rPr>
        <w:t xml:space="preserve">Vega, J., Barco, J., and Hidalgo, C. (2024). Space-time analysis of the relationship between landslides occurrence, rainfall variability and ENSO in the tropical Andean mountain region in Colombia. </w:t>
      </w:r>
      <w:r>
        <w:rPr>
          <w:i/>
          <w:iCs/>
          <w:sz w:val="21"/>
          <w:szCs w:val="21"/>
        </w:rPr>
        <w:t xml:space="preserve">Landslides, 21</w:t>
      </w:r>
      <w:r>
        <w:rPr>
          <w:sz w:val="21"/>
          <w:szCs w:val="21"/>
        </w:rPr>
        <w:t xml:space="preserve">, 1293–1314. https://doi.org/10.1007/s10346-024-02225-9</w:t>
      </w:r>
    </w:p>
    <w:p>
      <w:pPr>
        <w:pStyle w:val="Normal"/>
        <w:spacing w:lineRule="exact" w:line="264" w:before="0" w:after="120"/>
        <w:ind w:hanging="720" w:left="720"/>
        <w:jc w:val="left"/>
        <w:rPr/>
      </w:pPr>
      <w:r>
        <w:rPr>
          <w:sz w:val="21"/>
          <w:szCs w:val="21"/>
        </w:rPr>
        <w:t xml:space="preserve">World Bank. (2021). </w:t>
      </w:r>
      <w:r>
        <w:rPr>
          <w:i/>
          <w:iCs/>
          <w:sz w:val="21"/>
          <w:szCs w:val="21"/>
        </w:rPr>
        <w:t xml:space="preserve">The economic costs of climate change</w:t>
      </w:r>
      <w:r>
        <w:rPr>
          <w:sz w:val="21"/>
          <w:szCs w:val="21"/>
        </w:rPr>
        <w:t xml:space="preserve">. World Bank.</w:t>
      </w:r>
    </w:p>
    <w:p>
      <w:pPr>
        <w:pStyle w:val="Normal"/>
        <w:spacing w:lineRule="exact" w:line="264" w:before="0" w:after="120"/>
        <w:ind w:hanging="720" w:left="720"/>
        <w:jc w:val="left"/>
        <w:rPr/>
      </w:pPr>
      <w:r>
        <w:rPr>
          <w:sz w:val="21"/>
          <w:szCs w:val="21"/>
        </w:rPr>
        <w:t xml:space="preserve">Zhang, Q., and Wang, T. (2024). Deep learning for exploring landslides with remote sensing and geo-environmental data: Frameworks, progress, challenges, and opportunities. </w:t>
      </w:r>
      <w:r>
        <w:rPr>
          <w:i/>
          <w:iCs/>
          <w:sz w:val="21"/>
          <w:szCs w:val="21"/>
        </w:rPr>
        <w:t xml:space="preserve">Remote Sensing, 16</w:t>
      </w:r>
      <w:r>
        <w:rPr>
          <w:sz w:val="21"/>
          <w:szCs w:val="21"/>
        </w:rPr>
        <w:t xml:space="preserve">(8), 1344. https://doi.org/10.3390/rs16081344</w:t>
      </w:r>
    </w:p>
    <w:p>
      <w:pPr>
        <w:pStyle w:val="Normal"/>
        <w:spacing w:lineRule="exact" w:line="264" w:before="0" w:after="120"/>
        <w:ind w:hanging="720" w:left="720"/>
        <w:jc w:val="left"/>
        <w:rPr/>
      </w:pPr>
      <w:r>
        <w:rPr>
          <w:sz w:val="21"/>
          <w:szCs w:val="21"/>
        </w:rPr>
        <w:t xml:space="preserve">Zhou, X., Zhang, W., Wang, Y., Li, J., and Zhang, Z. (2023). Artificial intelligence and machine learning for landslide prediction. </w:t>
      </w:r>
      <w:r>
        <w:rPr>
          <w:i/>
          <w:iCs/>
          <w:sz w:val="21"/>
          <w:szCs w:val="21"/>
        </w:rPr>
        <w:t xml:space="preserve">Landslides, 20</w:t>
      </w:r>
      <w:r>
        <w:rPr>
          <w:sz w:val="21"/>
          <w:szCs w:val="21"/>
        </w:rPr>
        <w:t xml:space="preserve">, 1387–1402.</w:t>
      </w:r>
    </w:p>
    <w:sectPr>
      <w:headerReference w:type="default" r:id="rId41"/>
      <w:headerReference w:type="first" r:id="rId42"/>
      <w:footerReference w:type="default" r:id="rId43"/>
      <w:footerReference w:type="first" r:id="rId44"/>
      <w:type w:val="nextPage"/>
      <w:pgSz w:w="12240" w:h="15840"/>
      <w:pgMar w:left="1417" w:right="1417"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 xml:space="preserve">iv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62</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 xml:space="preserve">Landslide monitoring platform assisted by computer vision</w:t>
      <w:tab/>
      <w:t xml:space="preserve">Universidad EAFIT · Group 5</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 xml:space="preserve">Landslide monitoring platform assisted by computer vision</w:t>
      <w:tab/>
      <w:t xml:space="preserve">Universidad EAFIT · Group 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 xml:space="preserve">Landslide monitoring platform assisted by computer vision</w:t>
      <w:tab/>
      <w:t xml:space="preserve">Universidad EAFIT · Group 5</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 xml:space="preserve">Landslide monitoring platform assisted by computer vision</w:t>
      <w:tab/>
      <w:t xml:space="preserve">Universidad EAFIT · Group 5</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 xml:space="preserve">Landslide monitoring platform assisted by computer vision</w:t>
      <w:tab/>
      <w:t xml:space="preserve">Universidad EAFIT · Group 5</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 xml:space="preserve">Landslide monitoring platform assisted by computer vision</w:t>
      <w:tab/>
      <w:t xml:space="preserve">Universidad EAFIT · Group 5</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13006" w:leader="none"/>
      </w:tabs>
      <w:rPr/>
    </w:pPr>
    <w:r>
      <w:rPr>
        <w:color w:val="595959"/>
        <w:sz w:val="16"/>
        <w:szCs w:val="16"/>
      </w:rPr>
      <w:t xml:space="preserve">Landslide monitoring platform assisted by computer vision</w:t>
      <w:tab/>
      <w:t xml:space="preserve">Universidad EAFIT · Group 5</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C7D5"/>
      </w:pBdr>
      <w:tabs>
        <w:tab w:val="clear" w:pos="720"/>
        <w:tab w:val="right" w:pos="9406" w:leader="none"/>
      </w:tabs>
      <w:rPr/>
    </w:pPr>
    <w:r>
      <w:rPr>
        <w:color w:val="595959"/>
        <w:sz w:val="16"/>
        <w:szCs w:val="16"/>
      </w:rPr>
      <w:t xml:space="preserve">Landslide monitoring platform assisted by computer vision</w:t>
      <w:tab/>
      <w:t xml:space="preserve">Universidad EAFIT · Group 5</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F3864"/>
      </w:rPr>
    </w:lvl>
    <w:lvl w:ilvl="1">
      <w:start w:val="1"/>
      <w:numFmt w:val="bullet"/>
      <w:lvlText w:val=""/>
      <w:lvlJc w:val="left"/>
      <w:pPr>
        <w:tabs>
          <w:tab w:val="num" w:pos="0"/>
        </w:tabs>
        <w:ind w:left="720" w:hanging="260"/>
      </w:pPr>
      <w:rPr>
        <w:rFonts w:ascii="Symbol" w:hAnsi="Symbol" w:cs="Symbol" w:hint="default"/>
        <w:color w:val="1F3864"/>
      </w:rPr>
    </w:lvl>
    <w:lvl w:ilvl="2">
      <w:start w:val="1"/>
      <w:numFmt w:val="bullet"/>
      <w:lvlText w:val="▪"/>
      <w:lvlJc w:val="left"/>
      <w:pPr>
        <w:tabs>
          <w:tab w:val="num" w:pos="0"/>
        </w:tabs>
        <w:ind w:left="1080" w:hanging="260"/>
      </w:pPr>
      <w:rPr>
        <w:rFonts w:ascii="OpenSymbol" w:hAnsi="OpenSymbol" w:cs="OpenSymbol" w:hint="default"/>
        <w:color w:val="1F3864"/>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60" w:hanging="360"/>
      </w:pPr>
      <w:rPr>
        <w:b/>
        <w:bCs/>
        <w:color w:val="1F386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updateFields w:val="true"/>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keepNext w:val="true"/>
      <w:pBdr>
        <w:bottom w:val="single" w:sz="8" w:space="6" w:color="1F3864"/>
      </w:pBdr>
      <w:spacing w:before="120" w:after="24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320" w:after="120"/>
      <w:outlineLvl w:val="1"/>
    </w:pPr>
    <w:rPr>
      <w:rFonts w:ascii="Calibri" w:hAnsi="Calibri" w:eastAsia="Calibri" w:cs="Calibri"/>
      <w:b/>
      <w:bCs/>
      <w:color w:val="2E5597"/>
      <w:sz w:val="26"/>
      <w:szCs w:val="26"/>
    </w:rPr>
  </w:style>
  <w:style w:type="paragraph" w:styleId="Heading3">
    <w:name w:val="Heading 3"/>
    <w:basedOn w:val="Heading"/>
    <w:qFormat/>
    <w:pPr>
      <w:keepNext w:val="true"/>
      <w:spacing w:before="240" w:after="100"/>
      <w:outlineLvl w:val="2"/>
    </w:pPr>
    <w:rPr>
      <w:rFonts w:ascii="Calibri" w:hAnsi="Calibri" w:eastAsia="Calibri" w:cs="Calibri"/>
      <w:b/>
      <w:bCs/>
      <w:i/>
      <w:iCs/>
      <w:color w:val="40404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aption">
    <w:name w:val="TableCaption"/>
    <w:qFormat/>
    <w:pPr>
      <w:widowControl/>
      <w:bidi w:val="0"/>
      <w:spacing w:before="120" w:after="80"/>
      <w:jc w:val="left"/>
    </w:pPr>
    <w:rPr>
      <w:rFonts w:ascii="Calibri" w:hAnsi="Calibri" w:eastAsia="Calibri" w:cs="Calibri"/>
      <w:color w:val="1A1A1A"/>
      <w:kern w:val="0"/>
      <w:sz w:val="19"/>
      <w:szCs w:val="19"/>
      <w:lang w:val="en-US" w:eastAsia="zh-CN" w:bidi="hi-IN"/>
    </w:rPr>
  </w:style>
  <w:style w:type="paragraph" w:styleId="FigureCaption">
    <w:name w:val="FigureCaption"/>
    <w:qFormat/>
    <w:pPr>
      <w:widowControl/>
      <w:bidi w:val="0"/>
      <w:spacing w:before="120" w:after="80"/>
      <w:jc w:val="left"/>
    </w:pPr>
    <w:rPr>
      <w:rFonts w:ascii="Calibri" w:hAnsi="Calibri" w:eastAsia="Calibri" w:cs="Calibri"/>
      <w:color w:val="1A1A1A"/>
      <w:kern w:val="0"/>
      <w:sz w:val="19"/>
      <w:szCs w:val="19"/>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406" w:leader="dot"/>
      </w:tabs>
      <w:ind w:hanging="0" w:left="0"/>
    </w:pPr>
    <w:rPr/>
  </w:style>
  <w:style w:type="paragraph" w:styleId="TOC2">
    <w:name w:val="TOC 2"/>
    <w:basedOn w:val="Index"/>
    <w:pPr>
      <w:tabs>
        <w:tab w:val="clear" w:pos="720"/>
        <w:tab w:val="right" w:pos="9123" w:leader="dot"/>
      </w:tabs>
      <w:ind w:hanging="0" w:left="283"/>
    </w:pPr>
    <w:rPr/>
  </w:style>
  <w:style w:type="paragraph" w:styleId="TOC3">
    <w:name w:val="TOC 3"/>
    <w:basedOn w:val="Index"/>
    <w:pPr>
      <w:tabs>
        <w:tab w:val="clear" w:pos="720"/>
        <w:tab w:val="right" w:pos="88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image" Target="media/image11.png"/><Relationship Id="rId31" Type="http://schemas.openxmlformats.org/officeDocument/2006/relationships/header" Target="header10.xml"/><Relationship Id="rId32" Type="http://schemas.openxmlformats.org/officeDocument/2006/relationships/header" Target="header11.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image" Target="media/image12.png"/><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footer" Target="footer12.xml"/><Relationship Id="rId39" Type="http://schemas.openxmlformats.org/officeDocument/2006/relationships/footer" Target="footer13.xml"/><Relationship Id="rId40" Type="http://schemas.openxmlformats.org/officeDocument/2006/relationships/image" Target="media/image13.png"/><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4.xml"/><Relationship Id="rId44" Type="http://schemas.openxmlformats.org/officeDocument/2006/relationships/footer" Target="footer15.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79</Pages>
  <Words>21961</Words>
  <Characters>125405</Characters>
  <CharactersWithSpaces>144900</CharactersWithSpaces>
  <Paragraphs>2652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2026-09-16T18:01:53Z</dcterms:created>
  <dc:creator>Grupo 5 – Universidad EAFIT</dc:creator>
  <dc:description>Entrega final del anteproyecto, Formulación de Proyectos de Ingeniería</dc:description>
  <dc:language>en-US</dc:language>
  <cp:lastModifiedBy/>
  <dcterms:modified xsi:type="dcterms:W3CDTF">2026-09-16T18:01:58Z</dcterms:modified>
  <cp:revision>2</cp:revision>
  <dc:subject/>
  <dc:title>Landslide Monitoring Platform – Project Proposal (English)</dc:title>
</cp:coreProperties>
</file>