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0"/>
        <w:jc w:val="center"/>
      </w:pPr>
      <w:r>
        <w:rPr>
          <w:rFonts w:ascii="Arial" w:cs="Arial" w:eastAsia="Arial" w:hAnsi="Arial"/>
          <w:b/>
          <w:bCs/>
          <w:color w:val="003087"/>
          <w:sz w:val="56"/>
          <w:szCs w:val="56"/>
        </w:rPr>
        <w:t xml:space="preserve">UNIVERSIDAD EAFIT</w:t>
      </w:r>
    </w:p>
    <w:p>
      <w:pPr>
        <w:spacing w:after="80" w:before="0"/>
        <w:jc w:val="center"/>
      </w:pPr>
      <w:r>
        <w:rPr>
          <w:rFonts w:ascii="Arial" w:cs="Arial" w:eastAsia="Arial" w:hAnsi="Arial"/>
          <w:color w:val="005BAA"/>
          <w:sz w:val="26"/>
          <w:szCs w:val="26"/>
        </w:rPr>
        <w:t xml:space="preserve">Departamento de Ingeniería Mecánica</w:t>
      </w:r>
    </w:p>
    <w:p>
      <w:pPr>
        <w:pBdr>
          <w:bottom w:val="single" w:color="003087" w:sz="8" w:space="4"/>
        </w:pBdr>
        <w:spacing w:after="0" w:before="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0"/>
        <w:jc w:val="center"/>
      </w:pPr>
      <w:r>
        <w:rPr>
          <w:rFonts w:ascii="Arial" w:cs="Arial" w:eastAsia="Arial" w:hAnsi="Arial"/>
          <w:i/>
          <w:iCs/>
          <w:color w:val="444444"/>
          <w:sz w:val="24"/>
          <w:szCs w:val="24"/>
        </w:rPr>
        <w:t xml:space="preserve">Diseño Mecánico — Diseño Metódico</w:t>
      </w:r>
    </w:p>
    <w:p>
      <w:pPr>
        <w:spacing w:after="120" w:before="0"/>
        <w:jc w:val="center"/>
      </w:pPr>
      <w:r>
        <w:rPr>
          <w:rFonts w:ascii="Arial" w:cs="Arial" w:eastAsia="Arial" w:hAnsi="Arial"/>
          <w:i/>
          <w:iCs/>
          <w:color w:val="444444"/>
          <w:sz w:val="24"/>
          <w:szCs w:val="24"/>
        </w:rPr>
        <w:t xml:space="preserve">Sistema Gripper Neumático para Brazo Robótico</w:t>
      </w:r>
    </w:p>
    <w:p>
      <w:pPr>
        <w:spacing w:after="40" w:before="0"/>
        <w:jc w:val="center"/>
      </w:pPr>
      <w:r>
        <w:rPr>
          <w:rFonts w:ascii="Arial" w:cs="Arial" w:eastAsia="Arial" w:hAnsi="Arial"/>
          <w:b/>
          <w:bCs/>
          <w:color w:val="003087"/>
          <w:sz w:val="36"/>
          <w:szCs w:val="36"/>
        </w:rPr>
        <w:t xml:space="preserve">Reflexión y Evaluación de Aprendizaje — Fase 4</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pBdr>
          <w:bottom w:val="single" w:color="003087" w:sz="8" w:space="4"/>
        </w:pBdr>
        <w:spacing w:after="0" w:before="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30" w:before="60"/>
        <w:jc w:val="center"/>
      </w:pPr>
      <w:r>
        <w:rPr>
          <w:rFonts w:ascii="Arial" w:cs="Arial" w:eastAsia="Arial" w:hAnsi="Arial"/>
          <w:b/>
          <w:bCs/>
          <w:color w:val="003087"/>
          <w:sz w:val="22"/>
          <w:szCs w:val="22"/>
        </w:rPr>
        <w:t xml:space="preserve">Integrantes:</w:t>
      </w:r>
    </w:p>
    <w:p>
      <w:pPr>
        <w:spacing w:after="20" w:before="20"/>
        <w:jc w:val="center"/>
      </w:pPr>
      <w:r>
        <w:rPr>
          <w:rFonts w:ascii="Arial" w:cs="Arial" w:eastAsia="Arial" w:hAnsi="Arial"/>
          <w:sz w:val="22"/>
          <w:szCs w:val="22"/>
        </w:rPr>
        <w:t xml:space="preserve">Daniel Ruiz Sandoval</w:t>
      </w:r>
    </w:p>
    <w:p>
      <w:pPr>
        <w:spacing w:after="20" w:before="20"/>
        <w:jc w:val="center"/>
      </w:pPr>
      <w:r>
        <w:rPr>
          <w:rFonts w:ascii="Arial" w:cs="Arial" w:eastAsia="Arial" w:hAnsi="Arial"/>
          <w:sz w:val="22"/>
          <w:szCs w:val="22"/>
        </w:rPr>
        <w:t xml:space="preserve">David Zuluaga Henao</w:t>
      </w:r>
    </w:p>
    <w:p>
      <w:pPr>
        <w:spacing w:after="20" w:before="20"/>
        <w:jc w:val="center"/>
      </w:pPr>
      <w:r>
        <w:rPr>
          <w:rFonts w:ascii="Arial" w:cs="Arial" w:eastAsia="Arial" w:hAnsi="Arial"/>
          <w:sz w:val="22"/>
          <w:szCs w:val="22"/>
        </w:rPr>
        <w:t xml:space="preserve">Santiago Quintero Álvarez</w:t>
      </w:r>
    </w:p>
    <w:p>
      <w:pPr>
        <w:spacing w:after="20" w:before="20"/>
        <w:jc w:val="center"/>
      </w:pPr>
      <w:r>
        <w:rPr>
          <w:rFonts w:ascii="Arial" w:cs="Arial" w:eastAsia="Arial" w:hAnsi="Arial"/>
          <w:sz w:val="22"/>
          <w:szCs w:val="22"/>
        </w:rPr>
        <w:t xml:space="preserve">Julián Guerrero</w:t>
      </w:r>
    </w:p>
    <w:p>
      <w:pPr>
        <w:spacing w:after="20" w:before="20"/>
        <w:jc w:val="center"/>
      </w:pPr>
      <w:r>
        <w:rPr>
          <w:rFonts w:ascii="Arial" w:cs="Arial" w:eastAsia="Arial" w:hAnsi="Arial"/>
          <w:sz w:val="22"/>
          <w:szCs w:val="22"/>
        </w:rPr>
        <w:t xml:space="preserve">Ernesto Enríquez</w:t>
      </w:r>
    </w:p>
    <w:p>
      <w:pPr>
        <w:spacing w:after="40" w:before="40"/>
      </w:pPr>
      <w:r>
        <w:rPr>
          <w:rFonts w:ascii="Arial" w:cs="Arial" w:eastAsia="Arial" w:hAnsi="Arial"/>
          <w:sz w:val="22"/>
          <w:szCs w:val="22"/>
        </w:rPr>
        <w:t xml:space="preserve"/>
      </w:r>
    </w:p>
    <w:p>
      <w:pPr>
        <w:spacing w:after="20" w:before="40"/>
        <w:jc w:val="center"/>
      </w:pPr>
      <w:r>
        <w:rPr>
          <w:rFonts w:ascii="Arial" w:cs="Arial" w:eastAsia="Arial" w:hAnsi="Arial"/>
          <w:b/>
          <w:bCs/>
          <w:color w:val="003087"/>
          <w:sz w:val="22"/>
          <w:szCs w:val="22"/>
        </w:rPr>
        <w:t xml:space="preserve">Profesor:  </w:t>
      </w:r>
      <w:r>
        <w:rPr>
          <w:rFonts w:ascii="Arial" w:cs="Arial" w:eastAsia="Arial" w:hAnsi="Arial"/>
          <w:sz w:val="22"/>
          <w:szCs w:val="22"/>
        </w:rPr>
        <w:t xml:space="preserve">Ronald Mauricio Martinod Restrepo</w:t>
      </w:r>
    </w:p>
    <w:p>
      <w:pPr>
        <w:spacing w:after="20" w:before="20"/>
        <w:jc w:val="center"/>
      </w:pPr>
      <w:r>
        <w:rPr>
          <w:rFonts w:ascii="Arial" w:cs="Arial" w:eastAsia="Arial" w:hAnsi="Arial"/>
          <w:b/>
          <w:bCs/>
          <w:color w:val="003087"/>
          <w:sz w:val="22"/>
          <w:szCs w:val="22"/>
        </w:rPr>
        <w:t xml:space="preserve">Grupo:  </w:t>
      </w:r>
      <w:r>
        <w:rPr>
          <w:rFonts w:ascii="Arial" w:cs="Arial" w:eastAsia="Arial" w:hAnsi="Arial"/>
          <w:sz w:val="22"/>
          <w:szCs w:val="22"/>
        </w:rPr>
        <w:t xml:space="preserve">6</w:t>
      </w:r>
    </w:p>
    <w:p>
      <w:pPr>
        <w:spacing w:after="20" w:before="20"/>
        <w:jc w:val="center"/>
      </w:pPr>
      <w:r>
        <w:rPr>
          <w:rFonts w:ascii="Arial" w:cs="Arial" w:eastAsia="Arial" w:hAnsi="Arial"/>
          <w:b/>
          <w:bCs/>
          <w:color w:val="003087"/>
          <w:sz w:val="22"/>
          <w:szCs w:val="22"/>
        </w:rPr>
        <w:t xml:space="preserve">Fecha:  </w:t>
      </w:r>
      <w:r>
        <w:rPr>
          <w:rFonts w:ascii="Arial" w:cs="Arial" w:eastAsia="Arial" w:hAnsi="Arial"/>
          <w:sz w:val="22"/>
          <w:szCs w:val="22"/>
        </w:rPr>
        <w:t xml:space="preserve">Mayo 2026</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r>
        <w:br/>
        <w:t xml:space="preserve"/>
      </w:r>
      <w:r>
        <w:br w:type="page"/>
      </w:r>
    </w:p>
    <w:p>
      <w:pPr>
        <w:pStyle w:val="Heading1"/>
        <w:pBdr>
          <w:bottom w:val="single" w:color="005BAA" w:sz="6" w:space="1"/>
        </w:pBdr>
        <w:spacing w:after="160" w:before="320"/>
      </w:pPr>
      <w:r>
        <w:rPr>
          <w:rFonts w:ascii="Arial" w:cs="Arial" w:eastAsia="Arial" w:hAnsi="Arial"/>
          <w:b/>
          <w:bCs/>
          <w:color w:val="003087"/>
          <w:sz w:val="28"/>
          <w:szCs w:val="28"/>
        </w:rPr>
        <w:t xml:space="preserve">CONTEXTO DEL PROYECTO — SISTEMA GRIPPER NEUMÁTICO</w:t>
      </w:r>
    </w:p>
    <w:p>
      <w:pPr>
        <w:spacing w:after="40" w:before="40"/>
      </w:pPr>
      <w:r>
        <w:rPr>
          <w:rFonts w:ascii="Arial" w:cs="Arial" w:eastAsia="Arial" w:hAnsi="Arial"/>
          <w:sz w:val="22"/>
          <w:szCs w:val="22"/>
        </w:rPr>
        <w:t xml:space="preserve"/>
      </w:r>
    </w:p>
    <w:p>
      <w:pPr>
        <w:spacing w:after="120" w:before="0"/>
        <w:jc w:val="both"/>
      </w:pPr>
      <w:r>
        <w:rPr>
          <w:rFonts w:ascii="Arial" w:cs="Arial" w:eastAsia="Arial" w:hAnsi="Arial"/>
          <w:sz w:val="22"/>
          <w:szCs w:val="22"/>
        </w:rPr>
        <w:t xml:space="preserve">El presente documento compila y desarrolla las preguntas de reflexión del equipo Grupo 6 sobre el proyecto de diseño y prototipado de un gripper neumático de vacío para brazo robótico (Fase 4, mayo 2026). Cada respuesta ha sido elaborada con base en la experiencia experimental documentada en las cartas de proceso F1–F7, los registros de calidad QC y el análisis de costos actualizado con tres fuentes de precios. La siguiente tabla resume las especificaciones técnicas clave del sistema desarrollado.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0308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Componente</w:t>
            </w:r>
          </w:p>
        </w:tc>
        <w:tc>
          <w:tcPr>
            <w:tcW w:type="dxa" w:w="2340"/>
            <w:tcBorders>
              <w:top w:val="single" w:color="CCCCCC" w:sz="1"/>
              <w:left w:val="single" w:color="CCCCCC" w:sz="1"/>
              <w:bottom w:val="single" w:color="CCCCCC" w:sz="1"/>
              <w:right w:val="single" w:color="CCCCCC" w:sz="1"/>
            </w:tcBorders>
            <w:shd w:fill="00308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Especificación</w:t>
            </w:r>
          </w:p>
        </w:tc>
        <w:tc>
          <w:tcPr>
            <w:tcW w:type="dxa" w:w="2340"/>
            <w:tcBorders>
              <w:top w:val="single" w:color="CCCCCC" w:sz="1"/>
              <w:left w:val="single" w:color="CCCCCC" w:sz="1"/>
              <w:bottom w:val="single" w:color="CCCCCC" w:sz="1"/>
              <w:right w:val="single" w:color="CCCCCC" w:sz="1"/>
            </w:tcBorders>
            <w:shd w:fill="00308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Valor / Criterio</w:t>
            </w:r>
          </w:p>
        </w:tc>
        <w:tc>
          <w:tcPr>
            <w:tcW w:type="dxa" w:w="2340"/>
            <w:tcBorders>
              <w:top w:val="single" w:color="CCCCCC" w:sz="1"/>
              <w:left w:val="single" w:color="CCCCCC" w:sz="1"/>
              <w:bottom w:val="single" w:color="CCCCCC" w:sz="1"/>
              <w:right w:val="single" w:color="CCCCCC" w:sz="1"/>
            </w:tcBorders>
            <w:shd w:fill="00308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Norma / Ref.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Gripper tipo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Vacío venturi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FESTO VN-10-H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Hoja técnica FESTO</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Ventosas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Fuelle ∅25 mm × 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NBR/silicona</w:t>
            </w:r>
          </w:p>
        </w:tc>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SMC/FESTO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Vacío mínimo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Presión operación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 −0,60 bar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QC-EN-004</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Carga máxima</w:t>
            </w:r>
          </w:p>
        </w:tc>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Pieza plana</w:t>
            </w:r>
          </w:p>
        </w:tc>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500 g / ≥ 30 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QC-E-004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Material piezas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Al 6061-T6 mecan.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±0,1 mm | Ra 3,2 μm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ISO 9001:2015</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Control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ESP32 + MPX5700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3,3 V / 24 VDC</w:t>
            </w:r>
          </w:p>
        </w:tc>
        <w:tc>
          <w:tcPr>
            <w:tcW w:type="dxa" w:w="234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0"/>
                <w:szCs w:val="20"/>
              </w:rPr>
              <w:t xml:space="preserve">Espressif 2023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Costo prototipo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Escenario óptimo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$1.113.170 COP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sz w:val="20"/>
                <w:szCs w:val="20"/>
              </w:rPr>
              <w:t xml:space="preserve">Análisis Fase 4</w:t>
            </w:r>
          </w:p>
        </w:tc>
      </w:tr>
    </w:tbl>
    <w:p>
      <w:pPr>
        <w:spacing w:after="40" w:before="40"/>
      </w:pPr>
      <w:r>
        <w:rPr>
          <w:rFonts w:ascii="Arial" w:cs="Arial" w:eastAsia="Arial" w:hAnsi="Arial"/>
          <w:sz w:val="22"/>
          <w:szCs w:val="22"/>
        </w:rPr>
        <w:t xml:space="preserve"/>
      </w:r>
    </w:p>
    <w:p>
      <w:r>
        <w:br w:type="page"/>
      </w:r>
    </w:p>
    <w:p>
      <w:pPr>
        <w:pStyle w:val="Heading1"/>
        <w:pBdr>
          <w:bottom w:val="single" w:color="005BAA" w:sz="6" w:space="1"/>
        </w:pBdr>
        <w:spacing w:after="160" w:before="320"/>
      </w:pPr>
      <w:r>
        <w:rPr>
          <w:rFonts w:ascii="Arial" w:cs="Arial" w:eastAsia="Arial" w:hAnsi="Arial"/>
          <w:b/>
          <w:bCs/>
          <w:color w:val="003087"/>
          <w:sz w:val="28"/>
          <w:szCs w:val="28"/>
        </w:rPr>
        <w:t xml:space="preserve">SECCIÓN 1: CONTEXTO Y JUSTIFICACIÓN TÉCNICA</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01</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¿Qué limitaciones del proceso actual justifican el desarrollo del sistema robótico?</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Identificación de brechas en el proceso manual. </w:t>
            </w:r>
            <w:r>
              <w:rPr>
                <w:rFonts w:ascii="Arial" w:cs="Arial" w:eastAsia="Arial" w:hAnsi="Arial"/>
                <w:sz w:val="22"/>
                <w:szCs w:val="22"/>
              </w:rPr>
              <w:t xml:space="preserve">El proceso manual de manipulación presentaba tres categorías críticas de limitaciones. En primer lugar, </w:t>
            </w:r>
            <w:r>
              <w:rPr>
                <w:rFonts w:ascii="Arial" w:cs="Arial" w:eastAsia="Arial" w:hAnsi="Arial"/>
                <w:b/>
                <w:bCs/>
                <w:sz w:val="22"/>
                <w:szCs w:val="22"/>
              </w:rPr>
              <w:t xml:space="preserve">baja repetibilidad operacional: </w:t>
            </w:r>
            <w:r>
              <w:rPr>
                <w:rFonts w:ascii="Arial" w:cs="Arial" w:eastAsia="Arial" w:hAnsi="Arial"/>
                <w:sz w:val="22"/>
                <w:szCs w:val="22"/>
              </w:rPr>
              <w:t xml:space="preserve">al depender del operador para el posicionamiento de piezas, la desviación entre ciclos superaba ±1,5 mm, umbral inadmisible para aplicaciones de ensamble de precisión donde se exige ≤ 0,5 mm (criterio verificado en nuestro plan de pruebas). En segundo lugar, </w:t>
            </w:r>
            <w:r>
              <w:rPr>
                <w:rFonts w:ascii="Arial" w:cs="Arial" w:eastAsia="Arial" w:hAnsi="Arial"/>
                <w:b/>
                <w:bCs/>
                <w:sz w:val="22"/>
                <w:szCs w:val="22"/>
              </w:rPr>
              <w:t xml:space="preserve">riesgos ergonómicos y de seguridad: </w:t>
            </w:r>
            <w:r>
              <w:rPr>
                <w:rFonts w:ascii="Arial" w:cs="Arial" w:eastAsia="Arial" w:hAnsi="Arial"/>
                <w:sz w:val="22"/>
                <w:szCs w:val="22"/>
              </w:rPr>
              <w:t xml:space="preserve">la manipulación repetitiva de piezas metálicas con filos vivos generaba riesgo de corte y fatiga, incoherente con los estándares IEC 60068 de entornos automatizados. En tercer lugar, </w:t>
            </w:r>
            <w:r>
              <w:rPr>
                <w:rFonts w:ascii="Arial" w:cs="Arial" w:eastAsia="Arial" w:hAnsi="Arial"/>
                <w:b/>
                <w:bCs/>
                <w:sz w:val="22"/>
                <w:szCs w:val="22"/>
              </w:rPr>
              <w:t xml:space="preserve">variabilidad dependiente del estado del operador: </w:t>
            </w:r>
            <w:r>
              <w:rPr>
                <w:rFonts w:ascii="Arial" w:cs="Arial" w:eastAsia="Arial" w:hAnsi="Arial"/>
                <w:sz w:val="22"/>
                <w:szCs w:val="22"/>
              </w:rPr>
              <w:t xml:space="preserve">factores como cansancio, concentración y destreza individual afectaban directamente la calidad del agarre, imposibilitando la trazabilidad del proceso bajo ISO 9001:2015.</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Desde el punto de vista del sistema diseñado, el gripper neumático de vacío con generador VN-10-H resuelve estas brechas al garantizar una fuerza de agarre ≥ 5 N reproducible en cada ciclo, un tiempo de respuesta ≤ 0,5 s y una repetibilidad ≥ 95 % en 30 ciclos sucesivos, según los KPIs definidos. La distribución en cruz de cuatro ventosas ∅25 mm asegura además el contacto concéntrico sobre piezas planas de distintos materiales, eliminando la dependencia del juicio humano.</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02</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¿Qué aspecto innovador incorpora el proyecto?</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Modularidad mecánica con integración de bajo costo. </w:t>
            </w:r>
            <w:r>
              <w:rPr>
                <w:rFonts w:ascii="Arial" w:cs="Arial" w:eastAsia="Arial" w:hAnsi="Arial"/>
                <w:sz w:val="22"/>
                <w:szCs w:val="22"/>
              </w:rPr>
              <w:t xml:space="preserve">El aporte innovador central es la arquitectura modular de tres piezas mecanizadas en Al 6061-T6 (Base Ventosas GN-001, Acople Superior GN-002, Acople de Robot GN-003) que permite el ensamble en cruz sin herramientas especializadas, reduciendo el tiempo de cambio de configuración a menos de 15 minutos. A diferencia de grippers comerciales equivalentes que oscilan entre USD 400–800, el prototipo alcanza un costo de </w:t>
            </w:r>
            <w:r>
              <w:rPr>
                <w:rFonts w:ascii="Arial" w:cs="Arial" w:eastAsia="Arial" w:hAnsi="Arial"/>
                <w:b/>
                <w:bCs/>
                <w:sz w:val="22"/>
                <w:szCs w:val="22"/>
              </w:rPr>
              <w:t xml:space="preserve">$1.113.170 COP</w:t>
            </w:r>
            <w:r>
              <w:rPr>
                <w:rFonts w:ascii="Arial" w:cs="Arial" w:eastAsia="Arial" w:hAnsi="Arial"/>
                <w:sz w:val="22"/>
                <w:szCs w:val="22"/>
              </w:rPr>
              <w:t xml:space="preserve"> en el escenario optimizado (34,6 % menor al modelo original), manteniendo prestaciones técnicas comparables.</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El segundo aporte innovador es el </w:t>
            </w:r>
            <w:r>
              <w:rPr>
                <w:rFonts w:ascii="Arial" w:cs="Arial" w:eastAsia="Arial" w:hAnsi="Arial"/>
                <w:b/>
                <w:bCs/>
                <w:sz w:val="22"/>
                <w:szCs w:val="22"/>
              </w:rPr>
              <w:t xml:space="preserve">sistema de monitoreo basado en ESP32 con vacuostato PNP y sensor MPX5700. </w:t>
            </w:r>
            <w:r>
              <w:rPr>
                <w:rFonts w:ascii="Arial" w:cs="Arial" w:eastAsia="Arial" w:hAnsi="Arial"/>
                <w:sz w:val="22"/>
                <w:szCs w:val="22"/>
              </w:rPr>
              <w:t xml:space="preserve">La señal de vacío en tiempo real permite detectar pérdidas de agarre antes de que ocurra una caída (setpoint −0,60 bar), habilitando una respuesta predictiva imposible en un sistema puramente manual. Los divisores de tensión 10 kΩ/4,7 kΩ y los diodos volante 1N4007 garantizan protección del microcontrolador, evidenciando un diseño de ingeniería robusto y no solo funcional.</w:t>
            </w:r>
          </w:p>
        </w:tc>
      </w:tr>
    </w:tbl>
    <w:p>
      <w:pPr>
        <w:spacing w:after="40" w:before="40"/>
      </w:pPr>
      <w:r>
        <w:rPr>
          <w:rFonts w:ascii="Arial" w:cs="Arial" w:eastAsia="Arial" w:hAnsi="Arial"/>
          <w:sz w:val="22"/>
          <w:szCs w:val="22"/>
        </w:rPr>
        <w:t xml:space="preserve"/>
      </w:r>
    </w:p>
    <w:p>
      <w:r>
        <w:br w:type="page"/>
      </w:r>
    </w:p>
    <w:p>
      <w:pPr>
        <w:pStyle w:val="Heading1"/>
        <w:pBdr>
          <w:bottom w:val="single" w:color="005BAA" w:sz="6" w:space="1"/>
        </w:pBdr>
        <w:spacing w:after="160" w:before="320"/>
      </w:pPr>
      <w:r>
        <w:rPr>
          <w:rFonts w:ascii="Arial" w:cs="Arial" w:eastAsia="Arial" w:hAnsi="Arial"/>
          <w:b/>
          <w:bCs/>
          <w:color w:val="003087"/>
          <w:sz w:val="28"/>
          <w:szCs w:val="28"/>
        </w:rPr>
        <w:t xml:space="preserve">SECCIÓN 2: DESAFÍOS TÉCNICOS Y RESOLUCIÓN DE PROBLEMAS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03</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¿Cuál fue el principal desafío técnico del proyecto?</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Equilibrio entre fuerza de agarre y protección del objeto. </w:t>
            </w:r>
            <w:r>
              <w:rPr>
                <w:rFonts w:ascii="Arial" w:cs="Arial" w:eastAsia="Arial" w:hAnsi="Arial"/>
                <w:sz w:val="22"/>
                <w:szCs w:val="22"/>
              </w:rPr>
              <w:t xml:space="preserve">El mayor reto fue determinar la presión de operación óptima dentro del rango 4–6 bar del VN-10-H para lograr simultáneamente: (a) vacío ≥ −0,60 bar en la boca de aspiración, suficiente para sostener 500 g durante ≥ 30 s; y (b) deformación del labio de las ventosas de fuelle dentro del límite elástico del NBR, evitando marcas permanentes en superficies sensibles. La solución implicó calibrar la unidad FRL (Filtro/Regulador/Lubricador) a 5 bar como punto nominal de operación, valor validado experimentalmente.</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El segundo desafío fue la </w:t>
            </w:r>
            <w:r>
              <w:rPr>
                <w:rFonts w:ascii="Arial" w:cs="Arial" w:eastAsia="Arial" w:hAnsi="Arial"/>
                <w:b/>
                <w:bCs/>
                <w:sz w:val="22"/>
                <w:szCs w:val="22"/>
              </w:rPr>
              <w:t xml:space="preserve">integración mecánica-neumática-eléctrica concurrente. </w:t>
            </w:r>
            <w:r>
              <w:rPr>
                <w:rFonts w:ascii="Arial" w:cs="Arial" w:eastAsia="Arial" w:hAnsi="Arial"/>
                <w:sz w:val="22"/>
                <w:szCs w:val="22"/>
              </w:rPr>
              <w:t xml:space="preserve">La coaxialidad del Acople Superior (∅44,47 mm interior que aloja el VN-10-H) debía mantenerse ≤ 0,1 mm TIR para evitar fugas. Cualquier desviación mayor generaba caída del vacío por deformación asimétrica de la junta. Este control requirió tres etapas de torneado escalonado y verificación con reloj comparador, documentadas en la Carta de Proceso F2 (operación F-90, Registro QC-F-002). Paralelamente, el ajuste del ESP32 exigía verificar los rieles de tensión (5,00 V y 3,30 V) antes de conectar el microcontrolador para evitar daños por sobretensión transitoria.</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04</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¿Cómo manejaron errores o fallas inesperadas durante el proyecto?</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Sistema documentado de gestión de no conformidades. </w:t>
            </w:r>
            <w:r>
              <w:rPr>
                <w:rFonts w:ascii="Arial" w:cs="Arial" w:eastAsia="Arial" w:hAnsi="Arial"/>
                <w:sz w:val="22"/>
                <w:szCs w:val="22"/>
              </w:rPr>
              <w:t xml:space="preserve">Adoptamos un protocolo de cuatro pasos inspirado en el ciclo PHVA (Planear-Hacer-Verificar-Actuar) de ISO 9001:2015: </w:t>
            </w:r>
            <w:r>
              <w:rPr>
                <w:rFonts w:ascii="Arial" w:cs="Arial" w:eastAsia="Arial" w:hAnsi="Arial"/>
                <w:b/>
                <w:bCs/>
                <w:sz w:val="22"/>
                <w:szCs w:val="22"/>
              </w:rPr>
              <w:t xml:space="preserve">(1) Detección: </w:t>
            </w:r>
            <w:r>
              <w:rPr>
                <w:rFonts w:ascii="Arial" w:cs="Arial" w:eastAsia="Arial" w:hAnsi="Arial"/>
                <w:sz w:val="22"/>
                <w:szCs w:val="22"/>
              </w:rPr>
              <w:t xml:space="preserve">cada falla fue detectada mediante los registros QC (QC-F-001 a QC-F-003, QC-E-001 a QC-E-005, QC-EE-001 a QC-EE-003, QC-EN-001 a QC-EN-004). </w:t>
            </w:r>
            <w:r>
              <w:rPr>
                <w:rFonts w:ascii="Arial" w:cs="Arial" w:eastAsia="Arial" w:hAnsi="Arial"/>
                <w:b/>
                <w:bCs/>
                <w:sz w:val="22"/>
                <w:szCs w:val="22"/>
              </w:rPr>
              <w:t xml:space="preserve">(2) Análisis de causa raíz: </w:t>
            </w:r>
            <w:r>
              <w:rPr>
                <w:rFonts w:ascii="Arial" w:cs="Arial" w:eastAsia="Arial" w:hAnsi="Arial"/>
                <w:sz w:val="22"/>
                <w:szCs w:val="22"/>
              </w:rPr>
              <w:t xml:space="preserve">utilizamos el diagrama de Ishikawa para clasificar la falla en categoría de máquina, método, material, medición, medio ambiente u operario. </w:t>
            </w:r>
            <w:r>
              <w:rPr>
                <w:rFonts w:ascii="Arial" w:cs="Arial" w:eastAsia="Arial" w:hAnsi="Arial"/>
                <w:b/>
                <w:bCs/>
                <w:sz w:val="22"/>
                <w:szCs w:val="22"/>
              </w:rPr>
              <w:t xml:space="preserve">(3) Acción correctiva: </w:t>
            </w:r>
            <w:r>
              <w:rPr>
                <w:rFonts w:ascii="Arial" w:cs="Arial" w:eastAsia="Arial" w:hAnsi="Arial"/>
                <w:sz w:val="22"/>
                <w:szCs w:val="22"/>
              </w:rPr>
              <w:t xml:space="preserve">ajuste de parámetros del proceso (par de apriete, presión, secuencia de ensamble). </w:t>
            </w:r>
            <w:r>
              <w:rPr>
                <w:rFonts w:ascii="Arial" w:cs="Arial" w:eastAsia="Arial" w:hAnsi="Arial"/>
                <w:b/>
                <w:bCs/>
                <w:sz w:val="22"/>
                <w:szCs w:val="22"/>
              </w:rPr>
              <w:t xml:space="preserve">(4) Verificación de efectividad: </w:t>
            </w:r>
            <w:r>
              <w:rPr>
                <w:rFonts w:ascii="Arial" w:cs="Arial" w:eastAsia="Arial" w:hAnsi="Arial"/>
                <w:sz w:val="22"/>
                <w:szCs w:val="22"/>
              </w:rPr>
              <w:t xml:space="preserve">nueva prueba bajo las mismas condiciones controladas.</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Un caso concreto fue la </w:t>
            </w:r>
            <w:r>
              <w:rPr>
                <w:rFonts w:ascii="Arial" w:cs="Arial" w:eastAsia="Arial" w:hAnsi="Arial"/>
                <w:b/>
                <w:bCs/>
                <w:sz w:val="22"/>
                <w:szCs w:val="22"/>
              </w:rPr>
              <w:t xml:space="preserve">fuga en la conexión T-conexión/racores G1/8". </w:t>
            </w:r>
            <w:r>
              <w:rPr>
                <w:rFonts w:ascii="Arial" w:cs="Arial" w:eastAsia="Arial" w:hAnsi="Arial"/>
                <w:sz w:val="22"/>
                <w:szCs w:val="22"/>
              </w:rPr>
              <w:t xml:space="preserve">La prueba de estanqueidad a 4 bar/60 s con solución jabonosa reveló microburbujas en dos racores. El análisis identificó aplicación insuficiente de cinta PTFE (solo 1 vuelta vs. las 2–3 vueltas especificadas en la operación C-50 de la Carta F4). La corrección fue retirar los racores, limpiar las roscas, aplicar 3 vueltas de PTFE sin cubrir la primera rosca y reapretar a par controlado. La prueba posterior confirmó estanqueidad total, validando el procedimiento documentado.</w:t>
            </w:r>
          </w:p>
        </w:tc>
      </w:tr>
    </w:tbl>
    <w:p>
      <w:pPr>
        <w:spacing w:after="40" w:before="40"/>
      </w:pPr>
      <w:r>
        <w:rPr>
          <w:rFonts w:ascii="Arial" w:cs="Arial" w:eastAsia="Arial" w:hAnsi="Arial"/>
          <w:sz w:val="22"/>
          <w:szCs w:val="22"/>
        </w:rPr>
        <w:t xml:space="preserve"/>
      </w:r>
    </w:p>
    <w:p>
      <w:r>
        <w:br w:type="page"/>
      </w:r>
    </w:p>
    <w:p>
      <w:pPr>
        <w:pStyle w:val="Heading1"/>
        <w:pBdr>
          <w:bottom w:val="single" w:color="005BAA" w:sz="6" w:space="1"/>
        </w:pBdr>
        <w:spacing w:after="160" w:before="320"/>
      </w:pPr>
      <w:r>
        <w:rPr>
          <w:rFonts w:ascii="Arial" w:cs="Arial" w:eastAsia="Arial" w:hAnsi="Arial"/>
          <w:b/>
          <w:bCs/>
          <w:color w:val="003087"/>
          <w:sz w:val="28"/>
          <w:szCs w:val="28"/>
        </w:rPr>
        <w:t xml:space="preserve">SECCIÓN 3: APRENDIZAJE EXPERIENCIAL E ITERATIVO</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05</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¿Cómo cambió su manera de enfrentar problemas de ingeniería después de la experiencia?</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Del pensamiento lineal al pensamiento iterativo validado. </w:t>
            </w:r>
            <w:r>
              <w:rPr>
                <w:rFonts w:ascii="Arial" w:cs="Arial" w:eastAsia="Arial" w:hAnsi="Arial"/>
                <w:sz w:val="22"/>
                <w:szCs w:val="22"/>
              </w:rPr>
              <w:t xml:space="preserve">Antes del proyecto, nuestra aproximación natural era: definir el problema → diseñar la solución → implementar. La experiencia nos mostró que este modelo falla en sistemas físicos reales donde los parámetros interactúan de forma no lineal. El gripper neumático nos enseñó que </w:t>
            </w:r>
            <w:r>
              <w:rPr>
                <w:rFonts w:ascii="Arial" w:cs="Arial" w:eastAsia="Arial" w:hAnsi="Arial"/>
                <w:i/>
                <w:iCs/>
                <w:sz w:val="22"/>
                <w:szCs w:val="22"/>
              </w:rPr>
              <w:t xml:space="preserve">el diseño no termina en el papel; la verdadera validación ocurre en la práctica y requiere múltiples iteraciones.</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Adoptamos un ciclo de validación estructurado: simulación paramétrica (cálculo de fuerza de agarre F = P × A × n, donde P = presión de vacío, A = área efectiva de ventosa ∅25 mm, n = número de ventosas) → fabricación con tolerancias documentadas → prueba experimental → análisis de brecha entre predicción y resultado → ajuste de parámetros. Este enfoque, formalizado en las 7 cartas de proceso y el plan de 7 pruebas de validación, redujo los ciclos de corrección de 5 (iteraciones iniciales sin documentación) a 2 (con documentación sistemática).</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06</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¿Qué tan importante fue la experimentación para mejorar el diseño del sistema?</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La experimentación fue el eje central del desarrollo, no un paso final de verificación. </w:t>
            </w:r>
            <w:r>
              <w:rPr>
                <w:rFonts w:ascii="Arial" w:cs="Arial" w:eastAsia="Arial" w:hAnsi="Arial"/>
                <w:sz w:val="22"/>
                <w:szCs w:val="22"/>
              </w:rPr>
              <w:t xml:space="preserve">Identificamos tres niveles de impacto experimental: </w:t>
            </w:r>
            <w:r>
              <w:rPr>
                <w:rFonts w:ascii="Arial" w:cs="Arial" w:eastAsia="Arial" w:hAnsi="Arial"/>
                <w:b/>
                <w:bCs/>
                <w:sz w:val="22"/>
                <w:szCs w:val="22"/>
              </w:rPr>
              <w:t xml:space="preserve">Nivel 1 – Calibración: </w:t>
            </w:r>
            <w:r>
              <w:rPr>
                <w:rFonts w:ascii="Arial" w:cs="Arial" w:eastAsia="Arial" w:hAnsi="Arial"/>
                <w:sz w:val="22"/>
                <w:szCs w:val="22"/>
              </w:rPr>
              <w:t xml:space="preserve">la curva de calibración del MPX5700 (lectura ADC vs. presión de referencia en GPIO35) reveló una no linealidad del 3,8 % en el extremo superior del rango, que exigió una tabla de corrección en el firmware ESP32. Sin este experimento, el sistema habría reportado vacíos ficticios superiores al real.</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Nivel 2 – Ajuste de diseño mecánico: </w:t>
            </w:r>
            <w:r>
              <w:rPr>
                <w:rFonts w:ascii="Arial" w:cs="Arial" w:eastAsia="Arial" w:hAnsi="Arial"/>
                <w:sz w:val="22"/>
                <w:szCs w:val="22"/>
              </w:rPr>
              <w:t xml:space="preserve">las pruebas de estanqueidad (4 bar/60 s) detectaron que el escalón ∅60/∅75 del Acople Superior debía ser mecanizado con acabado Ra 3,2 μm estricto (no Ra 6,3 μm tolerado en zonas no funcionales), ya que la rugosidad afectaba el sellado dinámico del O-ring. Esto modificó la operación F-50 de la Carta F2. </w:t>
            </w:r>
            <w:r>
              <w:rPr>
                <w:rFonts w:ascii="Arial" w:cs="Arial" w:eastAsia="Arial" w:hAnsi="Arial"/>
                <w:b/>
                <w:bCs/>
                <w:sz w:val="22"/>
                <w:szCs w:val="22"/>
              </w:rPr>
              <w:t xml:space="preserve">Nivel 3 – Validación de la hipótesis de carga: </w:t>
            </w:r>
            <w:r>
              <w:rPr>
                <w:rFonts w:ascii="Arial" w:cs="Arial" w:eastAsia="Arial" w:hAnsi="Arial"/>
                <w:sz w:val="22"/>
                <w:szCs w:val="22"/>
              </w:rPr>
              <w:t xml:space="preserve">la prueba funcional confirmó que el sistema podía sostener 500 g durante 36 s (&gt;30 s requeridos) con vacío estable de −0,63 bar, lo que demostró un margen de seguridad del 5 % sobre el criterio mínimo, aceptable para aplicaciones preindustriales.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07</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¿El aprendizaje experiencial favoreció la generación de ideas innovadoras? (justifique)</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Sí, de manera cuantificable. </w:t>
            </w:r>
            <w:r>
              <w:rPr>
                <w:rFonts w:ascii="Arial" w:cs="Arial" w:eastAsia="Arial" w:hAnsi="Arial"/>
                <w:sz w:val="22"/>
                <w:szCs w:val="22"/>
              </w:rPr>
              <w:t xml:space="preserve">Durante la fase teórica (Fases 1–3), el equipo generó 4 alternativas de diseño documentadas en las matrices morfológicas. Durante la fase de prototipado (Fase 4), la interacción directa con el sistema generó </w:t>
            </w:r>
            <w:r>
              <w:rPr>
                <w:rFonts w:ascii="Arial" w:cs="Arial" w:eastAsia="Arial" w:hAnsi="Arial"/>
                <w:b/>
                <w:bCs/>
                <w:sz w:val="22"/>
                <w:szCs w:val="22"/>
              </w:rPr>
              <w:t xml:space="preserve">6 ideas adicionales de mejora </w:t>
            </w:r>
            <w:r>
              <w:rPr>
                <w:rFonts w:ascii="Arial" w:cs="Arial" w:eastAsia="Arial" w:hAnsi="Arial"/>
                <w:sz w:val="22"/>
                <w:szCs w:val="22"/>
              </w:rPr>
              <w:t xml:space="preserve">no contempladas originalmente: (1) sistema de monitoreo en tiempo real con ESP32 (surgió al observar la caída gradual del vacío durante la prueba de 30 s); (2) ranura anti-rotación 14×13 mm en el Acople de Robot (surgió al detectar giro del acople durante el apriete de tornillos); (3) secuencia cruzada de apriete 1→3→2→4 (surgió tras observar alabeo en la junta al apretar en secuencia lineal); (4) divisores de tensión obligatorios para el ADC del ESP32 (surgió tras una sobretensión transitoria que reseteó el microcontrolador); (5) cinta PTFE específicamente en 2–3 vueltas sin cubrir la primera rosca; y (6) uso de la línea de aire existente como reductor de costo de $650.000.</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Este contraste (4 ideas teóricas vs. 10 en total incluyendo experimentación) confirma que el aprendizaje experiencial duplicó la tasa de innovación del equipo, validando el modelo pedagógico basado en proyectos.</w:t>
            </w:r>
          </w:p>
        </w:tc>
      </w:tr>
    </w:tbl>
    <w:p>
      <w:pPr>
        <w:spacing w:after="40" w:before="40"/>
      </w:pPr>
      <w:r>
        <w:rPr>
          <w:rFonts w:ascii="Arial" w:cs="Arial" w:eastAsia="Arial" w:hAnsi="Arial"/>
          <w:sz w:val="22"/>
          <w:szCs w:val="22"/>
        </w:rPr>
        <w:t xml:space="preserve"/>
      </w:r>
    </w:p>
    <w:p>
      <w:r>
        <w:br w:type="page"/>
      </w:r>
    </w:p>
    <w:p>
      <w:pPr>
        <w:pStyle w:val="Heading1"/>
        <w:pBdr>
          <w:bottom w:val="single" w:color="005BAA" w:sz="6" w:space="1"/>
        </w:pBdr>
        <w:spacing w:after="160" w:before="320"/>
      </w:pPr>
      <w:r>
        <w:rPr>
          <w:rFonts w:ascii="Arial" w:cs="Arial" w:eastAsia="Arial" w:hAnsi="Arial"/>
          <w:b/>
          <w:bCs/>
          <w:color w:val="003087"/>
          <w:sz w:val="28"/>
          <w:szCs w:val="28"/>
        </w:rPr>
        <w:t xml:space="preserve">SECCIÓN 4: CREATIVIDAD, AUTONOMÍA Y DINÁMICA DE EQUIPO</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08</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¿Qué tan libres se sintieron para proponer soluciones diferentes? (justifique)</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Alta autonomía dentro de un marco de restricciones técnicas bien definidas. </w:t>
            </w:r>
            <w:r>
              <w:rPr>
                <w:rFonts w:ascii="Arial" w:cs="Arial" w:eastAsia="Arial" w:hAnsi="Arial"/>
                <w:sz w:val="22"/>
                <w:szCs w:val="22"/>
              </w:rPr>
              <w:t xml:space="preserve">El ambiente del proyecto permitió proponer alternativas sin necesidad de justificación exhaustiva previa, sino validarlas rápidamente con datos. Por ejemplo, la propuesta de usar resina ABS impresa en 3D en lugar de aluminio mecanizado para el prototipo inicial no provenía del diseño original, sino de una iniciativa del equipo para reducir tiempo de fabricación. Esta decisión se tomó libremente y fue validada por el análisis de costos, que mostró una reducción de $25.000 vs. la versión en aluminio manteniendo prestaciones funcionales equivalentes para validación preindustrial.</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La libertad también se manifestó en la </w:t>
            </w:r>
            <w:r>
              <w:rPr>
                <w:rFonts w:ascii="Arial" w:cs="Arial" w:eastAsia="Arial" w:hAnsi="Arial"/>
                <w:b/>
                <w:bCs/>
                <w:sz w:val="22"/>
                <w:szCs w:val="22"/>
              </w:rPr>
              <w:t xml:space="preserve">integración del sistema de control ESP32, </w:t>
            </w:r>
            <w:r>
              <w:rPr>
                <w:rFonts w:ascii="Arial" w:cs="Arial" w:eastAsia="Arial" w:hAnsi="Arial"/>
                <w:sz w:val="22"/>
                <w:szCs w:val="22"/>
              </w:rPr>
              <w:t xml:space="preserve">que no era parte del alcance mínimo del gripper puramente mecánico pero fue propuesto e implementado por el equipo como valor añadido. Esta iniciativa transformó un mecanismo pasivo en un sistema inteligente con monitoreo de vacío en tiempo real, elevando significativamente el valor técnico y la diferenciación frente a alternativas comerciales simples.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09</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¿Cómo influyó la construcción del prototipo en la creatividad del equipo?</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La restricción de recursos fue el principal catalizador creativo. </w:t>
            </w:r>
            <w:r>
              <w:rPr>
                <w:rFonts w:ascii="Arial" w:cs="Arial" w:eastAsia="Arial" w:hAnsi="Arial"/>
                <w:sz w:val="22"/>
                <w:szCs w:val="22"/>
              </w:rPr>
              <w:t xml:space="preserve">Al enfrentarnos a las limitaciones reales del taller (sierra de cinta, torno paralelo, fresadora vertical y taladro de columna convencionales, sin CNC ni impresión metálica), el equipo desarrolló soluciones que en el diseño teórico no hubiésemos considerado necesarias. El ejemplo más claro fue la </w:t>
            </w:r>
            <w:r>
              <w:rPr>
                <w:rFonts w:ascii="Arial" w:cs="Arial" w:eastAsia="Arial" w:hAnsi="Arial"/>
                <w:b/>
                <w:bCs/>
                <w:sz w:val="22"/>
                <w:szCs w:val="22"/>
              </w:rPr>
              <w:t xml:space="preserve">secuencia de torneado escalonado ∅10→∅66 </w:t>
            </w:r>
            <w:r>
              <w:rPr>
                <w:rFonts w:ascii="Arial" w:cs="Arial" w:eastAsia="Arial" w:hAnsi="Arial"/>
                <w:sz w:val="22"/>
                <w:szCs w:val="22"/>
              </w:rPr>
              <w:t xml:space="preserve">para el agujero central de la Base Ventosas: en lugar de una operación directa (imposible con las herramientas disponibles), se diseñó una secuencia de 6 pretaladros progresivos que lograba el diámetro final con la coaxialidad requerida. Esta solución, documentada en la operación F-60 de la Carta F1, fue completamente original y transferible a otros proyectos de mecanizado convencional.</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Adicionalmente, la </w:t>
            </w:r>
            <w:r>
              <w:rPr>
                <w:rFonts w:ascii="Arial" w:cs="Arial" w:eastAsia="Arial" w:hAnsi="Arial"/>
                <w:b/>
                <w:bCs/>
                <w:sz w:val="22"/>
                <w:szCs w:val="22"/>
              </w:rPr>
              <w:t xml:space="preserve">optimización cruzada de costos (Fuente C) </w:t>
            </w:r>
            <w:r>
              <w:rPr>
                <w:rFonts w:ascii="Arial" w:cs="Arial" w:eastAsia="Arial" w:hAnsi="Arial"/>
                <w:sz w:val="22"/>
                <w:szCs w:val="22"/>
              </w:rPr>
              <w:t xml:space="preserve">fue un ejercicio creativo de ingeniería de valor: al cruzar tres fuentes de precios por ítem e identificar que el eyector Venturi podía adquirirse por $145.000 (vs. $325.000 de la referencia BOM cargada), el equipo generó un ahorro de $180.000 por unidad simplemente mediante inteligencia de compras, sin modificar el diseño. Esta creatividad aplicada al ámbito económico del proyecto es igualmente valiosa en la práctica profesional.</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10</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¿Qué relación encuentran entre experimentar y desarrollar pensamiento creativo?</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La experimentación genera tensión cognitiva que activa el pensamiento divergente. </w:t>
            </w:r>
            <w:r>
              <w:rPr>
                <w:rFonts w:ascii="Arial" w:cs="Arial" w:eastAsia="Arial" w:hAnsi="Arial"/>
                <w:sz w:val="22"/>
                <w:szCs w:val="22"/>
              </w:rPr>
              <w:t xml:space="preserve">Cuando los resultados experimentales coinciden con la predicción teórica, el pensamiento permanece en modo convergente (confirmar lo esperado). Pero cuando hay una brecha —como cuando la fuga de vacío persistía después del primer ajuste PTFE, o cuando el alabeo de la junta apareció con apriete lineal— el cerebro ingeniería debe generar hipótesis alternativas: ¿es el material? ¿la secuencia? ¿la tolerancia dimensional? Este estado de búsqueda activa es estructuralmente idéntico al pensamiento creativo.</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En el proyecto, esta relación se manifestó en la </w:t>
            </w:r>
            <w:r>
              <w:rPr>
                <w:rFonts w:ascii="Arial" w:cs="Arial" w:eastAsia="Arial" w:hAnsi="Arial"/>
                <w:b/>
                <w:bCs/>
                <w:sz w:val="22"/>
                <w:szCs w:val="22"/>
              </w:rPr>
              <w:t xml:space="preserve">innovación del vacuostato PNP con setpoint configurable </w:t>
            </w:r>
            <w:r>
              <w:rPr>
                <w:rFonts w:ascii="Arial" w:cs="Arial" w:eastAsia="Arial" w:hAnsi="Arial"/>
                <w:sz w:val="22"/>
                <w:szCs w:val="22"/>
              </w:rPr>
              <w:t xml:space="preserve">como solución al problema de falsos positivos del MPX5700 en ambiente vibratorio. La idea no surgió de literatura técnica sino de la observación experimental de que las vibraciones del torno durante mecanizado adyacente generaban lecturas espúreas en el GPIO34. La solución (agregar el vacuostato hardware como referencia estable) combina conocimiento electrónico, neumático y de programación de manera no convencional, evidenciando cómo la experimentación forza la integración creativa de disciplinas.</w:t>
            </w:r>
          </w:p>
        </w:tc>
      </w:tr>
    </w:tbl>
    <w:p>
      <w:pPr>
        <w:spacing w:after="40" w:before="40"/>
      </w:pPr>
      <w:r>
        <w:rPr>
          <w:rFonts w:ascii="Arial" w:cs="Arial" w:eastAsia="Arial" w:hAnsi="Arial"/>
          <w:sz w:val="22"/>
          <w:szCs w:val="22"/>
        </w:rPr>
        <w:t xml:space="preserve"/>
      </w:r>
    </w:p>
    <w:p>
      <w:r>
        <w:br w:type="page"/>
      </w:r>
    </w:p>
    <w:p>
      <w:pPr>
        <w:pStyle w:val="Heading1"/>
        <w:pBdr>
          <w:bottom w:val="single" w:color="005BAA" w:sz="6" w:space="1"/>
        </w:pBdr>
        <w:spacing w:after="160" w:before="320"/>
      </w:pPr>
      <w:r>
        <w:rPr>
          <w:rFonts w:ascii="Arial" w:cs="Arial" w:eastAsia="Arial" w:hAnsi="Arial"/>
          <w:b/>
          <w:bCs/>
          <w:color w:val="003087"/>
          <w:sz w:val="28"/>
          <w:szCs w:val="28"/>
        </w:rPr>
        <w:t xml:space="preserve">SECCIÓN 5: IMPACTO EN EL APRENDIZAJE Y CURRÍCULO</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11</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¿Qué ventajas identifican en el aprendizaje basado en proyectos de robótica?</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Integración multiasignatura en un contexto de problema real. </w:t>
            </w:r>
            <w:r>
              <w:rPr>
                <w:rFonts w:ascii="Arial" w:cs="Arial" w:eastAsia="Arial" w:hAnsi="Arial"/>
                <w:sz w:val="22"/>
                <w:szCs w:val="22"/>
              </w:rPr>
              <w:t xml:space="preserve">El proyecto de gripper neumático requirió simultáneamente: </w:t>
            </w:r>
            <w:r>
              <w:rPr>
                <w:rFonts w:ascii="Arial" w:cs="Arial" w:eastAsia="Arial" w:hAnsi="Arial"/>
                <w:b/>
                <w:bCs/>
                <w:sz w:val="22"/>
                <w:szCs w:val="22"/>
              </w:rPr>
              <w:t xml:space="preserve">Diseño Mecánico </w:t>
            </w:r>
            <w:r>
              <w:rPr>
                <w:rFonts w:ascii="Arial" w:cs="Arial" w:eastAsia="Arial" w:hAnsi="Arial"/>
                <w:sz w:val="22"/>
                <w:szCs w:val="22"/>
              </w:rPr>
              <w:t xml:space="preserve">(tolerancias, rugosidad, selección de materiales Al 6061-T6), </w:t>
            </w:r>
            <w:r>
              <w:rPr>
                <w:rFonts w:ascii="Arial" w:cs="Arial" w:eastAsia="Arial" w:hAnsi="Arial"/>
                <w:b/>
                <w:bCs/>
                <w:sz w:val="22"/>
                <w:szCs w:val="22"/>
              </w:rPr>
              <w:t xml:space="preserve">Neumática industrial </w:t>
            </w:r>
            <w:r>
              <w:rPr>
                <w:rFonts w:ascii="Arial" w:cs="Arial" w:eastAsia="Arial" w:hAnsi="Arial"/>
                <w:sz w:val="22"/>
                <w:szCs w:val="22"/>
              </w:rPr>
              <w:t xml:space="preserve">(circuito VN-10-H, FRL, electroválvula 5/2 vías, manifold), </w:t>
            </w:r>
            <w:r>
              <w:rPr>
                <w:rFonts w:ascii="Arial" w:cs="Arial" w:eastAsia="Arial" w:hAnsi="Arial"/>
                <w:b/>
                <w:bCs/>
                <w:sz w:val="22"/>
                <w:szCs w:val="22"/>
              </w:rPr>
              <w:t xml:space="preserve">Electrónica y control </w:t>
            </w:r>
            <w:r>
              <w:rPr>
                <w:rFonts w:ascii="Arial" w:cs="Arial" w:eastAsia="Arial" w:hAnsi="Arial"/>
                <w:sz w:val="22"/>
                <w:szCs w:val="22"/>
              </w:rPr>
              <w:t xml:space="preserve">(ESP32, MPX5700, MOSFET IRF540N, divisores de tensión, firmware), </w:t>
            </w:r>
            <w:r>
              <w:rPr>
                <w:rFonts w:ascii="Arial" w:cs="Arial" w:eastAsia="Arial" w:hAnsi="Arial"/>
                <w:b/>
                <w:bCs/>
                <w:sz w:val="22"/>
                <w:szCs w:val="22"/>
              </w:rPr>
              <w:t xml:space="preserve">Metrología y calidad </w:t>
            </w:r>
            <w:r>
              <w:rPr>
                <w:rFonts w:ascii="Arial" w:cs="Arial" w:eastAsia="Arial" w:hAnsi="Arial"/>
                <w:sz w:val="22"/>
                <w:szCs w:val="22"/>
              </w:rPr>
              <w:t xml:space="preserve">(vernier, micrómetro, reloj comparador, ISO 9001:2015), y </w:t>
            </w:r>
            <w:r>
              <w:rPr>
                <w:rFonts w:ascii="Arial" w:cs="Arial" w:eastAsia="Arial" w:hAnsi="Arial"/>
                <w:b/>
                <w:bCs/>
                <w:sz w:val="22"/>
                <w:szCs w:val="22"/>
              </w:rPr>
              <w:t xml:space="preserve">Gestión de proyectos e ingeniería de costos </w:t>
            </w:r>
            <w:r>
              <w:rPr>
                <w:rFonts w:ascii="Arial" w:cs="Arial" w:eastAsia="Arial" w:hAnsi="Arial"/>
                <w:sz w:val="22"/>
                <w:szCs w:val="22"/>
              </w:rPr>
              <w:t xml:space="preserve">(BOM, cartas de proceso, análisis de viabilidad económica). Ninguna de estas disciplinas pudo aplicarse de forma aislada; todas estaban entrelazadas por el sistema físico real, generando una comprensión sistémica imposible de replicar en cursos teóricos independientes.</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Desde la perspectiva del trabajo en equipo, el proyecto evidenció que </w:t>
            </w:r>
            <w:r>
              <w:rPr>
                <w:rFonts w:ascii="Arial" w:cs="Arial" w:eastAsia="Arial" w:hAnsi="Arial"/>
                <w:b/>
                <w:bCs/>
                <w:sz w:val="22"/>
                <w:szCs w:val="22"/>
              </w:rPr>
              <w:t xml:space="preserve">la especialización funciona mejor que la generalización en contextos de alta complejidad técnica: </w:t>
            </w:r>
            <w:r>
              <w:rPr>
                <w:rFonts w:ascii="Arial" w:cs="Arial" w:eastAsia="Arial" w:hAnsi="Arial"/>
                <w:sz w:val="22"/>
                <w:szCs w:val="22"/>
              </w:rPr>
              <w:t xml:space="preserve">cada integrante desarrolló profundidad en un subsistema (mecánico, neumático, eléctrico, documentación/calidad, costos) mientras mantenía comprensión suficiente de los demás para la integración. Este modelo de equipo multidisciplinario es exactamente el que opera en la industria de automatización.</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12</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¿Cómo evaluarían el impacto del proyecto en su aprendizaje?</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Impacto de alto valor en tres dimensiones: técnica, metodológica y actitudinal. </w:t>
            </w:r>
            <w:r>
              <w:rPr>
                <w:rFonts w:ascii="Arial" w:cs="Arial" w:eastAsia="Arial" w:hAnsi="Arial"/>
                <w:sz w:val="22"/>
                <w:szCs w:val="22"/>
              </w:rPr>
              <w:t xml:space="preserve">En la dimensión </w:t>
            </w:r>
            <w:r>
              <w:rPr>
                <w:rFonts w:ascii="Arial" w:cs="Arial" w:eastAsia="Arial" w:hAnsi="Arial"/>
                <w:b/>
                <w:bCs/>
                <w:sz w:val="22"/>
                <w:szCs w:val="22"/>
              </w:rPr>
              <w:t xml:space="preserve">técnica, </w:t>
            </w:r>
            <w:r>
              <w:rPr>
                <w:rFonts w:ascii="Arial" w:cs="Arial" w:eastAsia="Arial" w:hAnsi="Arial"/>
                <w:sz w:val="22"/>
                <w:szCs w:val="22"/>
              </w:rPr>
              <w:t xml:space="preserve">consolidamos competencias en mecanizado convencional (9 operaciones por pieza, tolerancias ±0,1 mm), sistemas neumáticos de vacío, electrónica de potencia y programación de microcontroladores: capacidades que una evaluación escrita no puede verificar ni desarrollar. En la dimensión </w:t>
            </w:r>
            <w:r>
              <w:rPr>
                <w:rFonts w:ascii="Arial" w:cs="Arial" w:eastAsia="Arial" w:hAnsi="Arial"/>
                <w:b/>
                <w:bCs/>
                <w:sz w:val="22"/>
                <w:szCs w:val="22"/>
              </w:rPr>
              <w:t xml:space="preserve">metodológica, </w:t>
            </w:r>
            <w:r>
              <w:rPr>
                <w:rFonts w:ascii="Arial" w:cs="Arial" w:eastAsia="Arial" w:hAnsi="Arial"/>
                <w:sz w:val="22"/>
                <w:szCs w:val="22"/>
              </w:rPr>
              <w:t xml:space="preserve">internalizamos el ciclo de diseño iterativo (ISO 9001:2015 PHVA), la documentación técnica sistemática (21 registros QC) y el análisis de costos con múltiples fuentes de datos. En la dimensión </w:t>
            </w:r>
            <w:r>
              <w:rPr>
                <w:rFonts w:ascii="Arial" w:cs="Arial" w:eastAsia="Arial" w:hAnsi="Arial"/>
                <w:b/>
                <w:bCs/>
                <w:sz w:val="22"/>
                <w:szCs w:val="22"/>
              </w:rPr>
              <w:t xml:space="preserve">actitudinal, </w:t>
            </w:r>
            <w:r>
              <w:rPr>
                <w:rFonts w:ascii="Arial" w:cs="Arial" w:eastAsia="Arial" w:hAnsi="Arial"/>
                <w:sz w:val="22"/>
                <w:szCs w:val="22"/>
              </w:rPr>
              <w:t xml:space="preserve">desarrollamos tolerancia a la incertidumbre, confianza para tomar decisiones bajo restricciones reales y responsabilidad ante el resultado colectivo del equipo.</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Cuantitativamente, el aprendizaje puede medirse por los indicadores del sistema: el prototipo superó </w:t>
            </w:r>
            <w:r>
              <w:rPr>
                <w:rFonts w:ascii="Arial" w:cs="Arial" w:eastAsia="Arial" w:hAnsi="Arial"/>
                <w:b/>
                <w:bCs/>
                <w:sz w:val="22"/>
                <w:szCs w:val="22"/>
              </w:rPr>
              <w:t xml:space="preserve">los 6 criterios de aceptación </w:t>
            </w:r>
            <w:r>
              <w:rPr>
                <w:rFonts w:ascii="Arial" w:cs="Arial" w:eastAsia="Arial" w:hAnsi="Arial"/>
                <w:sz w:val="22"/>
                <w:szCs w:val="22"/>
              </w:rPr>
              <w:t xml:space="preserve">definidos en el plan de pruebas (vacío ≥ −0,60 bar, carga ≥ 500 g/30 s, repetibilidad ≥ 95 %, tiempo respuesta ≤ 0,5 s, estanqueidad sin fugas, precisión ≤ 0,5 mm), lo que demuestra que el aprendizaje fue suficientemente profundo para generar un artefacto técnicamente validado, no solo una demostración de concepto.</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13</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¿Consideran que el aprendizaje experiencial debería tener mayor presencia en el currículo de ingeniería? ¿Por qué?</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Sí, con tres argumentos basados en evidencia del proyecto. </w:t>
            </w:r>
            <w:r>
              <w:rPr>
                <w:rFonts w:ascii="Arial" w:cs="Arial" w:eastAsia="Arial" w:hAnsi="Arial"/>
                <w:b/>
                <w:bCs/>
                <w:sz w:val="22"/>
                <w:szCs w:val="22"/>
              </w:rPr>
              <w:t xml:space="preserve">Argumento 1 – Brecha competencia-conocimiento: </w:t>
            </w:r>
            <w:r>
              <w:rPr>
                <w:rFonts w:ascii="Arial" w:cs="Arial" w:eastAsia="Arial" w:hAnsi="Arial"/>
                <w:sz w:val="22"/>
                <w:szCs w:val="22"/>
              </w:rPr>
              <w:t xml:space="preserve">el conocimiento declarativo (saber que el par de apriete de tornillos M4 clase 8.8 es 2,9 Nm) no equivale a la competencia procedimental (saber aplicarlo con llave dinamométrica calibrada en secuencia cruzada para evitar alabeo). La industria necesita ingenieros con competencias, no solo conocimientos. Solo la práctica desarrolla competencias.</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Argumento 2 – Motivación intrínseca: </w:t>
            </w:r>
            <w:r>
              <w:rPr>
                <w:rFonts w:ascii="Arial" w:cs="Arial" w:eastAsia="Arial" w:hAnsi="Arial"/>
                <w:sz w:val="22"/>
                <w:szCs w:val="22"/>
              </w:rPr>
              <w:t xml:space="preserve">la visibilidad del resultado (un gripper físico que funciona o no funciona) genera una motivación cualitativamente diferente a la de un examen. Los errores en un proyecto real son costosos en tiempo y recursos, lo que activa mecanismos de aprendizaje profundo (no superficial) que la evaluación de papel no puede provocar.</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Argumento 3 – Preparación para la incertidumbre profesional: </w:t>
            </w:r>
            <w:r>
              <w:rPr>
                <w:rFonts w:ascii="Arial" w:cs="Arial" w:eastAsia="Arial" w:hAnsi="Arial"/>
                <w:sz w:val="22"/>
                <w:szCs w:val="22"/>
              </w:rPr>
              <w:t xml:space="preserve">en la industria, los problemas no tienen solución conocida de antemano. El aprendizaje experiencial entrena la tolerancia a la ambigüedad y la capacidad de tomar decisiones con información incompleta, habilidades críticas que el currículo tradicional raramente desarrolla de forma explícita. La propuesta concreta es </w:t>
            </w:r>
            <w:r>
              <w:rPr>
                <w:rFonts w:ascii="Arial" w:cs="Arial" w:eastAsia="Arial" w:hAnsi="Arial"/>
                <w:b/>
                <w:bCs/>
                <w:sz w:val="22"/>
                <w:szCs w:val="22"/>
              </w:rPr>
              <w:t xml:space="preserve">aumentar la proporción de créditos en proyectos integradores a al menos 30 % del currículo total de ingeniería, </w:t>
            </w:r>
            <w:r>
              <w:rPr>
                <w:rFonts w:ascii="Arial" w:cs="Arial" w:eastAsia="Arial" w:hAnsi="Arial"/>
                <w:sz w:val="22"/>
                <w:szCs w:val="22"/>
              </w:rPr>
              <w:t xml:space="preserve">con acompañamiento docente metodológico (no solo técnico) para guiar el proceso de reflexión sobre el aprendizaje obtenido.</w:t>
            </w:r>
          </w:p>
        </w:tc>
      </w:tr>
    </w:tbl>
    <w:p>
      <w:pPr>
        <w:spacing w:after="40" w:before="40"/>
      </w:pPr>
      <w:r>
        <w:rPr>
          <w:rFonts w:ascii="Arial" w:cs="Arial" w:eastAsia="Arial" w:hAnsi="Arial"/>
          <w:sz w:val="22"/>
          <w:szCs w:val="22"/>
        </w:rPr>
        <w:t xml:space="preserve"/>
      </w:r>
    </w:p>
    <w:p>
      <w:r>
        <w:br w:type="page"/>
      </w:r>
    </w:p>
    <w:p>
      <w:pPr>
        <w:pStyle w:val="Heading1"/>
        <w:pBdr>
          <w:bottom w:val="single" w:color="005BAA" w:sz="6" w:space="1"/>
        </w:pBdr>
        <w:spacing w:after="160" w:before="320"/>
      </w:pPr>
      <w:r>
        <w:rPr>
          <w:rFonts w:ascii="Arial" w:cs="Arial" w:eastAsia="Arial" w:hAnsi="Arial"/>
          <w:b/>
          <w:bCs/>
          <w:color w:val="003087"/>
          <w:sz w:val="28"/>
          <w:szCs w:val="28"/>
        </w:rPr>
        <w:t xml:space="preserve">SECCIÓN 6: REFLEXIÓN PERSONAL Y HABILIDADES DESARROLLADAS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14</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¿Cuál fue el aprendizaje más significativo obtenido durante el proyecto?</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El diseño es un proceso continuo, no un evento puntual. </w:t>
            </w:r>
            <w:r>
              <w:rPr>
                <w:rFonts w:ascii="Arial" w:cs="Arial" w:eastAsia="Arial" w:hAnsi="Arial"/>
                <w:sz w:val="22"/>
                <w:szCs w:val="22"/>
              </w:rPr>
              <w:t xml:space="preserve">La lección más profunda fue constatar que el diseño no concluye con la entrega de planos ni con la fabricación de las piezas. El gripper físico siempre reveló aspectos no considerados en el modelo: el alabeo térmico del aluminio durante el mecanizado, la elasticidad del tubo de poliuretano que generaba retardo neumático, la interferencia electromagnética entre la electroválvula 24 VDC y el ADC del ESP32. Cada uno de estos fenómenos requirió rediseño parcial o ajuste procedimental, confirmando que </w:t>
            </w:r>
            <w:r>
              <w:rPr>
                <w:rFonts w:ascii="Arial" w:cs="Arial" w:eastAsia="Arial" w:hAnsi="Arial"/>
                <w:i/>
                <w:iCs/>
                <w:sz w:val="22"/>
                <w:szCs w:val="22"/>
              </w:rPr>
              <w:t xml:space="preserve">la validación experimental es el único árbitro definitivo de un diseño de ingeniería.</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Esta comprensión transforma la relación del ingeniero con la incertidumbre: en lugar de verla como un fracaso del diseño, se la reconoce como información valiosa que mejora el sistema. El registro de los 21 documentos QC del proyecto no es burocracia, sino la memoria técnica que permite aprender de cada iteración sin repetir los mismos errores, exactamente como lo hacen los sistemas de gestión de calidad en la industria de alta confiabilidad (aeroespacial, médica, automotriz).</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15</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¿Qué habilidades descubrieron en ustedes mismos a partir de esta experiencia?</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Mapa de habilidades emergentes identificadas durante el proyecto. </w:t>
            </w:r>
            <w:r>
              <w:rPr>
                <w:rFonts w:ascii="Arial" w:cs="Arial" w:eastAsia="Arial" w:hAnsi="Arial"/>
                <w:sz w:val="22"/>
                <w:szCs w:val="22"/>
              </w:rPr>
              <w:t xml:space="preserve">El proyecto activó habilidades latentes que no sabíamos que teníamos: </w:t>
            </w:r>
            <w:r>
              <w:rPr>
                <w:rFonts w:ascii="Arial" w:cs="Arial" w:eastAsia="Arial" w:hAnsi="Arial"/>
                <w:b/>
                <w:bCs/>
                <w:sz w:val="22"/>
                <w:szCs w:val="22"/>
              </w:rPr>
              <w:t xml:space="preserve">(1) Pensamiento sistémico aplicado: </w:t>
            </w:r>
            <w:r>
              <w:rPr>
                <w:rFonts w:ascii="Arial" w:cs="Arial" w:eastAsia="Arial" w:hAnsi="Arial"/>
                <w:sz w:val="22"/>
                <w:szCs w:val="22"/>
              </w:rPr>
              <w:t xml:space="preserve">capacidad de ver cómo una decisión en el subsistema mecánico (coaxialidad del Acople Superior) afectaba el rendimiento del subsistema neumático (fuga de vacío) y del subsistema eléctrico (lecturas erróneas del sensor). </w:t>
            </w:r>
            <w:r>
              <w:rPr>
                <w:rFonts w:ascii="Arial" w:cs="Arial" w:eastAsia="Arial" w:hAnsi="Arial"/>
                <w:b/>
                <w:bCs/>
                <w:sz w:val="22"/>
                <w:szCs w:val="22"/>
              </w:rPr>
              <w:t xml:space="preserve">(2) Toma de decisiones bajo presión temporal: </w:t>
            </w:r>
            <w:r>
              <w:rPr>
                <w:rFonts w:ascii="Arial" w:cs="Arial" w:eastAsia="Arial" w:hAnsi="Arial"/>
                <w:sz w:val="22"/>
                <w:szCs w:val="22"/>
              </w:rPr>
              <w:t xml:space="preserve">cuando la prueba de estanqueidad falló a 48 horas de la entrega, el equipo ejecutó el protocolo de diagnóstico y corrección en 4 horas sin entrar en parálisis analítica. </w:t>
            </w:r>
            <w:r>
              <w:rPr>
                <w:rFonts w:ascii="Arial" w:cs="Arial" w:eastAsia="Arial" w:hAnsi="Arial"/>
                <w:b/>
                <w:bCs/>
                <w:sz w:val="22"/>
                <w:szCs w:val="22"/>
              </w:rPr>
              <w:t xml:space="preserve">(3) Comunicación técnica multimodal: </w:t>
            </w:r>
            <w:r>
              <w:rPr>
                <w:rFonts w:ascii="Arial" w:cs="Arial" w:eastAsia="Arial" w:hAnsi="Arial"/>
                <w:sz w:val="22"/>
                <w:szCs w:val="22"/>
              </w:rPr>
              <w:t xml:space="preserve">el equipo aprendió a comunicar resultados mediante tablas de costos, cartas de proceso ilustradas, matrices QFD y registros QC, herramientas de comunicación profesional que van más allá del informe escrito tradicional.</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(4) Negociación y gestión de proveedores: </w:t>
            </w:r>
            <w:r>
              <w:rPr>
                <w:rFonts w:ascii="Arial" w:cs="Arial" w:eastAsia="Arial" w:hAnsi="Arial"/>
                <w:sz w:val="22"/>
                <w:szCs w:val="22"/>
              </w:rPr>
              <w:t xml:space="preserve">el proceso de cotización con Airtac Colombia, Microcomponentes Medellín y Tornillos y Partes Medellín desarrolló habilidades de negociación real: conseguir el eyector Venturi a $145.000 vs. $325.000 de la referencia inicial representó un ahorro de $180.000 gracias a la comparación sistemática de fuentes. </w:t>
            </w:r>
            <w:r>
              <w:rPr>
                <w:rFonts w:ascii="Arial" w:cs="Arial" w:eastAsia="Arial" w:hAnsi="Arial"/>
                <w:b/>
                <w:bCs/>
                <w:sz w:val="22"/>
                <w:szCs w:val="22"/>
              </w:rPr>
              <w:t xml:space="preserve">(5) Liderazgo distribuido: </w:t>
            </w:r>
            <w:r>
              <w:rPr>
                <w:rFonts w:ascii="Arial" w:cs="Arial" w:eastAsia="Arial" w:hAnsi="Arial"/>
                <w:sz w:val="22"/>
                <w:szCs w:val="22"/>
              </w:rPr>
              <w:t xml:space="preserve">la asignación de roles por subsistema (mecánico, neumático, eléctrico, documentación, costos) demostró que el liderazgo técnico es más efectivo cuando se distribuye según competencias que cuando se centraliza en una sola persona.</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16</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¿Qué momento del proyecto representó el mayor reto personal o académico?</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La fase de integración final del sistema fue el momento de mayor exigencia. </w:t>
            </w:r>
            <w:r>
              <w:rPr>
                <w:rFonts w:ascii="Arial" w:cs="Arial" w:eastAsia="Arial" w:hAnsi="Arial"/>
                <w:sz w:val="22"/>
                <w:szCs w:val="22"/>
              </w:rPr>
              <w:t xml:space="preserve">Específicamente, la etapa correspondiente a la Carta de Proceso F5 (Ensamblaje Final), operaciones E-50 a E-120, representó el pico de complejidad: era el momento en que los tres subsistemas (mecánico, neumático y eléctrico) debían converger en un sistema coherente. Cualquier desviación acumulada en las piezas mecanizadas, cualquier fuga en las conexiones neumáticas o cualquier falla en el circuito electrónico se manifestaba como un error del sistema completo, pero sin indicar directamente cuál subsistema era la causa.</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El reto personal más intenso fue </w:t>
            </w:r>
            <w:r>
              <w:rPr>
                <w:rFonts w:ascii="Arial" w:cs="Arial" w:eastAsia="Arial" w:hAnsi="Arial"/>
                <w:b/>
                <w:bCs/>
                <w:sz w:val="22"/>
                <w:szCs w:val="22"/>
              </w:rPr>
              <w:t xml:space="preserve">mantener la sistematicidad del proceso diagnóstico bajo presión temporal. </w:t>
            </w:r>
            <w:r>
              <w:rPr>
                <w:rFonts w:ascii="Arial" w:cs="Arial" w:eastAsia="Arial" w:hAnsi="Arial"/>
                <w:sz w:val="22"/>
                <w:szCs w:val="22"/>
              </w:rPr>
              <w:t xml:space="preserve">La tentación de 'probar cosas al azar' es máxima en estos momentos. La solución fue aplicar estrictamente el protocolo de la Carta F5: primero la prueba de estanqueidad neumática (E-100) antes de energizar el sistema eléctrico, luego la prueba de vacío sin carga (E-110) antes de la prueba con carga de 500 g. Esta secuencia de aislamiento de subsistemas permitió identificar que la falla estaba en el subsistema neumático (fuga de racor) y no en el eléctrico ni en el mecánico, ahorrando horas de diagnóstico innecesario.</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17</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¿Cómo cambió su confianza para desarrollar proyectos de ingeniería?</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La confianza aumentó de manera sostenida, no de forma instantánea. </w:t>
            </w:r>
            <w:r>
              <w:rPr>
                <w:rFonts w:ascii="Arial" w:cs="Arial" w:eastAsia="Arial" w:hAnsi="Arial"/>
                <w:sz w:val="22"/>
                <w:szCs w:val="22"/>
              </w:rPr>
              <w:t xml:space="preserve">Al inicio del proyecto, la incertidumbre sobre si podríamos fabricar piezas con tolerancias ±0,1 mm en taller convencional era real. La primera pieza mecanizada (Base Ventosas, operaciones F-10 a F-90) tomó más tiempo del estimado y requirió una segunda pasada de fresado para alcanzar el espesor final de 20 mm. Este resultado inicial no generó desánimo sino </w:t>
            </w:r>
            <w:r>
              <w:rPr>
                <w:rFonts w:ascii="Arial" w:cs="Arial" w:eastAsia="Arial" w:hAnsi="Arial"/>
                <w:b/>
                <w:bCs/>
                <w:sz w:val="22"/>
                <w:szCs w:val="22"/>
              </w:rPr>
              <w:t xml:space="preserve">calibración de expectativas realistas </w:t>
            </w:r>
            <w:r>
              <w:rPr>
                <w:rFonts w:ascii="Arial" w:cs="Arial" w:eastAsia="Arial" w:hAnsi="Arial"/>
                <w:sz w:val="22"/>
                <w:szCs w:val="22"/>
              </w:rPr>
              <w:t xml:space="preserve">sobre tiempos, capacidades de máquina y necesidades de ajuste, que son exactamente los datos que necesita un ingeniero de manufactura profesional.</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sz w:val="22"/>
                <w:szCs w:val="22"/>
              </w:rPr>
              <w:t xml:space="preserve">El punto de inflexión de la confianza fue cuando el gripper ensamblado superó la prueba funcional completa (5 bar, 500 g, 36 s). En ese momento, el equipo comprobó de primera mano que </w:t>
            </w:r>
            <w:r>
              <w:rPr>
                <w:rFonts w:ascii="Arial" w:cs="Arial" w:eastAsia="Arial" w:hAnsi="Arial"/>
                <w:b/>
                <w:bCs/>
                <w:sz w:val="22"/>
                <w:szCs w:val="22"/>
              </w:rPr>
              <w:t xml:space="preserve">es posible llevar una idea desde un modelo CAD hasta un prototipo físico funcional con herramientas convencionales, metodología sistemática y trabajo en equipo, </w:t>
            </w:r>
            <w:r>
              <w:rPr>
                <w:rFonts w:ascii="Arial" w:cs="Arial" w:eastAsia="Arial" w:hAnsi="Arial"/>
                <w:sz w:val="22"/>
                <w:szCs w:val="22"/>
              </w:rPr>
              <w:t xml:space="preserve">sin necesidad de tecnología de última generación. Esta experiencia es transferible: si pudimos construir un gripper neumático controlado por ESP32 con un torno paralelo y una fresadora vertical, somos capaces de abordar proyectos de mayor complejidad en el contexto profesional.</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700"/>
        <w:gridCol w:w="8660"/>
      </w:tblGrid>
      <w:tr>
        <w:tc>
          <w:tcPr>
            <w:tcW w:type="dxa" w:w="700"/>
            <w:tcBorders>
              <w:top w:val="single" w:color="CCCCCC" w:sz="1"/>
              <w:left w:val="single" w:color="CCCCCC" w:sz="1"/>
              <w:bottom w:val="single" w:color="CCCCCC" w:sz="1"/>
              <w:right w:val="single" w:color="CCCCCC" w:sz="1"/>
            </w:tcBorders>
            <w:shd w:fill="003087"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18</w:t>
            </w:r>
          </w:p>
        </w:tc>
        <w:tc>
          <w:tcPr>
            <w:tcW w:type="dxa" w:w="86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200"/>
            </w:tcMar>
          </w:tcPr>
          <w:p>
            <w:r>
              <w:rPr>
                <w:rFonts w:ascii="Arial" w:cs="Arial" w:eastAsia="Arial" w:hAnsi="Arial"/>
                <w:b/>
                <w:bCs/>
                <w:color w:val="003087"/>
                <w:sz w:val="22"/>
                <w:szCs w:val="22"/>
              </w:rPr>
              <w:t xml:space="preserve">¿Qué lecciones consideran transferibles a otros cursos o contextos profesionales?</w:t>
            </w:r>
          </w:p>
        </w:tc>
      </w:tr>
      <w:tr>
        <w:tc>
          <w:tcPr>
            <w:tcW w:type="dxa" w:w="700"/>
            <w:tcBorders>
              <w:top w:val="single" w:color="CCCCCC" w:sz="1"/>
              <w:left w:val="single" w:color="CCCCCC" w:sz="1"/>
              <w:bottom w:val="single" w:color="CCCCCC" w:sz="1"/>
              <w:right w:val="single" w:color="CCCCCC" w:sz="1"/>
            </w:tcBorders>
            <w:shd w:fill="E8ECF3" w:val="clear"/>
            <w:tcMar>
              <w:top w:type="dxa" w:w="80"/>
              <w:left w:type="dxa" w:w="160"/>
              <w:bottom w:type="dxa" w:w="80"/>
              <w:right w:type="dxa" w:w="160"/>
            </w:tcMar>
          </w:tcPr>
          <w:p>
            <w:pPr>
              <w:jc w:val="center"/>
            </w:pPr>
            <w:r>
              <w:rPr>
                <w:rFonts w:ascii="Arial" w:cs="Arial" w:eastAsia="Arial" w:hAnsi="Arial"/>
                <w:b/>
                <w:bCs/>
                <w:color w:val="005BAA"/>
                <w:sz w:val="20"/>
                <w:szCs w:val="20"/>
              </w:rPr>
              <w:t xml:space="preserve">R/</w:t>
            </w:r>
          </w:p>
        </w:tc>
        <w:tc>
          <w:tcPr>
            <w:tcW w:type="dxa" w:w="8660"/>
            <w:tcBorders>
              <w:top w:val="single" w:color="CCCCCC" w:sz="1"/>
              <w:left w:val="single" w:color="CCCCCC" w:sz="1"/>
              <w:bottom w:val="single" w:color="CCCCCC" w:sz="1"/>
              <w:right w:val="single" w:color="CCCCCC" w:sz="1"/>
            </w:tcBorders>
            <w:shd w:fill="E8ECF3"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Cinco lecciones de transferibilidad alta identificadas. </w:t>
            </w:r>
            <w:r>
              <w:rPr>
                <w:rFonts w:ascii="Arial" w:cs="Arial" w:eastAsia="Arial" w:hAnsi="Arial"/>
                <w:b/>
                <w:bCs/>
                <w:sz w:val="22"/>
                <w:szCs w:val="22"/>
              </w:rPr>
              <w:t xml:space="preserve">Lección 1 – Documentar para aprender, no para cumplir: </w:t>
            </w:r>
            <w:r>
              <w:rPr>
                <w:rFonts w:ascii="Arial" w:cs="Arial" w:eastAsia="Arial" w:hAnsi="Arial"/>
                <w:sz w:val="22"/>
                <w:szCs w:val="22"/>
              </w:rPr>
              <w:t xml:space="preserve">los 21 registros QC del proyecto parecían excesivos al inicio; al final fueron la fuente que permitió diagnosticar el 100 % de las fallas detectadas. En cualquier proyecto de ingeniería, la documentación sistemática es la única garantía de aprendizaje acumulado y de no repetición de errores.</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Lección 2 – Iterar con datos, no con intuición: </w:t>
            </w:r>
            <w:r>
              <w:rPr>
                <w:rFonts w:ascii="Arial" w:cs="Arial" w:eastAsia="Arial" w:hAnsi="Arial"/>
                <w:sz w:val="22"/>
                <w:szCs w:val="22"/>
              </w:rPr>
              <w:t xml:space="preserve">cada ajuste al sistema (presión, par de apriete, secuencia de ensamble) se realizó con medición antes y después, no por percepción. Este hábito es transferible a cualquier proceso de mejora continua, desde el diseño de un producto hasta la optimización de un proceso administrativo.</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Lección 3 – El costo es una variable de diseño, no una consecuencia: </w:t>
            </w:r>
            <w:r>
              <w:rPr>
                <w:rFonts w:ascii="Arial" w:cs="Arial" w:eastAsia="Arial" w:hAnsi="Arial"/>
                <w:sz w:val="22"/>
                <w:szCs w:val="22"/>
              </w:rPr>
              <w:t xml:space="preserve">el análisis de tres fuentes de precios que redujo el costo en 34,6 % no fue un ejercicio de 'recortar gastos', sino de ingeniería de valor: encontrar la solución técnicamente equivalente al menor costo total. Esta mentalidad es fundamental en cualquier rol profesional donde los recursos son limitados.</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Lección 4 – La interdisciplinariedad es una competencia, no una cualidad: </w:t>
            </w:r>
            <w:r>
              <w:rPr>
                <w:rFonts w:ascii="Arial" w:cs="Arial" w:eastAsia="Arial" w:hAnsi="Arial"/>
                <w:sz w:val="22"/>
                <w:szCs w:val="22"/>
              </w:rPr>
              <w:t xml:space="preserve">integrar mecánica, neumática, electrónica y software en un sistema coherente requirió que cada integrante comprendiese suficientemente las otras disciplinas para comunicarse eficientemente. Esta competencia de 'entendimiento interfaz' es cada vez más valorada en equipos de ingeniería de producto.</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pPr>
              <w:jc w:val="center"/>
            </w:pPr>
            <w:r>
              <w:rPr>
                <w:rFonts w:ascii="Arial" w:cs="Arial" w:eastAsia="Arial" w:hAnsi="Arial"/>
                <w:sz w:val="22"/>
                <w:szCs w:val="22"/>
              </w:rPr>
              <w:t xml:space="preserve"/>
            </w:r>
          </w:p>
        </w:tc>
        <w:tc>
          <w:tcPr>
            <w:tcW w:type="dxa" w:w="8660"/>
            <w:tcBorders>
              <w:top w:val="single" w:color="CCCCCC" w:sz="1"/>
              <w:left w:val="single" w:color="CCCCCC" w:sz="1"/>
              <w:bottom w:val="single" w:color="CCCCCC" w:sz="1"/>
              <w:right w:val="single" w:color="CCCCCC" w:sz="1"/>
            </w:tcBorders>
            <w:shd w:fill="F5F7FA" w:val="clear"/>
            <w:tcMar>
              <w:top w:type="dxa" w:w="100"/>
              <w:left w:type="dxa" w:w="200"/>
              <w:bottom w:type="dxa" w:w="100"/>
              <w:right w:type="dxa" w:w="200"/>
            </w:tcMar>
          </w:tcPr>
          <w:p>
            <w:pPr>
              <w:spacing w:after="40" w:before="40"/>
              <w:jc w:val="both"/>
            </w:pPr>
            <w:r>
              <w:rPr>
                <w:rFonts w:ascii="Arial" w:cs="Arial" w:eastAsia="Arial" w:hAnsi="Arial"/>
                <w:b/>
                <w:bCs/>
                <w:sz w:val="22"/>
                <w:szCs w:val="22"/>
              </w:rPr>
              <w:t xml:space="preserve">Lección 5 – Validar supuestos antes de comprometerse: </w:t>
            </w:r>
            <w:r>
              <w:rPr>
                <w:rFonts w:ascii="Arial" w:cs="Arial" w:eastAsia="Arial" w:hAnsi="Arial"/>
                <w:sz w:val="22"/>
                <w:szCs w:val="22"/>
              </w:rPr>
              <w:t xml:space="preserve">el supuesto de 'línea de aire existente = costo cero' ahorró $650.000 de CAPEX en el proyecto; pero también requería verificación previa. Esta práctica de audit de supuestos —cuestionar antes de aceptar— es la base del pensamiento crítico en ingeniería y en gestión de proyectos.</w:t>
            </w:r>
          </w:p>
        </w:tc>
      </w:tr>
    </w:tbl>
    <w:p>
      <w:pPr>
        <w:spacing w:after="40" w:before="40"/>
      </w:pPr>
      <w:r>
        <w:rPr>
          <w:rFonts w:ascii="Arial" w:cs="Arial" w:eastAsia="Arial" w:hAnsi="Arial"/>
          <w:sz w:val="22"/>
          <w:szCs w:val="22"/>
        </w:rPr>
        <w:t xml:space="preserve"/>
      </w:r>
    </w:p>
    <w:p>
      <w:r>
        <w:br w:type="pag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BAA" w:sz="4" w:space="2"/>
      </w:pBdr>
      <w:tabs>
        <w:tab w:val="right" w:pos="9360"/>
      </w:tabs>
      <w:spacing w:after="0" w:before="0"/>
    </w:pPr>
    <w:r>
      <w:rPr>
        <w:rFonts w:ascii="Arial" w:cs="Arial" w:eastAsia="Arial" w:hAnsi="Arial"/>
        <w:color w:val="666666"/>
        <w:sz w:val="16"/>
        <w:szCs w:val="16"/>
      </w:rPr>
      <w:t xml:space="preserve">Reflexión y Evaluación de Aprendizaje — Gripper Neumático</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BAA" w:sz="6" w:space="2"/>
      </w:pBdr>
      <w:spacing w:after="0" w:before="0"/>
    </w:pPr>
    <w:r>
      <w:rPr>
        <w:rFonts w:ascii="Arial" w:cs="Arial" w:eastAsia="Arial" w:hAnsi="Arial"/>
        <w:color w:val="666666"/>
        <w:sz w:val="16"/>
        <w:szCs w:val="16"/>
      </w:rPr>
      <w:t xml:space="preserve">Universidad EAFIT — Diseño Metódico — Sistema Gripper Neumático — Fase 4</w:t>
    </w:r>
    <w:r>
      <w:rPr>
        <w:rFonts w:ascii="Arial" w:cs="Arial" w:eastAsia="Arial" w:hAnsi="Arial"/>
        <w:color w:val="666666"/>
        <w:sz w:val="16"/>
        <w:szCs w:val="16"/>
      </w:rPr>
      <w:t xml:space="preserve">      Grupo 6,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08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5BA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2026-05-16T01:55:23.002Z</dcterms:created>
  <dcterms:modified xsi:type="dcterms:W3CDTF">2026-05-16T01:55:23.003Z</dcterms:modified>
</cp:coreProperties>
</file>

<file path=docProps/custom.xml><?xml version="1.0" encoding="utf-8"?>
<Properties xmlns="http://schemas.openxmlformats.org/officeDocument/2006/custom-properties" xmlns:vt="http://schemas.openxmlformats.org/officeDocument/2006/docPropsVTypes"/>
</file>