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center"/>
      </w:pPr>
      <w:r>
        <w:rPr>
          <w:rFonts w:ascii="Arial" w:cs="Arial" w:eastAsia="Arial" w:hAnsi="Arial"/>
          <w:b/>
          <w:bCs/>
          <w:color w:val="1E3A8A"/>
          <w:sz w:val="36"/>
          <w:szCs w:val="36"/>
        </w:rPr>
        <w:t xml:space="preserve">GESTOCK — DOCUMENTO DE ARQUITECTURA DE SOFTWARE (DAS)</w:t>
      </w:r>
    </w:p>
    <w:p>
      <w:pPr>
        <w:spacing w:after="300"/>
        <w:jc w:val="center"/>
      </w:pPr>
      <w:r>
        <w:rPr>
          <w:rFonts w:ascii="Arial" w:cs="Arial" w:eastAsia="Arial" w:hAnsi="Arial"/>
          <w:b/>
          <w:bCs/>
          <w:color w:val="64748B"/>
          <w:sz w:val="22"/>
          <w:szCs w:val="22"/>
        </w:rPr>
        <w:t xml:space="preserve">Sistema Inteligente de Gestión de Inventarios &amp; POS Offline-First
Proyecto Aplicado de Título (APT — PTY4614) | Duoc UC | Versión 2.2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jc w:val="left"/>
            </w:pPr>
            <w:r>
              <w:rPr>
                <w:rFonts w:ascii="Arial" w:cs="Arial" w:eastAsia="Arial" w:hAnsi="Arial"/>
                <w:b/>
                <w:bCs/>
                <w:color w:val="FFFFFF"/>
                <w:sz w:val="19"/>
                <w:szCs w:val="19"/>
              </w:rPr>
              <w:t xml:space="preserve">Campo</w:t>
            </w:r>
          </w:p>
        </w:tc>
        <w:tc>
          <w:tcPr>
            <w:tcW w:type="pct" w:w="7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jc w:val="left"/>
            </w:pPr>
            <w:r>
              <w:rPr>
                <w:rFonts w:ascii="Arial" w:cs="Arial" w:eastAsia="Arial" w:hAnsi="Arial"/>
                <w:b/>
                <w:bCs/>
                <w:color w:val="FFFFFF"/>
                <w:sz w:val="19"/>
                <w:szCs w:val="19"/>
              </w:rPr>
              <w:t xml:space="preserve">Detalle Técnico</w:t>
            </w:r>
          </w:p>
        </w:tc>
      </w:tr>
      <w:tr>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bCs/>
                <w:color w:val="334155"/>
                <w:sz w:val="19"/>
                <w:szCs w:val="19"/>
              </w:rPr>
              <w:t xml:space="preserve">Proyecto</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GesTock — Retail POS &amp; Inventory Intelligence</w:t>
            </w:r>
          </w:p>
        </w:tc>
      </w:tr>
      <w:tr>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bCs/>
                <w:color w:val="334155"/>
                <w:sz w:val="19"/>
                <w:szCs w:val="19"/>
              </w:rPr>
              <w:t xml:space="preserve">Asignatura / Grado</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Proyecto Aplicado de Título (APT - PTY4614), Duoc UC</w:t>
            </w:r>
          </w:p>
        </w:tc>
      </w:tr>
      <w:tr>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bCs/>
                <w:color w:val="334155"/>
                <w:sz w:val="19"/>
                <w:szCs w:val="19"/>
              </w:rPr>
              <w:t xml:space="preserve">Líder de Proyecto / Arquitectura &amp; Backend</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Marcelo Alejandro Pino Valverde</w:t>
            </w:r>
          </w:p>
        </w:tc>
      </w:tr>
      <w:tr>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bCs/>
                <w:color w:val="334155"/>
                <w:sz w:val="19"/>
                <w:szCs w:val="19"/>
              </w:rPr>
              <w:t xml:space="preserve">Frontend Developer / Diseñador UX-UI</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David Miranda Tobar</w:t>
            </w:r>
          </w:p>
        </w:tc>
      </w:tr>
      <w:tr>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bCs/>
                <w:color w:val="334155"/>
                <w:sz w:val="19"/>
                <w:szCs w:val="19"/>
              </w:rPr>
              <w:t xml:space="preserve">Metodología de Desarrollo</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RUP (Rational Unified Process) iterativa, evolutiva y guiada por riesgos</w:t>
            </w:r>
          </w:p>
        </w:tc>
      </w:tr>
      <w:tr>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bCs/>
                <w:color w:val="334155"/>
                <w:sz w:val="19"/>
                <w:szCs w:val="19"/>
              </w:rPr>
              <w:t xml:space="preserve">Estándar Arquitectónico</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Modelo de Vistas 4+1 de Kruchten &amp; ISO/IEC 25010 (25 RNF)</w:t>
            </w:r>
          </w:p>
        </w:tc>
      </w:tr>
      <w:tr>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bCs/>
                <w:color w:val="334155"/>
                <w:sz w:val="19"/>
                <w:szCs w:val="19"/>
              </w:rPr>
              <w:t xml:space="preserve">Versión &amp; Estado</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Versión 2.2 — Edición Integral Definitiva (29 Tablas Relacionales)</w:t>
            </w:r>
          </w:p>
        </w:tc>
      </w:tr>
    </w:tbl>
    <w:p>
      <w:pPr>
        <w:pStyle w:val="Heading1"/>
        <w:spacing w:after="140" w:before="280"/>
      </w:pPr>
      <w:r>
        <w:rPr>
          <w:rFonts w:ascii="Arial" w:cs="Arial" w:eastAsia="Arial" w:hAnsi="Arial"/>
          <w:b/>
          <w:bCs/>
          <w:color w:val="1E3A8A"/>
          <w:sz w:val="28"/>
          <w:szCs w:val="28"/>
        </w:rPr>
        <w:t xml:space="preserve">1. Introducción y Objetivos del Sistema</w:t>
      </w:r>
    </w:p>
    <w:p>
      <w:pPr>
        <w:spacing w:after="120" w:line="276"/>
      </w:pPr>
      <w:r>
        <w:rPr>
          <w:rFonts w:ascii="Arial" w:cs="Arial" w:eastAsia="Arial" w:hAnsi="Arial"/>
          <w:color w:val="334155"/>
          <w:sz w:val="20"/>
          <w:szCs w:val="20"/>
        </w:rPr>
        <w:t xml:space="preserve">El presente documento define y formaliza la arquitectura de software de GesTock, detallando su estructura lógica, física, de datos y de procesos, así como la especificación exhaustiva de sus Requisitos Funcionales (RF) y los 25 Requisitos No Funcionales (RNF) bajo el estándar internacional ISO/IEC 25010. Constituye el artefacto central de ingeniería para la defensa de título y el desarrollo evolutivo del sistema.</w:t>
      </w:r>
    </w:p>
    <w:p>
      <w:pPr>
        <w:spacing w:after="120" w:line="276"/>
      </w:pPr>
      <w:r>
        <w:rPr>
          <w:rFonts w:ascii="Arial" w:cs="Arial" w:eastAsia="Arial" w:hAnsi="Arial"/>
          <w:color w:val="334155"/>
          <w:sz w:val="20"/>
          <w:szCs w:val="20"/>
        </w:rPr>
        <w:t xml:space="preserve">GesTock implementa una arquitectura híbrida Dual-Core (Cloud SaaS Multi-Tenant + Edge POS Offline-First) que resuelve la pérdida de ventas por caídas de internet en el retail minorista, automatiza la ingesta de mercadería mediante Gemini OCR y asegura el apego estricto a la normativa chilena (SII DTEs, Ley de Redondeo 20.956 sólo para efectivo, y trazabilidad FEFO D.S. 977/96).</w:t>
      </w:r>
    </w:p>
    <w:p>
      <w:pPr>
        <w:pStyle w:val="Heading1"/>
        <w:spacing w:after="140" w:before="280"/>
      </w:pPr>
      <w:r>
        <w:rPr>
          <w:rFonts w:ascii="Arial" w:cs="Arial" w:eastAsia="Arial" w:hAnsi="Arial"/>
          <w:b/>
          <w:bCs/>
          <w:color w:val="1E3A8A"/>
          <w:sz w:val="28"/>
          <w:szCs w:val="28"/>
        </w:rPr>
        <w:t xml:space="preserve">2. Requisitos Funcionales del Sistema (RF)</w:t>
      </w:r>
    </w:p>
    <w:p>
      <w:pPr>
        <w:pStyle w:val="Heading2"/>
        <w:spacing w:after="100" w:before="220"/>
      </w:pPr>
      <w:r>
        <w:rPr>
          <w:rFonts w:ascii="Arial" w:cs="Arial" w:eastAsia="Arial" w:hAnsi="Arial"/>
          <w:b/>
          <w:bCs/>
          <w:color w:val="0F172A"/>
          <w:sz w:val="24"/>
          <w:szCs w:val="24"/>
        </w:rPr>
        <w:t xml:space="preserve">2.1 Módulo: Autenticación &amp; Control de Acceso (RBAC)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jc w:val="left"/>
            </w:pPr>
            <w:r>
              <w:rPr>
                <w:rFonts w:ascii="Arial" w:cs="Arial" w:eastAsia="Arial" w:hAnsi="Arial"/>
                <w:b/>
                <w:bCs/>
                <w:color w:val="FFFFFF"/>
                <w:sz w:val="19"/>
                <w:szCs w:val="19"/>
              </w:rPr>
              <w:t xml:space="preserve">ID</w:t>
            </w:r>
          </w:p>
        </w:tc>
        <w:tc>
          <w:tcPr>
            <w:tcW w:type="pct" w:w="33%"/>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jc w:val="left"/>
            </w:pPr>
            <w:r>
              <w:rPr>
                <w:rFonts w:ascii="Arial" w:cs="Arial" w:eastAsia="Arial" w:hAnsi="Arial"/>
                <w:b/>
                <w:bCs/>
                <w:color w:val="FFFFFF"/>
                <w:sz w:val="19"/>
                <w:szCs w:val="19"/>
              </w:rPr>
              <w:t xml:space="preserve">Requisito Funcional</w:t>
            </w:r>
          </w:p>
        </w:tc>
        <w:tc>
          <w:tcPr>
            <w:tcW w:type="pct" w:w="43%"/>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jc w:val="left"/>
            </w:pPr>
            <w:r>
              <w:rPr>
                <w:rFonts w:ascii="Arial" w:cs="Arial" w:eastAsia="Arial" w:hAnsi="Arial"/>
                <w:b/>
                <w:bCs/>
                <w:color w:val="FFFFFF"/>
                <w:sz w:val="19"/>
                <w:szCs w:val="19"/>
              </w:rPr>
              <w:t xml:space="preserve">Descripción y Reglas de Negocio</w:t>
            </w:r>
          </w:p>
        </w:tc>
        <w:tc>
          <w:tcPr>
            <w:tcW w:type="pct" w:w="12%"/>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jc w:val="left"/>
            </w:pPr>
            <w:r>
              <w:rPr>
                <w:rFonts w:ascii="Arial" w:cs="Arial" w:eastAsia="Arial" w:hAnsi="Arial"/>
                <w:b/>
                <w:bCs/>
                <w:color w:val="FFFFFF"/>
                <w:sz w:val="19"/>
                <w:szCs w:val="19"/>
              </w:rPr>
              <w:t xml:space="preserve">Prioridad</w:t>
            </w:r>
          </w:p>
        </w:tc>
      </w:tr>
      <w:tr>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bCs/>
                <w:color w:val="334155"/>
                <w:sz w:val="19"/>
                <w:szCs w:val="19"/>
              </w:rPr>
              <w:t xml:space="preserve">RF-01</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Login JWT Seguro [Obj. F2]</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POST /auth/login. Retorna JWT (24h) y perfil. Error 401 unificado anti-enumeración. Sin password_hash. Frontend integrado y backend verificado.</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bCs/>
                <w:color w:val="DC2626"/>
                <w:sz w:val="19"/>
                <w:szCs w:val="19"/>
              </w:rPr>
              <w:t xml:space="preserve">Crítica</w:t>
            </w:r>
          </w:p>
        </w:tc>
      </w:tr>
      <w:tr>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bCs/>
                <w:color w:val="334155"/>
                <w:sz w:val="19"/>
                <w:szCs w:val="19"/>
              </w:rPr>
              <w:t xml:space="preserve">RF-02</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Registro de Usuarios [Obj. F2]</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POST /auth/register y GET /auth/users. Asignación de rol (admin/cajero). Restringido a rol Admin bajo RBAC. Clave Bcrypt (salt 10, &gt;=8 chars). UNIQUE(tenant, email). Opera siempre sobre el tenant del token. Cambio de contraseña propia con PUT /auth/password.</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bCs/>
                <w:color w:val="DC2626"/>
                <w:sz w:val="19"/>
                <w:szCs w:val="19"/>
              </w:rPr>
              <w:t xml:space="preserve">Crítica</w:t>
            </w:r>
          </w:p>
        </w:tc>
      </w:tr>
      <w:tr>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bCs/>
                <w:color w:val="334155"/>
                <w:sz w:val="19"/>
                <w:szCs w:val="19"/>
              </w:rPr>
              <w:t xml:space="preserve">RF-03</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Verif. Sesión [Obj. F2]</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GET /auth/me. Valida cabecera Authorization: Bearer &lt;token&gt; para reanudación de sesión en recarga. Backend verificado.</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Alta</w:t>
            </w:r>
          </w:p>
        </w:tc>
      </w:tr>
      <w:tr>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bCs/>
                <w:color w:val="334155"/>
                <w:sz w:val="19"/>
                <w:szCs w:val="19"/>
              </w:rPr>
              <w:t xml:space="preserve">RF-04</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Matriz de Roles RBAC</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Cajero accede a 6 vistas de mostrador. Admin accede a 11 vistas completas (Dashboard, OCR, SII, ROP, etc.).</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bCs/>
                <w:color w:val="DC2626"/>
                <w:sz w:val="19"/>
                <w:szCs w:val="19"/>
              </w:rPr>
              <w:t xml:space="preserve">Crítica</w:t>
            </w:r>
          </w:p>
        </w:tc>
      </w:tr>
      <w:tr>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bCs/>
                <w:color w:val="334155"/>
                <w:sz w:val="19"/>
                <w:szCs w:val="19"/>
              </w:rPr>
              <w:t xml:space="preserve">RF-05</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Protección Perimetral [Obj. F2]</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Middleware de autenticación para la API v1 (excepto login). Secure-by-default en producción (NODE_ENV=production salvo AUTH_DISABLED=true); configurable con ENFORCE_AUTH=true en dev. Rutas admin con 403 al cajero, salvo las DTE del comprobante de venta (GET /dte/config, /dte/list, /dte/:id/receipt, /dte/:id/xml y POST /dte/send-email).</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bCs/>
                <w:color w:val="DC2626"/>
                <w:sz w:val="19"/>
                <w:szCs w:val="19"/>
              </w:rPr>
              <w:t xml:space="preserve">Crítica</w:t>
            </w:r>
          </w:p>
        </w:tc>
      </w:tr>
    </w:tbl>
    <w:p>
      <w:pPr>
        <w:pStyle w:val="Heading2"/>
        <w:spacing w:after="100" w:before="220"/>
      </w:pPr>
      <w:r>
        <w:rPr>
          <w:rFonts w:ascii="Arial" w:cs="Arial" w:eastAsia="Arial" w:hAnsi="Arial"/>
          <w:b/>
          <w:bCs/>
          <w:color w:val="0F172A"/>
          <w:sz w:val="24"/>
          <w:szCs w:val="24"/>
        </w:rPr>
        <w:t xml:space="preserve">2.2 Módulo: Punto de Venta (POS) &amp; Checkout de Mostrador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jc w:val="left"/>
            </w:pPr>
            <w:r>
              <w:rPr>
                <w:rFonts w:ascii="Arial" w:cs="Arial" w:eastAsia="Arial" w:hAnsi="Arial"/>
                <w:b/>
                <w:bCs/>
                <w:color w:val="FFFFFF"/>
                <w:sz w:val="19"/>
                <w:szCs w:val="19"/>
              </w:rPr>
              <w:t xml:space="preserve">ID</w:t>
            </w:r>
          </w:p>
        </w:tc>
        <w:tc>
          <w:tcPr>
            <w:tcW w:type="pct" w:w="33%"/>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jc w:val="left"/>
            </w:pPr>
            <w:r>
              <w:rPr>
                <w:rFonts w:ascii="Arial" w:cs="Arial" w:eastAsia="Arial" w:hAnsi="Arial"/>
                <w:b/>
                <w:bCs/>
                <w:color w:val="FFFFFF"/>
                <w:sz w:val="19"/>
                <w:szCs w:val="19"/>
              </w:rPr>
              <w:t xml:space="preserve">Requisito Funcional</w:t>
            </w:r>
          </w:p>
        </w:tc>
        <w:tc>
          <w:tcPr>
            <w:tcW w:type="pct" w:w="43%"/>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jc w:val="left"/>
            </w:pPr>
            <w:r>
              <w:rPr>
                <w:rFonts w:ascii="Arial" w:cs="Arial" w:eastAsia="Arial" w:hAnsi="Arial"/>
                <w:b/>
                <w:bCs/>
                <w:color w:val="FFFFFF"/>
                <w:sz w:val="19"/>
                <w:szCs w:val="19"/>
              </w:rPr>
              <w:t xml:space="preserve">Descripción y Reglas de Negocio</w:t>
            </w:r>
          </w:p>
        </w:tc>
        <w:tc>
          <w:tcPr>
            <w:tcW w:type="pct" w:w="12%"/>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jc w:val="left"/>
            </w:pPr>
            <w:r>
              <w:rPr>
                <w:rFonts w:ascii="Arial" w:cs="Arial" w:eastAsia="Arial" w:hAnsi="Arial"/>
                <w:b/>
                <w:bCs/>
                <w:color w:val="FFFFFF"/>
                <w:sz w:val="19"/>
                <w:szCs w:val="19"/>
              </w:rPr>
              <w:t xml:space="preserve">Prioridad</w:t>
            </w:r>
          </w:p>
        </w:tc>
      </w:tr>
      <w:tr>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bCs/>
                <w:color w:val="334155"/>
                <w:sz w:val="19"/>
                <w:szCs w:val="19"/>
              </w:rPr>
              <w:t xml:space="preserve">RF-06</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Búsqueda Instantánea</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Lectura EAN-13 o texto con latencia &lt; 15 ms sobre el catálogo local SQLite.</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bCs/>
                <w:color w:val="DC2626"/>
                <w:sz w:val="19"/>
                <w:szCs w:val="19"/>
              </w:rPr>
              <w:t xml:space="preserve">Crítica</w:t>
            </w:r>
          </w:p>
        </w:tc>
      </w:tr>
      <w:tr>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bCs/>
                <w:color w:val="334155"/>
                <w:sz w:val="19"/>
                <w:szCs w:val="19"/>
              </w:rPr>
              <w:t xml:space="preserve">RF-07</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Carrito Reactivo</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Gestión de ítems, cantidades, descuentos autorizados e IVA (19%) en vivo.</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bCs/>
                <w:color w:val="DC2626"/>
                <w:sz w:val="19"/>
                <w:szCs w:val="19"/>
              </w:rPr>
              <w:t xml:space="preserve">Crítica</w:t>
            </w:r>
          </w:p>
        </w:tc>
      </w:tr>
      <w:tr>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bCs/>
                <w:color w:val="334155"/>
                <w:sz w:val="19"/>
                <w:szCs w:val="19"/>
              </w:rPr>
              <w:t xml:space="preserve">RF-08</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Checkout Multi-Método</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Pagos combinados (Efectivo, Débito, Crédito, QR, RutPay) en una sola venta.</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bCs/>
                <w:color w:val="DC2626"/>
                <w:sz w:val="19"/>
                <w:szCs w:val="19"/>
              </w:rPr>
              <w:t xml:space="preserve">Crítica</w:t>
            </w:r>
          </w:p>
        </w:tc>
      </w:tr>
      <w:tr>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bCs/>
                <w:color w:val="334155"/>
                <w:sz w:val="19"/>
                <w:szCs w:val="19"/>
              </w:rPr>
              <w:t xml:space="preserve">RF-09</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Redondeo Ley 20.956</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Aplica EXCLUSIVAMENTE a pagos en EFECTIVO (1-4 abajo, 5-9 arriba). Pagos electrónicos cobran monto exacto.</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bCs/>
                <w:color w:val="DC2626"/>
                <w:sz w:val="19"/>
                <w:szCs w:val="19"/>
              </w:rPr>
              <w:t xml:space="preserve">Crítica</w:t>
            </w:r>
          </w:p>
        </w:tc>
      </w:tr>
      <w:tr>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bCs/>
                <w:color w:val="334155"/>
                <w:sz w:val="19"/>
                <w:szCs w:val="19"/>
              </w:rPr>
              <w:t xml:space="preserve">RF-10</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Boleta / Comprobante</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Generación de ticket térmico fiscal con desglose, vuelto y código verificador.</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bCs/>
                <w:color w:val="DC2626"/>
                <w:sz w:val="19"/>
                <w:szCs w:val="19"/>
              </w:rPr>
              <w:t xml:space="preserve">Crítica</w:t>
            </w:r>
          </w:p>
        </w:tc>
      </w:tr>
      <w:tr>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bCs/>
                <w:color w:val="334155"/>
                <w:sz w:val="19"/>
                <w:szCs w:val="19"/>
              </w:rPr>
              <w:t xml:space="preserve">RF-12</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Devoluciones / Anulaciones</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POST /pos/devolucion con es_devolucion = 1, referencia_venta_id y emisión de Nota de Crédito DTE 61.</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Alta</w:t>
            </w:r>
          </w:p>
        </w:tc>
      </w:tr>
      <w:tr>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bCs/>
                <w:color w:val="334155"/>
                <w:sz w:val="19"/>
                <w:szCs w:val="19"/>
              </w:rPr>
              <w:t xml:space="preserve">RF-13</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Registro de Mermas</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POST /pos/mermas atómico en tabla mermas y Kardex con motivo y usuario. Exportación a CSV.</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Alta</w:t>
            </w:r>
          </w:p>
        </w:tc>
      </w:tr>
      <w:tr>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bCs/>
                <w:color w:val="334155"/>
                <w:sz w:val="19"/>
                <w:szCs w:val="19"/>
              </w:rPr>
              <w:t xml:space="preserve">RF-14</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Historial de Transacciones</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Ventas de la sesión con campos es_devolucion, referencia_venta_id, producto_id y estado is_dirty.</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Media</w:t>
            </w:r>
          </w:p>
        </w:tc>
      </w:tr>
    </w:tbl>
    <w:p>
      <w:pPr>
        <w:pStyle w:val="Heading2"/>
        <w:spacing w:after="100" w:before="220"/>
      </w:pPr>
      <w:r>
        <w:rPr>
          <w:rFonts w:ascii="Arial" w:cs="Arial" w:eastAsia="Arial" w:hAnsi="Arial"/>
          <w:b/>
          <w:bCs/>
          <w:color w:val="0F172A"/>
          <w:sz w:val="24"/>
          <w:szCs w:val="24"/>
        </w:rPr>
        <w:t xml:space="preserve">2.3 Módulo: Control de Caja &amp; Arqueo Z</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jc w:val="left"/>
            </w:pPr>
            <w:r>
              <w:rPr>
                <w:rFonts w:ascii="Arial" w:cs="Arial" w:eastAsia="Arial" w:hAnsi="Arial"/>
                <w:b/>
                <w:bCs/>
                <w:color w:val="FFFFFF"/>
                <w:sz w:val="19"/>
                <w:szCs w:val="19"/>
              </w:rPr>
              <w:t xml:space="preserve">ID</w:t>
            </w:r>
          </w:p>
        </w:tc>
        <w:tc>
          <w:tcPr>
            <w:tcW w:type="pct" w:w="33%"/>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jc w:val="left"/>
            </w:pPr>
            <w:r>
              <w:rPr>
                <w:rFonts w:ascii="Arial" w:cs="Arial" w:eastAsia="Arial" w:hAnsi="Arial"/>
                <w:b/>
                <w:bCs/>
                <w:color w:val="FFFFFF"/>
                <w:sz w:val="19"/>
                <w:szCs w:val="19"/>
              </w:rPr>
              <w:t xml:space="preserve">Requisito Funcional</w:t>
            </w:r>
          </w:p>
        </w:tc>
        <w:tc>
          <w:tcPr>
            <w:tcW w:type="pct" w:w="43%"/>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jc w:val="left"/>
            </w:pPr>
            <w:r>
              <w:rPr>
                <w:rFonts w:ascii="Arial" w:cs="Arial" w:eastAsia="Arial" w:hAnsi="Arial"/>
                <w:b/>
                <w:bCs/>
                <w:color w:val="FFFFFF"/>
                <w:sz w:val="19"/>
                <w:szCs w:val="19"/>
              </w:rPr>
              <w:t xml:space="preserve">Descripción y Reglas de Negocio</w:t>
            </w:r>
          </w:p>
        </w:tc>
        <w:tc>
          <w:tcPr>
            <w:tcW w:type="pct" w:w="12%"/>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jc w:val="left"/>
            </w:pPr>
            <w:r>
              <w:rPr>
                <w:rFonts w:ascii="Arial" w:cs="Arial" w:eastAsia="Arial" w:hAnsi="Arial"/>
                <w:b/>
                <w:bCs/>
                <w:color w:val="FFFFFF"/>
                <w:sz w:val="19"/>
                <w:szCs w:val="19"/>
              </w:rPr>
              <w:t xml:space="preserve">Prioridad</w:t>
            </w:r>
          </w:p>
        </w:tc>
      </w:tr>
      <w:tr>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bCs/>
                <w:color w:val="334155"/>
                <w:sz w:val="19"/>
                <w:szCs w:val="19"/>
              </w:rPr>
              <w:t xml:space="preserve">RF-16</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Apertura de Turno</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Apertura con fondo inicial de efectivo (sencillo), fecha/hora y cajero asignado.</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bCs/>
                <w:color w:val="DC2626"/>
                <w:sz w:val="19"/>
                <w:szCs w:val="19"/>
              </w:rPr>
              <w:t xml:space="preserve">Crítica</w:t>
            </w:r>
          </w:p>
        </w:tc>
      </w:tr>
      <w:tr>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bCs/>
                <w:color w:val="334155"/>
                <w:sz w:val="19"/>
                <w:szCs w:val="19"/>
              </w:rPr>
              <w:t xml:space="preserve">RF-18</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Arqueo Ciego</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Declaración de efectivo por el cajero sin conocer el saldo acumulado en sistema.</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Alta</w:t>
            </w:r>
          </w:p>
        </w:tc>
      </w:tr>
      <w:tr>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bCs/>
                <w:color w:val="334155"/>
                <w:sz w:val="19"/>
                <w:szCs w:val="19"/>
              </w:rPr>
              <w:t xml:space="preserve">RF-19</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Balance Z y RutPay</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Cálculo de sobrantes/faltantes. RutPay separado en ventas_rutpay de la gaveta de efectivo físico.</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bCs/>
                <w:color w:val="DC2626"/>
                <w:sz w:val="19"/>
                <w:szCs w:val="19"/>
              </w:rPr>
              <w:t xml:space="preserve">Crítica</w:t>
            </w:r>
          </w:p>
        </w:tc>
      </w:tr>
      <w:tr>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bCs/>
                <w:color w:val="334155"/>
                <w:sz w:val="19"/>
                <w:szCs w:val="19"/>
              </w:rPr>
              <w:t xml:space="preserve">RF-20</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Desglose Impuesto ILA</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Reporte del impuesto adicional ILA acumulado en ventas de bebidas y licores del turno.</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Media</w:t>
            </w:r>
          </w:p>
        </w:tc>
      </w:tr>
      <w:tr>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bCs/>
                <w:color w:val="334155"/>
                <w:sz w:val="19"/>
                <w:szCs w:val="19"/>
              </w:rPr>
              <w:t xml:space="preserve">RF-21</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Historial de Cierres</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Consulta de cierres históricos por fecha y cajero para auditoría contable.</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Media</w:t>
            </w:r>
          </w:p>
        </w:tc>
      </w:tr>
    </w:tbl>
    <w:p>
      <w:pPr>
        <w:pStyle w:val="Heading2"/>
        <w:spacing w:after="100" w:before="220"/>
      </w:pPr>
      <w:r>
        <w:rPr>
          <w:rFonts w:ascii="Arial" w:cs="Arial" w:eastAsia="Arial" w:hAnsi="Arial"/>
          <w:b/>
          <w:bCs/>
          <w:color w:val="0F172A"/>
          <w:sz w:val="24"/>
          <w:szCs w:val="24"/>
        </w:rPr>
        <w:t xml:space="preserve">2.4 Módulo: Inventario, Kardex FEFO y Facturación DTE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jc w:val="left"/>
            </w:pPr>
            <w:r>
              <w:rPr>
                <w:rFonts w:ascii="Arial" w:cs="Arial" w:eastAsia="Arial" w:hAnsi="Arial"/>
                <w:b/>
                <w:bCs/>
                <w:color w:val="FFFFFF"/>
                <w:sz w:val="19"/>
                <w:szCs w:val="19"/>
              </w:rPr>
              <w:t xml:space="preserve">ID</w:t>
            </w:r>
          </w:p>
        </w:tc>
        <w:tc>
          <w:tcPr>
            <w:tcW w:type="pct" w:w="33%"/>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jc w:val="left"/>
            </w:pPr>
            <w:r>
              <w:rPr>
                <w:rFonts w:ascii="Arial" w:cs="Arial" w:eastAsia="Arial" w:hAnsi="Arial"/>
                <w:b/>
                <w:bCs/>
                <w:color w:val="FFFFFF"/>
                <w:sz w:val="19"/>
                <w:szCs w:val="19"/>
              </w:rPr>
              <w:t xml:space="preserve">Requisito Funcional</w:t>
            </w:r>
          </w:p>
        </w:tc>
        <w:tc>
          <w:tcPr>
            <w:tcW w:type="pct" w:w="43%"/>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jc w:val="left"/>
            </w:pPr>
            <w:r>
              <w:rPr>
                <w:rFonts w:ascii="Arial" w:cs="Arial" w:eastAsia="Arial" w:hAnsi="Arial"/>
                <w:b/>
                <w:bCs/>
                <w:color w:val="FFFFFF"/>
                <w:sz w:val="19"/>
                <w:szCs w:val="19"/>
              </w:rPr>
              <w:t xml:space="preserve">Descripción y Reglas de Negocio</w:t>
            </w:r>
          </w:p>
        </w:tc>
        <w:tc>
          <w:tcPr>
            <w:tcW w:type="pct" w:w="12%"/>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jc w:val="left"/>
            </w:pPr>
            <w:r>
              <w:rPr>
                <w:rFonts w:ascii="Arial" w:cs="Arial" w:eastAsia="Arial" w:hAnsi="Arial"/>
                <w:b/>
                <w:bCs/>
                <w:color w:val="FFFFFF"/>
                <w:sz w:val="19"/>
                <w:szCs w:val="19"/>
              </w:rPr>
              <w:t xml:space="preserve">Prioridad</w:t>
            </w:r>
          </w:p>
        </w:tc>
      </w:tr>
      <w:tr>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bCs/>
                <w:color w:val="334155"/>
                <w:sz w:val="19"/>
                <w:szCs w:val="19"/>
              </w:rPr>
              <w:t xml:space="preserve">RF-24/25</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Lotes y Semáforo FEFO</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Salida FEFO (D.S. 977/96 MINSAL) y alertas visuales: Rojo (&lt;7d), Amarillo (8-30d), Verde (&gt;30d).</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bCs/>
                <w:color w:val="DC2626"/>
                <w:sz w:val="19"/>
                <w:szCs w:val="19"/>
              </w:rPr>
              <w:t xml:space="preserve">Crítica</w:t>
            </w:r>
          </w:p>
        </w:tc>
      </w:tr>
      <w:tr>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bCs/>
                <w:color w:val="334155"/>
                <w:sz w:val="19"/>
                <w:szCs w:val="19"/>
              </w:rPr>
              <w:t xml:space="preserve">RF-26</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Kardex Atómico (6 Tipos)</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CHECK estricto: venta, ingreso_factura, ajuste, alta_inicial, ajuste_manual, merma.</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bCs/>
                <w:color w:val="DC2626"/>
                <w:sz w:val="19"/>
                <w:szCs w:val="19"/>
              </w:rPr>
              <w:t xml:space="preserve">Crítica</w:t>
            </w:r>
          </w:p>
        </w:tc>
      </w:tr>
      <w:tr>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bCs/>
                <w:color w:val="334155"/>
                <w:sz w:val="19"/>
                <w:szCs w:val="19"/>
              </w:rPr>
              <w:t xml:space="preserve">RF-27</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CRUD de Productos</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Creación, edición y ajuste de stock encapsulados en transacciones withTransaction.</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bCs/>
                <w:color w:val="DC2626"/>
                <w:sz w:val="19"/>
                <w:szCs w:val="19"/>
              </w:rPr>
              <w:t xml:space="preserve">Crítica</w:t>
            </w:r>
          </w:p>
        </w:tc>
      </w:tr>
      <w:tr>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bCs/>
                <w:color w:val="334155"/>
                <w:sz w:val="19"/>
                <w:szCs w:val="19"/>
              </w:rPr>
              <w:t xml:space="preserve">RF-31/33</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DTEs y Timbre TED</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Emisión Boleta 39/41, Factura 33/34 con folios CAF, firma RSA y código PDF417.</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bCs/>
                <w:color w:val="DC2626"/>
                <w:sz w:val="19"/>
                <w:szCs w:val="19"/>
              </w:rPr>
              <w:t xml:space="preserve">Crítica</w:t>
            </w:r>
          </w:p>
        </w:tc>
      </w:tr>
      <w:tr>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bCs/>
                <w:color w:val="334155"/>
                <w:sz w:val="19"/>
                <w:szCs w:val="19"/>
              </w:rPr>
              <w:t xml:space="preserve">RF-35</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Reporte Diario RCOF</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Consolidación y envío nocturno de boletas offline para el SII (Res. 74/2020).</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bCs/>
                <w:color w:val="DC2626"/>
                <w:sz w:val="19"/>
                <w:szCs w:val="19"/>
              </w:rPr>
              <w:t xml:space="preserve">Crítica</w:t>
            </w:r>
          </w:p>
        </w:tc>
      </w:tr>
    </w:tbl>
    <w:p>
      <w:pPr>
        <w:pStyle w:val="Heading2"/>
        <w:spacing w:after="100" w:before="220"/>
      </w:pPr>
      <w:r>
        <w:rPr>
          <w:rFonts w:ascii="Arial" w:cs="Arial" w:eastAsia="Arial" w:hAnsi="Arial"/>
          <w:b/>
          <w:bCs/>
          <w:color w:val="0F172A"/>
          <w:sz w:val="24"/>
          <w:szCs w:val="24"/>
        </w:rPr>
        <w:t xml:space="preserve">2.5 Módulo: Ingesta OCR con IA (Gemini) &amp; Resiliencia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jc w:val="left"/>
            </w:pPr>
            <w:r>
              <w:rPr>
                <w:rFonts w:ascii="Arial" w:cs="Arial" w:eastAsia="Arial" w:hAnsi="Arial"/>
                <w:b/>
                <w:bCs/>
                <w:color w:val="FFFFFF"/>
                <w:sz w:val="19"/>
                <w:szCs w:val="19"/>
              </w:rPr>
              <w:t xml:space="preserve">ID</w:t>
            </w:r>
          </w:p>
        </w:tc>
        <w:tc>
          <w:tcPr>
            <w:tcW w:type="pct" w:w="33%"/>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jc w:val="left"/>
            </w:pPr>
            <w:r>
              <w:rPr>
                <w:rFonts w:ascii="Arial" w:cs="Arial" w:eastAsia="Arial" w:hAnsi="Arial"/>
                <w:b/>
                <w:bCs/>
                <w:color w:val="FFFFFF"/>
                <w:sz w:val="19"/>
                <w:szCs w:val="19"/>
              </w:rPr>
              <w:t xml:space="preserve">Requisito Funcional</w:t>
            </w:r>
          </w:p>
        </w:tc>
        <w:tc>
          <w:tcPr>
            <w:tcW w:type="pct" w:w="43%"/>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jc w:val="left"/>
            </w:pPr>
            <w:r>
              <w:rPr>
                <w:rFonts w:ascii="Arial" w:cs="Arial" w:eastAsia="Arial" w:hAnsi="Arial"/>
                <w:b/>
                <w:bCs/>
                <w:color w:val="FFFFFF"/>
                <w:sz w:val="19"/>
                <w:szCs w:val="19"/>
              </w:rPr>
              <w:t xml:space="preserve">Descripción y Reglas de Negocio</w:t>
            </w:r>
          </w:p>
        </w:tc>
        <w:tc>
          <w:tcPr>
            <w:tcW w:type="pct" w:w="12%"/>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jc w:val="left"/>
            </w:pPr>
            <w:r>
              <w:rPr>
                <w:rFonts w:ascii="Arial" w:cs="Arial" w:eastAsia="Arial" w:hAnsi="Arial"/>
                <w:b/>
                <w:bCs/>
                <w:color w:val="FFFFFF"/>
                <w:sz w:val="19"/>
                <w:szCs w:val="19"/>
              </w:rPr>
              <w:t xml:space="preserve">Prioridad</w:t>
            </w:r>
          </w:p>
        </w:tc>
      </w:tr>
      <w:tr>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bCs/>
                <w:color w:val="334155"/>
                <w:sz w:val="19"/>
                <w:szCs w:val="19"/>
              </w:rPr>
              <w:t xml:space="preserve">RF-39</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Gemini OCR (gemini-3.5-flash)</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Extracción estructurada en JSON con Google AI Studio. Timeout de escaneo de 60 segundos.</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bCs/>
                <w:color w:val="DC2626"/>
                <w:sz w:val="19"/>
                <w:szCs w:val="19"/>
              </w:rPr>
              <w:t xml:space="preserve">Crítica</w:t>
            </w:r>
          </w:p>
        </w:tc>
      </w:tr>
      <w:tr>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bCs/>
                <w:color w:val="334155"/>
                <w:sz w:val="19"/>
                <w:szCs w:val="19"/>
              </w:rPr>
              <w:t xml:space="preserve">RF-40</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Reintentos con Backoff</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Hasta 3 reintentos progresivos (1s, 2s) ante fallas transitorias 503/429 antes de pasar a fallback.</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Alta</w:t>
            </w:r>
          </w:p>
        </w:tc>
      </w:tr>
      <w:tr>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bCs/>
                <w:color w:val="334155"/>
                <w:sz w:val="19"/>
                <w:szCs w:val="19"/>
              </w:rPr>
              <w:t xml:space="preserve">RF-41</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Extractor Nativo Local</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Procesamiento de PDFs vectoriales con pdf-parse en 0.11 s sin necesidad de internet.</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Alta</w:t>
            </w:r>
          </w:p>
        </w:tc>
      </w:tr>
      <w:tr>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bCs/>
                <w:color w:val="334155"/>
                <w:sz w:val="19"/>
                <w:szCs w:val="19"/>
              </w:rPr>
              <w:t xml:space="preserve">RF-42</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Política Anti-Datos Ficticios</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Si hay API Key y fallan ambos motores reales, retorna HTTP 422. PROHIBIDO inventar facturas con mock.</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bCs/>
                <w:color w:val="DC2626"/>
                <w:sz w:val="19"/>
                <w:szCs w:val="19"/>
              </w:rPr>
              <w:t xml:space="preserve">Crítica</w:t>
            </w:r>
          </w:p>
        </w:tc>
      </w:tr>
      <w:tr>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bCs/>
                <w:color w:val="334155"/>
                <w:sz w:val="19"/>
                <w:szCs w:val="19"/>
              </w:rPr>
              <w:t xml:space="preserve">RF-43</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Facturas Offline-First</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Fotos sin texto digital se encolan en estado PENDIENTE_OCR para procesarse al volver internet.</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Alta</w:t>
            </w:r>
          </w:p>
        </w:tc>
      </w:tr>
      <w:tr>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bCs/>
                <w:color w:val="334155"/>
                <w:sz w:val="19"/>
                <w:szCs w:val="19"/>
              </w:rPr>
              <w:t xml:space="preserve">RF-44</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Confirmación Atómica</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POST /invoices/confirm soporta total_factura/total y garantiza persistido_local: true.</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bCs/>
                <w:color w:val="DC2626"/>
                <w:sz w:val="19"/>
                <w:szCs w:val="19"/>
              </w:rPr>
              <w:t xml:space="preserve">Crítica</w:t>
            </w:r>
          </w:p>
        </w:tc>
      </w:tr>
    </w:tbl>
    <w:p>
      <w:pPr>
        <w:pStyle w:val="Heading2"/>
        <w:spacing w:after="100" w:before="220"/>
      </w:pPr>
      <w:r>
        <w:rPr>
          <w:rFonts w:ascii="Arial" w:cs="Arial" w:eastAsia="Arial" w:hAnsi="Arial"/>
          <w:b/>
          <w:bCs/>
          <w:color w:val="0F172A"/>
          <w:sz w:val="24"/>
          <w:szCs w:val="24"/>
        </w:rPr>
        <w:t xml:space="preserve">2.6 Módulo: Reabastecimiento ROP &amp; Operaciones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jc w:val="left"/>
            </w:pPr>
            <w:r>
              <w:rPr>
                <w:rFonts w:ascii="Arial" w:cs="Arial" w:eastAsia="Arial" w:hAnsi="Arial"/>
                <w:b/>
                <w:bCs/>
                <w:color w:val="FFFFFF"/>
                <w:sz w:val="19"/>
                <w:szCs w:val="19"/>
              </w:rPr>
              <w:t xml:space="preserve">ID</w:t>
            </w:r>
          </w:p>
        </w:tc>
        <w:tc>
          <w:tcPr>
            <w:tcW w:type="pct" w:w="33%"/>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jc w:val="left"/>
            </w:pPr>
            <w:r>
              <w:rPr>
                <w:rFonts w:ascii="Arial" w:cs="Arial" w:eastAsia="Arial" w:hAnsi="Arial"/>
                <w:b/>
                <w:bCs/>
                <w:color w:val="FFFFFF"/>
                <w:sz w:val="19"/>
                <w:szCs w:val="19"/>
              </w:rPr>
              <w:t xml:space="preserve">Requisito Funcional</w:t>
            </w:r>
          </w:p>
        </w:tc>
        <w:tc>
          <w:tcPr>
            <w:tcW w:type="pct" w:w="43%"/>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jc w:val="left"/>
            </w:pPr>
            <w:r>
              <w:rPr>
                <w:rFonts w:ascii="Arial" w:cs="Arial" w:eastAsia="Arial" w:hAnsi="Arial"/>
                <w:b/>
                <w:bCs/>
                <w:color w:val="FFFFFF"/>
                <w:sz w:val="19"/>
                <w:szCs w:val="19"/>
              </w:rPr>
              <w:t xml:space="preserve">Descripción y Reglas de Negocio</w:t>
            </w:r>
          </w:p>
        </w:tc>
        <w:tc>
          <w:tcPr>
            <w:tcW w:type="pct" w:w="12%"/>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jc w:val="left"/>
            </w:pPr>
            <w:r>
              <w:rPr>
                <w:rFonts w:ascii="Arial" w:cs="Arial" w:eastAsia="Arial" w:hAnsi="Arial"/>
                <w:b/>
                <w:bCs/>
                <w:color w:val="FFFFFF"/>
                <w:sz w:val="19"/>
                <w:szCs w:val="19"/>
              </w:rPr>
              <w:t xml:space="preserve">Prioridad</w:t>
            </w:r>
          </w:p>
        </w:tc>
      </w:tr>
      <w:tr>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bCs/>
                <w:color w:val="334155"/>
                <w:sz w:val="19"/>
                <w:szCs w:val="19"/>
              </w:rPr>
              <w:t xml:space="preserve">RF-45</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ROP Consulta Pura (GET)</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GET /replenishment/suggest calcula en memoria sin escribir en purchase_orders (idempotente).</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bCs/>
                <w:color w:val="DC2626"/>
                <w:sz w:val="19"/>
                <w:szCs w:val="19"/>
              </w:rPr>
              <w:t xml:space="preserve">Crítica</w:t>
            </w:r>
          </w:p>
        </w:tc>
      </w:tr>
      <w:tr>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bCs/>
                <w:color w:val="334155"/>
                <w:sz w:val="19"/>
                <w:szCs w:val="19"/>
              </w:rPr>
              <w:t xml:space="preserve">RF-46</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ROP Persistencia (POST)</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POST /replenishment/suggest es el único que persiste formalmente las órdenes generadas.</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Alta</w:t>
            </w:r>
          </w:p>
        </w:tc>
      </w:tr>
      <w:tr>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bCs/>
                <w:color w:val="334155"/>
                <w:sz w:val="19"/>
                <w:szCs w:val="19"/>
              </w:rPr>
              <w:t xml:space="preserve">RF-49/50</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Pasarelas y PCI-DSS</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Transbank, MP, SumUp, RutPay. Cumplimiento SAQ-A (cero almacenamiento de PAN, CVV, PIN).</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bCs/>
                <w:color w:val="DC2626"/>
                <w:sz w:val="19"/>
                <w:szCs w:val="19"/>
              </w:rPr>
              <w:t xml:space="preserve">Crítica</w:t>
            </w:r>
          </w:p>
        </w:tc>
      </w:tr>
      <w:tr>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bCs/>
                <w:color w:val="334155"/>
                <w:sz w:val="19"/>
                <w:szCs w:val="19"/>
              </w:rPr>
              <w:t xml:space="preserve">RF-52/55</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Sincronización Híbrida</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Lotes is_dirty, reintentos con backoff y resolución de conflictos (aditividad + LWW).</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bCs/>
                <w:color w:val="DC2626"/>
                <w:sz w:val="19"/>
                <w:szCs w:val="19"/>
              </w:rPr>
              <w:t xml:space="preserve">Crítica</w:t>
            </w:r>
          </w:p>
        </w:tc>
      </w:tr>
    </w:tbl>
    <w:p>
      <w:pPr>
        <w:pStyle w:val="Heading1"/>
        <w:spacing w:after="140" w:before="280"/>
      </w:pPr>
      <w:r>
        <w:rPr>
          <w:rFonts w:ascii="Arial" w:cs="Arial" w:eastAsia="Arial" w:hAnsi="Arial"/>
          <w:b/>
          <w:bCs/>
          <w:color w:val="1E3A8A"/>
          <w:sz w:val="28"/>
          <w:szCs w:val="28"/>
        </w:rPr>
        <w:t xml:space="preserve">3. Los 25 Requisitos No Funcionales (RNF) — Estándar ISO/IEC 25010</w:t>
      </w:r>
    </w:p>
    <w:p>
      <w:pPr>
        <w:spacing w:after="120" w:line="276"/>
      </w:pPr>
      <w:r>
        <w:rPr>
          <w:rFonts w:ascii="Arial" w:cs="Arial" w:eastAsia="Arial" w:hAnsi="Arial"/>
          <w:color w:val="334155"/>
          <w:sz w:val="20"/>
          <w:szCs w:val="20"/>
        </w:rPr>
        <w:t xml:space="preserve">A continuación se especifican los 25 requisitos no funcionales organizados en las 7 características de calidad de la norma ISO/IEC 25010:</w:t>
      </w:r>
    </w:p>
    <w:p>
      <w:pPr>
        <w:pStyle w:val="Heading2"/>
        <w:spacing w:after="100" w:before="220"/>
      </w:pPr>
      <w:r>
        <w:rPr>
          <w:rFonts w:ascii="Arial" w:cs="Arial" w:eastAsia="Arial" w:hAnsi="Arial"/>
          <w:b/>
          <w:bCs/>
          <w:color w:val="0F172A"/>
          <w:sz w:val="24"/>
          <w:szCs w:val="24"/>
        </w:rPr>
        <w:t xml:space="preserve">3.1 Rendimiento y Eficiencia de Desempeño (5 RNF)</w:t>
      </w:r>
    </w:p>
    <w:p>
      <w:pPr>
        <w:spacing w:after="80" w:line="260"/>
        <w:ind w:left="360"/>
      </w:pPr>
      <w:r>
        <w:rPr>
          <w:rFonts w:ascii="Arial" w:cs="Arial" w:eastAsia="Arial" w:hAnsi="Arial"/>
          <w:b/>
          <w:bCs/>
          <w:color w:val="1E3A8A"/>
          <w:sz w:val="20"/>
          <w:szCs w:val="20"/>
        </w:rPr>
        <w:t xml:space="preserve">• RNF-REND-01 (Latencia de Checkout Local): </w:t>
      </w:r>
      <w:r>
        <w:rPr>
          <w:rFonts w:ascii="Arial" w:cs="Arial" w:eastAsia="Arial" w:hAnsi="Arial"/>
          <w:color w:val="334155"/>
          <w:sz w:val="20"/>
          <w:szCs w:val="20"/>
        </w:rPr>
        <w:t xml:space="preserve">El tiempo total de procesamiento de una venta en el POS (cálculo de IVA, redondeo legal en efectivo, escritura atómica en SQLite y descuento de stock) debe ser inferior a 15 ms.</w:t>
      </w:r>
    </w:p>
    <w:p>
      <w:pPr>
        <w:spacing w:after="80" w:line="260"/>
        <w:ind w:left="360"/>
      </w:pPr>
      <w:r>
        <w:rPr>
          <w:rFonts w:ascii="Arial" w:cs="Arial" w:eastAsia="Arial" w:hAnsi="Arial"/>
          <w:b/>
          <w:bCs/>
          <w:color w:val="1E3A8A"/>
          <w:sz w:val="20"/>
          <w:szCs w:val="20"/>
        </w:rPr>
        <w:t xml:space="preserve">• RNF-REND-02 (Búsqueda por Código de Barras): </w:t>
      </w:r>
      <w:r>
        <w:rPr>
          <w:rFonts w:ascii="Arial" w:cs="Arial" w:eastAsia="Arial" w:hAnsi="Arial"/>
          <w:color w:val="334155"/>
          <w:sz w:val="20"/>
          <w:szCs w:val="20"/>
        </w:rPr>
        <w:t xml:space="preserve">La indexación B-Tree sobre codigo_barras en SQLite y PostgreSQL debe responder en menos de 10 ms para catálogos de hasta 50.000 SKUs.</w:t>
      </w:r>
    </w:p>
    <w:p>
      <w:pPr>
        <w:spacing w:after="80" w:line="260"/>
        <w:ind w:left="360"/>
      </w:pPr>
      <w:r>
        <w:rPr>
          <w:rFonts w:ascii="Arial" w:cs="Arial" w:eastAsia="Arial" w:hAnsi="Arial"/>
          <w:b/>
          <w:bCs/>
          <w:color w:val="1E3A8A"/>
          <w:sz w:val="20"/>
          <w:szCs w:val="20"/>
        </w:rPr>
        <w:t xml:space="preserve">• RNF-REND-03 (Tiempo de Respuesta API Cloud): </w:t>
      </w:r>
      <w:r>
        <w:rPr>
          <w:rFonts w:ascii="Arial" w:cs="Arial" w:eastAsia="Arial" w:hAnsi="Arial"/>
          <w:color w:val="334155"/>
          <w:sz w:val="20"/>
          <w:szCs w:val="20"/>
        </w:rPr>
        <w:t xml:space="preserve">El 95% de las solicitudes RESTful a PostgreSQL en la nube deben resolverse en menos de 200 ms.</w:t>
      </w:r>
    </w:p>
    <w:p>
      <w:pPr>
        <w:spacing w:after="80" w:line="260"/>
        <w:ind w:left="360"/>
      </w:pPr>
      <w:r>
        <w:rPr>
          <w:rFonts w:ascii="Arial" w:cs="Arial" w:eastAsia="Arial" w:hAnsi="Arial"/>
          <w:b/>
          <w:bCs/>
          <w:color w:val="1E3A8A"/>
          <w:sz w:val="20"/>
          <w:szCs w:val="20"/>
        </w:rPr>
        <w:t xml:space="preserve">• RNF-REND-04 (Emisión Criptográfica de DTE): </w:t>
      </w:r>
      <w:r>
        <w:rPr>
          <w:rFonts w:ascii="Arial" w:cs="Arial" w:eastAsia="Arial" w:hAnsi="Arial"/>
          <w:color w:val="334155"/>
          <w:sz w:val="20"/>
          <w:szCs w:val="20"/>
        </w:rPr>
        <w:t xml:space="preserve">Generación de XML, firma digital RSA y renderizado de Timbre TED (PDF417) en menos de 400 ms.</w:t>
      </w:r>
    </w:p>
    <w:p>
      <w:pPr>
        <w:spacing w:after="80" w:line="260"/>
        <w:ind w:left="360"/>
      </w:pPr>
      <w:r>
        <w:rPr>
          <w:rFonts w:ascii="Arial" w:cs="Arial" w:eastAsia="Arial" w:hAnsi="Arial"/>
          <w:b/>
          <w:bCs/>
          <w:color w:val="1E3A8A"/>
          <w:sz w:val="20"/>
          <w:szCs w:val="20"/>
        </w:rPr>
        <w:t xml:space="preserve">• RNF-REND-05 (Ventana de Timeout en Ingesta OCR): </w:t>
      </w:r>
      <w:r>
        <w:rPr>
          <w:rFonts w:ascii="Arial" w:cs="Arial" w:eastAsia="Arial" w:hAnsi="Arial"/>
          <w:color w:val="334155"/>
          <w:sz w:val="20"/>
          <w:szCs w:val="20"/>
        </w:rPr>
        <w:t xml:space="preserve">Timeout extendido a 60 segundos para escaneo multimodal con Gemini AI.</w:t>
      </w:r>
    </w:p>
    <w:p>
      <w:pPr>
        <w:pStyle w:val="Heading2"/>
        <w:spacing w:after="100" w:before="220"/>
      </w:pPr>
      <w:r>
        <w:rPr>
          <w:rFonts w:ascii="Arial" w:cs="Arial" w:eastAsia="Arial" w:hAnsi="Arial"/>
          <w:b/>
          <w:bCs/>
          <w:color w:val="0F172A"/>
          <w:sz w:val="24"/>
          <w:szCs w:val="24"/>
        </w:rPr>
        <w:t xml:space="preserve">3.2 Disponibilidad y Tolerancia a Fallos (4 RNF)</w:t>
      </w:r>
    </w:p>
    <w:p>
      <w:pPr>
        <w:spacing w:after="80" w:line="260"/>
        <w:ind w:left="360"/>
      </w:pPr>
      <w:r>
        <w:rPr>
          <w:rFonts w:ascii="Arial" w:cs="Arial" w:eastAsia="Arial" w:hAnsi="Arial"/>
          <w:b/>
          <w:bCs/>
          <w:color w:val="1E3A8A"/>
          <w:sz w:val="20"/>
          <w:szCs w:val="20"/>
        </w:rPr>
        <w:t xml:space="preserve">• RNF-DISP-01 (Continuidad Operativa Offline): </w:t>
      </w:r>
      <w:r>
        <w:rPr>
          <w:rFonts w:ascii="Arial" w:cs="Arial" w:eastAsia="Arial" w:hAnsi="Arial"/>
          <w:color w:val="334155"/>
          <w:sz w:val="20"/>
          <w:szCs w:val="20"/>
        </w:rPr>
        <w:t xml:space="preserve">El punto de venta debe mantener el 100% de operatividad comercial en caja sin red vía SQLite local.</w:t>
      </w:r>
    </w:p>
    <w:p>
      <w:pPr>
        <w:spacing w:after="80" w:line="260"/>
        <w:ind w:left="360"/>
      </w:pPr>
      <w:r>
        <w:rPr>
          <w:rFonts w:ascii="Arial" w:cs="Arial" w:eastAsia="Arial" w:hAnsi="Arial"/>
          <w:b/>
          <w:bCs/>
          <w:color w:val="1E3A8A"/>
          <w:sz w:val="20"/>
          <w:szCs w:val="20"/>
        </w:rPr>
        <w:t xml:space="preserve">• RNF-DISP-02 (Conmutación Instantánea Circuit Breaker): </w:t>
      </w:r>
      <w:r>
        <w:rPr>
          <w:rFonts w:ascii="Arial" w:cs="Arial" w:eastAsia="Arial" w:hAnsi="Arial"/>
          <w:color w:val="334155"/>
          <w:sz w:val="20"/>
          <w:szCs w:val="20"/>
        </w:rPr>
        <w:t xml:space="preserve">Conmutación automática a SQLite en 0 ms ante caídas de internet o timeouts (&gt;3000 ms), sin congelar la interfaz de usuario.</w:t>
      </w:r>
    </w:p>
    <w:p>
      <w:pPr>
        <w:spacing w:after="80" w:line="260"/>
        <w:ind w:left="360"/>
      </w:pPr>
      <w:r>
        <w:rPr>
          <w:rFonts w:ascii="Arial" w:cs="Arial" w:eastAsia="Arial" w:hAnsi="Arial"/>
          <w:b/>
          <w:bCs/>
          <w:color w:val="1E3A8A"/>
          <w:sz w:val="20"/>
          <w:szCs w:val="20"/>
        </w:rPr>
        <w:t xml:space="preserve">• RNF-DISP-03 (Disponibilidad Cloud): </w:t>
      </w:r>
      <w:r>
        <w:rPr>
          <w:rFonts w:ascii="Arial" w:cs="Arial" w:eastAsia="Arial" w:hAnsi="Arial"/>
          <w:color w:val="334155"/>
          <w:sz w:val="20"/>
          <w:szCs w:val="20"/>
        </w:rPr>
        <w:t xml:space="preserve">La infraestructura central en la nube debe alcanzar un 99.9% de uptime anual.</w:t>
      </w:r>
    </w:p>
    <w:p>
      <w:pPr>
        <w:spacing w:after="80" w:line="260"/>
        <w:ind w:left="360"/>
      </w:pPr>
      <w:r>
        <w:rPr>
          <w:rFonts w:ascii="Arial" w:cs="Arial" w:eastAsia="Arial" w:hAnsi="Arial"/>
          <w:b/>
          <w:bCs/>
          <w:color w:val="1E3A8A"/>
          <w:sz w:val="20"/>
          <w:szCs w:val="20"/>
        </w:rPr>
        <w:t xml:space="preserve">• RNF-DISP-04 (Resiliencia de OCR): </w:t>
      </w:r>
      <w:r>
        <w:rPr>
          <w:rFonts w:ascii="Arial" w:cs="Arial" w:eastAsia="Arial" w:hAnsi="Arial"/>
          <w:color w:val="334155"/>
          <w:sz w:val="20"/>
          <w:szCs w:val="20"/>
        </w:rPr>
        <w:t xml:space="preserve">Hasta 3 reintentos con backoff progresivo (1s, 2s) ante errores 503/429 en Gemini antes de activar fallback.</w:t>
      </w:r>
    </w:p>
    <w:p>
      <w:pPr>
        <w:pStyle w:val="Heading2"/>
        <w:spacing w:after="100" w:before="220"/>
      </w:pPr>
      <w:r>
        <w:rPr>
          <w:rFonts w:ascii="Arial" w:cs="Arial" w:eastAsia="Arial" w:hAnsi="Arial"/>
          <w:b/>
          <w:bCs/>
          <w:color w:val="0F172A"/>
          <w:sz w:val="24"/>
          <w:szCs w:val="24"/>
        </w:rPr>
        <w:t xml:space="preserve">3.3 Seguridad y Confidencialidad (7 RNF)</w:t>
      </w:r>
    </w:p>
    <w:p>
      <w:pPr>
        <w:spacing w:after="80" w:line="260"/>
        <w:ind w:left="360"/>
      </w:pPr>
      <w:r>
        <w:rPr>
          <w:rFonts w:ascii="Arial" w:cs="Arial" w:eastAsia="Arial" w:hAnsi="Arial"/>
          <w:b/>
          <w:bCs/>
          <w:color w:val="1E3A8A"/>
          <w:sz w:val="20"/>
          <w:szCs w:val="20"/>
        </w:rPr>
        <w:t xml:space="preserve">• RNF-SEG-01 (Autenticación JWT &amp; RBAC): </w:t>
      </w:r>
      <w:r>
        <w:rPr>
          <w:rFonts w:ascii="Arial" w:cs="Arial" w:eastAsia="Arial" w:hAnsi="Arial"/>
          <w:color w:val="334155"/>
          <w:sz w:val="20"/>
          <w:szCs w:val="20"/>
        </w:rPr>
        <w:t>Tokens firmados (HS256, 24h), control de acceso por roles (cajero con 6 vistas vs admin con 11 vistas) implementado con jsonwebtoken. Política secure-by-default en producción (salvo AUTH_DISABLED=true) y configurable con ENFORCE_AUTH=true en dev. En producción el servidor no arranca si JWT_SECRET falta, es el valor de ejemplo o tiene menos de 32 caracteres (backend/src/config/auth.config.ts).</w:t>
      </w:r>
    </w:p>
    <w:p>
      <w:pPr>
        <w:spacing w:after="80" w:line="260"/>
        <w:ind w:left="360"/>
      </w:pPr>
      <w:r>
        <w:rPr>
          <w:rFonts w:ascii="Arial" w:cs="Arial" w:eastAsia="Arial" w:hAnsi="Arial"/>
          <w:b/>
          <w:bCs/>
          <w:color w:val="1E3A8A"/>
          <w:sz w:val="20"/>
          <w:szCs w:val="20"/>
        </w:rPr>
        <w:t xml:space="preserve">• RNF-SEG-02 (Almacenamiento Seguro de Contraseñas y Parche Idempotente): </w:t>
      </w:r>
      <w:r>
        <w:rPr>
          <w:rFonts w:ascii="Arial" w:cs="Arial" w:eastAsia="Arial" w:hAnsi="Arial"/>
          <w:color w:val="334155"/>
          <w:sz w:val="20"/>
          <w:szCs w:val="20"/>
        </w:rPr>
        <w:t xml:space="preserve">Cifrado de contraseñas mediante Bcrypt con work factor 10 (hashes de 60 caracteres reales). El procedimiento patchExistingDatabaseFixes() migra automáticamente bases de datos existentes a Bcrypt y normaliza RUT emisor a 76.123.456-0.</w:t>
      </w:r>
    </w:p>
    <w:p>
      <w:pPr>
        <w:spacing w:after="80" w:line="260"/>
        <w:ind w:left="360"/>
      </w:pPr>
      <w:r>
        <w:rPr>
          <w:rFonts w:ascii="Arial" w:cs="Arial" w:eastAsia="Arial" w:hAnsi="Arial"/>
          <w:b/>
          <w:bCs/>
          <w:color w:val="1E3A8A"/>
          <w:sz w:val="20"/>
          <w:szCs w:val="20"/>
        </w:rPr>
        <w:t xml:space="preserve">• RNF-SEG-03 (Aislamiento Multi-Tenant Estricto): </w:t>
      </w:r>
      <w:r>
        <w:rPr>
          <w:rFonts w:ascii="Arial" w:cs="Arial" w:eastAsia="Arial" w:hAnsi="Arial"/>
          <w:color w:val="334155"/>
          <w:sz w:val="20"/>
          <w:szCs w:val="20"/>
        </w:rPr>
        <w:t>Cada registro debe estar asociado a un tenant_id validado por middleware criptográfico. Con sesión autenticada, rbacAuthMiddleware rechaza con HTTP 403 toda petición cuyo tenant declarado difiera del tenant del token; el usuario_id del body se reemplaza por el del usuario autenticado.</w:t>
      </w:r>
    </w:p>
    <w:p>
      <w:pPr>
        <w:spacing w:after="80" w:line="260"/>
        <w:ind w:left="360"/>
      </w:pPr>
      <w:r>
        <w:rPr>
          <w:rFonts w:ascii="Arial" w:cs="Arial" w:eastAsia="Arial" w:hAnsi="Arial"/>
          <w:b/>
          <w:bCs/>
          <w:color w:val="1E3A8A"/>
          <w:sz w:val="20"/>
          <w:szCs w:val="20"/>
        </w:rPr>
        <w:t xml:space="preserve">• RNF-SEG-04 (Rate Limiting Granular con X-Device-ID e IPv6): </w:t>
      </w:r>
      <w:r>
        <w:rPr>
          <w:rFonts w:ascii="Arial" w:cs="Arial" w:eastAsia="Arial" w:hAnsi="Arial"/>
          <w:color w:val="334155"/>
          <w:sz w:val="20"/>
          <w:szCs w:val="20"/>
        </w:rPr>
        <w:t xml:space="preserve">Limitación de tasa por terminal individual mediante cabecera X-Device-ID y normalización ipKeyGenerator.</w:t>
      </w:r>
    </w:p>
    <w:p>
      <w:pPr>
        <w:spacing w:after="80" w:line="260"/>
        <w:ind w:left="360"/>
      </w:pPr>
      <w:r>
        <w:rPr>
          <w:rFonts w:ascii="Arial" w:cs="Arial" w:eastAsia="Arial" w:hAnsi="Arial"/>
          <w:b/>
          <w:bCs/>
          <w:color w:val="1E3A8A"/>
          <w:sz w:val="20"/>
          <w:szCs w:val="20"/>
        </w:rPr>
        <w:t xml:space="preserve">• RNF-SEG-05 (Cumplimiento PCI-DSS SAQ-A): </w:t>
      </w:r>
      <w:r>
        <w:rPr>
          <w:rFonts w:ascii="Arial" w:cs="Arial" w:eastAsia="Arial" w:hAnsi="Arial"/>
          <w:color w:val="334155"/>
          <w:sz w:val="20"/>
          <w:szCs w:val="20"/>
        </w:rPr>
        <w:t xml:space="preserve">Cero almacenamiento de datos sensibles de tarjetas (PAN, CVV, PIN) en bases de datos locales o cloud.</w:t>
      </w:r>
    </w:p>
    <w:p>
      <w:pPr>
        <w:spacing w:after="80" w:line="260"/>
        <w:ind w:left="360"/>
      </w:pPr>
      <w:r>
        <w:rPr>
          <w:rFonts w:ascii="Arial" w:cs="Arial" w:eastAsia="Arial" w:hAnsi="Arial"/>
          <w:b/>
          <w:bCs/>
          <w:color w:val="1E3A8A"/>
          <w:sz w:val="20"/>
          <w:szCs w:val="20"/>
        </w:rPr>
        <w:t xml:space="preserve">• RNF-SEG-06 (Prevención de Inyecciones SQL): </w:t>
      </w:r>
      <w:r>
        <w:rPr>
          <w:rFonts w:ascii="Arial" w:cs="Arial" w:eastAsia="Arial" w:hAnsi="Arial"/>
          <w:color w:val="334155"/>
          <w:sz w:val="20"/>
          <w:szCs w:val="20"/>
        </w:rPr>
        <w:t xml:space="preserve">100% de consultas parametrizadas ($1, $2 en PostgreSQL; ?, ? en SQLite).</w:t>
      </w:r>
    </w:p>
    <w:p>
      <w:pPr>
        <w:spacing w:after="80" w:line="260"/>
        <w:ind w:left="360"/>
      </w:pPr>
      <w:r>
        <w:rPr>
          <w:rFonts w:ascii="Arial" w:cs="Arial" w:eastAsia="Arial" w:hAnsi="Arial"/>
          <w:b/>
          <w:bCs/>
          <w:color w:val="1E3A8A"/>
          <w:sz w:val="20"/>
          <w:szCs w:val="20"/>
        </w:rPr>
        <w:t xml:space="preserve">• RNF-SEG-07 (Cabeceras de Seguridad y CORS): </w:t>
      </w:r>
      <w:r>
        <w:rPr>
          <w:rFonts w:ascii="Arial" w:cs="Arial" w:eastAsia="Arial" w:hAnsi="Arial"/>
          <w:color w:val="334155"/>
          <w:sz w:val="20"/>
          <w:szCs w:val="20"/>
        </w:rPr>
        <w:t xml:space="preserve">Helmet con CSP restrictivo y whitelist estricta de orígenes autorizados del frontend.</w:t>
      </w:r>
    </w:p>
    <w:p>
      <w:pPr>
        <w:pStyle w:val="Heading2"/>
        <w:spacing w:after="100" w:before="220"/>
      </w:pPr>
      <w:r>
        <w:rPr>
          <w:rFonts w:ascii="Arial" w:cs="Arial" w:eastAsia="Arial" w:hAnsi="Arial"/>
          <w:b/>
          <w:bCs/>
          <w:color w:val="0F172A"/>
          <w:sz w:val="24"/>
          <w:szCs w:val="24"/>
        </w:rPr>
        <w:t xml:space="preserve">3.4 Confiabilidad y Consistencia de Datos (4 RNF)</w:t>
      </w:r>
    </w:p>
    <w:p>
      <w:pPr>
        <w:spacing w:after="80" w:line="260"/>
        <w:ind w:left="360"/>
      </w:pPr>
      <w:r>
        <w:rPr>
          <w:rFonts w:ascii="Arial" w:cs="Arial" w:eastAsia="Arial" w:hAnsi="Arial"/>
          <w:b/>
          <w:bCs/>
          <w:color w:val="1E3A8A"/>
          <w:sz w:val="20"/>
          <w:szCs w:val="20"/>
        </w:rPr>
        <w:t xml:space="preserve">• RNF-CONF-01 (Atomicidad Transaccional withTransaction): </w:t>
      </w:r>
      <w:r>
        <w:rPr>
          <w:rFonts w:ascii="Arial" w:cs="Arial" w:eastAsia="Arial" w:hAnsi="Arial"/>
          <w:color w:val="334155"/>
          <w:sz w:val="20"/>
          <w:szCs w:val="20"/>
        </w:rPr>
        <w:t xml:space="preserve">Uso de transacciones ACID en todas las mutaciones complejas con reversión (ROLLBACK) total ante fallo.</w:t>
      </w:r>
    </w:p>
    <w:p>
      <w:pPr>
        <w:spacing w:after="80" w:line="260"/>
        <w:ind w:left="360"/>
      </w:pPr>
      <w:r>
        <w:rPr>
          <w:rFonts w:ascii="Arial" w:cs="Arial" w:eastAsia="Arial" w:hAnsi="Arial"/>
          <w:b/>
          <w:bCs/>
          <w:color w:val="1E3A8A"/>
          <w:sz w:val="20"/>
          <w:szCs w:val="20"/>
        </w:rPr>
        <w:t xml:space="preserve">• RNF-CONF-02 (Integridad Referencial en SQLite): </w:t>
      </w:r>
      <w:r>
        <w:rPr>
          <w:rFonts w:ascii="Arial" w:cs="Arial" w:eastAsia="Arial" w:hAnsi="Arial"/>
          <w:color w:val="334155"/>
          <w:sz w:val="20"/>
          <w:szCs w:val="20"/>
        </w:rPr>
        <w:t xml:space="preserve">Activación obligatoria de PRAGMA foreign_keys = ON al inicializar la base de datos local.</w:t>
      </w:r>
    </w:p>
    <w:p>
      <w:pPr>
        <w:spacing w:after="80" w:line="260"/>
        <w:ind w:left="360"/>
      </w:pPr>
      <w:r>
        <w:rPr>
          <w:rFonts w:ascii="Arial" w:cs="Arial" w:eastAsia="Arial" w:hAnsi="Arial"/>
          <w:b/>
          <w:bCs/>
          <w:color w:val="1E3A8A"/>
          <w:sz w:val="20"/>
          <w:szCs w:val="20"/>
        </w:rPr>
        <w:t xml:space="preserve">• RNF-CONF-03 (Tolerancia Cero a Datos Ficticios): </w:t>
      </w:r>
      <w:r>
        <w:rPr>
          <w:rFonts w:ascii="Arial" w:cs="Arial" w:eastAsia="Arial" w:hAnsi="Arial"/>
          <w:color w:val="334155"/>
          <w:sz w:val="20"/>
          <w:szCs w:val="20"/>
        </w:rPr>
        <w:t xml:space="preserve">Desactivación del mock OCR cuando hay API Key configurada para no contaminar inventario real.</w:t>
      </w:r>
    </w:p>
    <w:p>
      <w:pPr>
        <w:spacing w:after="80" w:line="260"/>
        <w:ind w:left="360"/>
      </w:pPr>
      <w:r>
        <w:rPr>
          <w:rFonts w:ascii="Arial" w:cs="Arial" w:eastAsia="Arial" w:hAnsi="Arial"/>
          <w:b/>
          <w:bCs/>
          <w:color w:val="1E3A8A"/>
          <w:sz w:val="20"/>
          <w:szCs w:val="20"/>
        </w:rPr>
        <w:t xml:space="preserve">• RNF-CONF-04 (Kardex Estricto de 6 Tipos): </w:t>
      </w:r>
      <w:r>
        <w:rPr>
          <w:rFonts w:ascii="Arial" w:cs="Arial" w:eastAsia="Arial" w:hAnsi="Arial"/>
          <w:color w:val="334155"/>
          <w:sz w:val="20"/>
          <w:szCs w:val="20"/>
        </w:rPr>
        <w:t xml:space="preserve">Restricción CHECK SQL que valida los 6 tipos autorizados de movimiento en historial_stock.</w:t>
      </w:r>
    </w:p>
    <w:p>
      <w:pPr>
        <w:pStyle w:val="Heading2"/>
        <w:spacing w:after="100" w:before="220"/>
      </w:pPr>
      <w:r>
        <w:rPr>
          <w:rFonts w:ascii="Arial" w:cs="Arial" w:eastAsia="Arial" w:hAnsi="Arial"/>
          <w:b/>
          <w:bCs/>
          <w:color w:val="0F172A"/>
          <w:sz w:val="24"/>
          <w:szCs w:val="24"/>
        </w:rPr>
        <w:t xml:space="preserve">3.5 Usabilidad, Portabilidad y Mantenibilidad (11 RNF)</w:t>
      </w:r>
    </w:p>
    <w:p>
      <w:pPr>
        <w:spacing w:after="80" w:line="260"/>
        <w:ind w:left="360"/>
      </w:pPr>
      <w:r>
        <w:rPr>
          <w:rFonts w:ascii="Arial" w:cs="Arial" w:eastAsia="Arial" w:hAnsi="Arial"/>
          <w:b/>
          <w:bCs/>
          <w:color w:val="1E3A8A"/>
          <w:sz w:val="20"/>
          <w:szCs w:val="20"/>
        </w:rPr>
        <w:t xml:space="preserve">• RNF-USAB-01 (Eficiencia de Operación en Caja): </w:t>
      </w:r>
      <w:r>
        <w:rPr>
          <w:rFonts w:ascii="Arial" w:cs="Arial" w:eastAsia="Arial" w:hAnsi="Arial"/>
          <w:color w:val="334155"/>
          <w:sz w:val="20"/>
          <w:szCs w:val="20"/>
        </w:rPr>
        <w:t xml:space="preserve">Flujo de venta realizable en máximo 4 acciones del cajero.</w:t>
      </w:r>
    </w:p>
    <w:p>
      <w:pPr>
        <w:spacing w:after="80" w:line="260"/>
        <w:ind w:left="360"/>
      </w:pPr>
      <w:r>
        <w:rPr>
          <w:rFonts w:ascii="Arial" w:cs="Arial" w:eastAsia="Arial" w:hAnsi="Arial"/>
          <w:b/>
          <w:bCs/>
          <w:color w:val="1E3A8A"/>
          <w:sz w:val="20"/>
          <w:szCs w:val="20"/>
        </w:rPr>
        <w:t xml:space="preserve">• RNF-USAB-02 (Accesibilidad Visual WCAG 2.1 AA): </w:t>
      </w:r>
      <w:r>
        <w:rPr>
          <w:rFonts w:ascii="Arial" w:cs="Arial" w:eastAsia="Arial" w:hAnsi="Arial"/>
          <w:color w:val="334155"/>
          <w:sz w:val="20"/>
          <w:szCs w:val="20"/>
        </w:rPr>
        <w:t xml:space="preserve">Contraste cromático mínimo de 4.5:1 para texto normal.</w:t>
      </w:r>
    </w:p>
    <w:p>
      <w:pPr>
        <w:spacing w:after="80" w:line="260"/>
        <w:ind w:left="360"/>
      </w:pPr>
      <w:r>
        <w:rPr>
          <w:rFonts w:ascii="Arial" w:cs="Arial" w:eastAsia="Arial" w:hAnsi="Arial"/>
          <w:b/>
          <w:bCs/>
          <w:color w:val="1E3A8A"/>
          <w:sz w:val="20"/>
          <w:szCs w:val="20"/>
        </w:rPr>
        <w:t xml:space="preserve">• RNF-USAB-03 (Diseño Adaptable): </w:t>
      </w:r>
      <w:r>
        <w:rPr>
          <w:rFonts w:ascii="Arial" w:cs="Arial" w:eastAsia="Arial" w:hAnsi="Arial"/>
          <w:color w:val="334155"/>
          <w:sz w:val="20"/>
          <w:szCs w:val="20"/>
        </w:rPr>
        <w:t xml:space="preserve">Soporte fluido desde resoluciones de 1024x768 (pantallas POS) hasta Full HD y tablets táctiles.</w:t>
      </w:r>
    </w:p>
    <w:p>
      <w:pPr>
        <w:spacing w:after="80" w:line="260"/>
        <w:ind w:left="360"/>
      </w:pPr>
      <w:r>
        <w:rPr>
          <w:rFonts w:ascii="Arial" w:cs="Arial" w:eastAsia="Arial" w:hAnsi="Arial"/>
          <w:b/>
          <w:bCs/>
          <w:color w:val="1E3A8A"/>
          <w:sz w:val="20"/>
          <w:szCs w:val="20"/>
        </w:rPr>
        <w:t xml:space="preserve">• RNF-USAB-04 (Manejo Amigable de Errores): </w:t>
      </w:r>
      <w:r>
        <w:rPr>
          <w:rFonts w:ascii="Arial" w:cs="Arial" w:eastAsia="Arial" w:hAnsi="Arial"/>
          <w:color w:val="334155"/>
          <w:sz w:val="20"/>
          <w:szCs w:val="20"/>
        </w:rPr>
        <w:t xml:space="preserve">Mensajes en español orientados a la acción correctiva sin fugas de stack trace.</w:t>
      </w:r>
    </w:p>
    <w:p>
      <w:pPr>
        <w:spacing w:after="80" w:line="260"/>
        <w:ind w:left="360"/>
      </w:pPr>
      <w:r>
        <w:rPr>
          <w:rFonts w:ascii="Arial" w:cs="Arial" w:eastAsia="Arial" w:hAnsi="Arial"/>
          <w:b/>
          <w:bCs/>
          <w:color w:val="1E3A8A"/>
          <w:sz w:val="20"/>
          <w:szCs w:val="20"/>
        </w:rPr>
        <w:t xml:space="preserve">• RNF-PORT-01 (Contenedores Docker): </w:t>
      </w:r>
      <w:r>
        <w:rPr>
          <w:rFonts w:ascii="Arial" w:cs="Arial" w:eastAsia="Arial" w:hAnsi="Arial"/>
          <w:color w:val="334155"/>
          <w:sz w:val="20"/>
          <w:szCs w:val="20"/>
        </w:rPr>
        <w:t xml:space="preserve">Despliegue automatizado con Docker Compose en menos de 3 minutos.</w:t>
      </w:r>
    </w:p>
    <w:p>
      <w:pPr>
        <w:spacing w:after="80" w:line="260"/>
        <w:ind w:left="360"/>
      </w:pPr>
      <w:r>
        <w:rPr>
          <w:rFonts w:ascii="Arial" w:cs="Arial" w:eastAsia="Arial" w:hAnsi="Arial"/>
          <w:b/>
          <w:bCs/>
          <w:color w:val="1E3A8A"/>
          <w:sz w:val="20"/>
          <w:szCs w:val="20"/>
        </w:rPr>
        <w:t xml:space="preserve">• RNF-PORT-02 (Compatibilidad Multiplataforma): </w:t>
      </w:r>
      <w:r>
        <w:rPr>
          <w:rFonts w:ascii="Arial" w:cs="Arial" w:eastAsia="Arial" w:hAnsi="Arial"/>
          <w:color w:val="334155"/>
          <w:sz w:val="20"/>
          <w:szCs w:val="20"/>
        </w:rPr>
        <w:t xml:space="preserve">Soporte nativo en Windows 10/11, Ubuntu 22.04+ LTS y macOS.</w:t>
      </w:r>
    </w:p>
    <w:p>
      <w:pPr>
        <w:spacing w:after="80" w:line="260"/>
        <w:ind w:left="360"/>
      </w:pPr>
      <w:r>
        <w:rPr>
          <w:rFonts w:ascii="Arial" w:cs="Arial" w:eastAsia="Arial" w:hAnsi="Arial"/>
          <w:b/>
          <w:bCs/>
          <w:color w:val="1E3A8A"/>
          <w:sz w:val="20"/>
          <w:szCs w:val="20"/>
        </w:rPr>
        <w:t xml:space="preserve">• RNF-PORT-03 (The Twelve-Factor App): </w:t>
      </w:r>
      <w:r>
        <w:rPr>
          <w:rFonts w:ascii="Arial" w:cs="Arial" w:eastAsia="Arial" w:hAnsi="Arial"/>
          <w:color w:val="334155"/>
          <w:sz w:val="20"/>
          <w:szCs w:val="20"/>
        </w:rPr>
        <w:t xml:space="preserve">Inyección de credenciales y configuración externa vía variables .env.</w:t>
      </w:r>
    </w:p>
    <w:p>
      <w:pPr>
        <w:spacing w:after="80" w:line="260"/>
        <w:ind w:left="360"/>
      </w:pPr>
      <w:r>
        <w:rPr>
          <w:rFonts w:ascii="Arial" w:cs="Arial" w:eastAsia="Arial" w:hAnsi="Arial"/>
          <w:b/>
          <w:bCs/>
          <w:color w:val="1E3A8A"/>
          <w:sz w:val="20"/>
          <w:szCs w:val="20"/>
        </w:rPr>
        <w:t xml:space="preserve">• RNF-MANT-01 (Tipado Estricto TypeScript): </w:t>
      </w:r>
      <w:r>
        <w:rPr>
          <w:rFonts w:ascii="Arial" w:cs="Arial" w:eastAsia="Arial" w:hAnsi="Arial"/>
          <w:color w:val="334155"/>
          <w:sz w:val="20"/>
          <w:szCs w:val="20"/>
        </w:rPr>
        <w:t xml:space="preserve">Compilación bajo strict: true en el 100% del código fuente.</w:t>
      </w:r>
    </w:p>
    <w:p>
      <w:pPr>
        <w:spacing w:after="80" w:line="260"/>
        <w:ind w:left="360"/>
      </w:pPr>
      <w:r>
        <w:rPr>
          <w:rFonts w:ascii="Arial" w:cs="Arial" w:eastAsia="Arial" w:hAnsi="Arial"/>
          <w:b/>
          <w:bCs/>
          <w:color w:val="1E3A8A"/>
          <w:sz w:val="20"/>
          <w:szCs w:val="20"/>
        </w:rPr>
        <w:t>• RNF-MANT-02 (Cobertura de Pruebas &gt; 85% en la lógica de negocio): Medida con `npm run test:coverage:total`, que ejecuta las dos baterías sobre el código del servidor: 78,07% de las sentencias y 86,24% de las funciones en el total, y por encima del 85% en los módulos de reglas de negocio (tributario 91,8%, facturas 91,3%, reabastecimiento 87,8%, caja 85,6%). Los valores más bajos corresponden a la integración con el servicio externo de reconocimiento (45,7%) y a las rutas (71,1%), estas últimas ejercitadas además por las 117 comprobaciones de extremo a extremo. 328 pruebas automatizadas con 100% de éxito.</w:t>
      </w:r>
      <w:r>
        <w:rPr>
          <w:rFonts w:ascii="Arial" w:cs="Arial" w:eastAsia="Arial" w:hAnsi="Arial"/>
          <w:color w:val="334155"/>
          <w:sz w:val="20"/>
          <w:szCs w:val="20"/>
        </w:rPr>
      </w:r>
    </w:p>
    <w:p>
      <w:pPr>
        <w:spacing w:after="80" w:line="260"/>
        <w:ind w:left="360"/>
      </w:pPr>
      <w:r>
        <w:rPr>
          <w:rFonts w:ascii="Arial" w:cs="Arial" w:eastAsia="Arial" w:hAnsi="Arial"/>
          <w:b/>
          <w:bCs/>
          <w:color w:val="1E3A8A"/>
          <w:sz w:val="20"/>
          <w:szCs w:val="20"/>
        </w:rPr>
        <w:t xml:space="preserve">• RNF-MANT-03 (Migraciones DDL 001-017): </w:t>
      </w:r>
      <w:r>
        <w:rPr>
          <w:rFonts w:ascii="Arial" w:cs="Arial" w:eastAsia="Arial" w:hAnsi="Arial"/>
          <w:color w:val="334155"/>
          <w:sz w:val="20"/>
          <w:szCs w:val="20"/>
        </w:rPr>
        <w:t>Scripts de evolución secuencial numerados y reproducibles.</w:t>
      </w:r>
    </w:p>
    <w:p>
      <w:pPr>
        <w:spacing w:after="80" w:line="260"/>
        <w:ind w:left="360"/>
      </w:pPr>
      <w:r>
        <w:rPr>
          <w:rFonts w:ascii="Arial" w:cs="Arial" w:eastAsia="Arial" w:hAnsi="Arial"/>
          <w:b/>
          <w:bCs/>
          <w:color w:val="1E3A8A"/>
          <w:sz w:val="20"/>
          <w:szCs w:val="20"/>
        </w:rPr>
        <w:t xml:space="preserve">• RNF-MANT-04 (Arquitectura Modular): </w:t>
      </w:r>
      <w:r>
        <w:rPr>
          <w:rFonts w:ascii="Arial" w:cs="Arial" w:eastAsia="Arial" w:hAnsi="Arial"/>
          <w:color w:val="334155"/>
          <w:sz w:val="20"/>
          <w:szCs w:val="20"/>
        </w:rPr>
        <w:t xml:space="preserve">Capas independientes con inversión de dependencias para desacoplar proveedores externos.</w:t>
      </w:r>
    </w:p>
    <w:p>
      <w:pPr>
        <w:pStyle w:val="Heading1"/>
        <w:spacing w:after="140" w:before="280"/>
      </w:pPr>
      <w:r>
        <w:rPr>
          <w:rFonts w:ascii="Arial" w:cs="Arial" w:eastAsia="Arial" w:hAnsi="Arial"/>
          <w:b/>
          <w:bCs/>
          <w:color w:val="1E3A8A"/>
          <w:sz w:val="28"/>
          <w:szCs w:val="28"/>
        </w:rPr>
        <w:t xml:space="preserve">4. Vistas Arquitectónicas del Sistema (Modelo 4+1 de Kruchten)</w:t>
      </w:r>
    </w:p>
    <w:p>
      <w:pPr>
        <w:pStyle w:val="Heading2"/>
        <w:spacing w:after="100" w:before="220"/>
      </w:pPr>
      <w:r>
        <w:rPr>
          <w:rFonts w:ascii="Arial" w:cs="Arial" w:eastAsia="Arial" w:hAnsi="Arial"/>
          <w:b/>
          <w:bCs/>
          <w:color w:val="0F172A"/>
          <w:sz w:val="24"/>
          <w:szCs w:val="24"/>
        </w:rPr>
        <w:t xml:space="preserve">4.1 Vista Lógica (Las 5 Capas del Software)</w:t>
      </w:r>
    </w:p>
    <w:p>
      <w:pPr>
        <w:spacing w:after="120" w:line="276"/>
      </w:pPr>
      <w:r>
        <w:rPr>
          <w:rFonts w:ascii="Arial" w:cs="Arial" w:eastAsia="Arial" w:hAnsi="Arial"/>
          <w:color w:val="334155"/>
          <w:sz w:val="20"/>
          <w:szCs w:val="20"/>
        </w:rPr>
        <w:t xml:space="preserve">La arquitectura se organiza en 5 capas desacopladas con responsabilidades estrictas:</w:t>
      </w:r>
    </w:p>
    <w:p>
      <w:pPr>
        <w:spacing w:after="80" w:line="260"/>
        <w:ind w:left="360"/>
      </w:pPr>
      <w:r>
        <w:rPr>
          <w:rFonts w:ascii="Arial" w:cs="Arial" w:eastAsia="Arial" w:hAnsi="Arial"/>
          <w:b/>
          <w:bCs/>
          <w:color w:val="1E3A8A"/>
          <w:sz w:val="20"/>
          <w:szCs w:val="20"/>
        </w:rPr>
        <w:t xml:space="preserve">• 1. Capa de Presentación (Frontend React SPA): </w:t>
      </w:r>
      <w:r>
        <w:rPr>
          <w:rFonts w:ascii="Arial" w:cs="Arial" w:eastAsia="Arial" w:hAnsi="Arial"/>
          <w:color w:val="334155"/>
          <w:sz w:val="20"/>
          <w:szCs w:val="20"/>
        </w:rPr>
        <w:t xml:space="preserve">Módulo Auth (Login/Registro), Vistas de Cajero (6 pantallas), Vistas de Admin (11 pantallas) y SesionStore en LocalStorage.</w:t>
      </w:r>
    </w:p>
    <w:p>
      <w:pPr>
        <w:spacing w:after="80" w:line="260"/>
        <w:ind w:left="360"/>
      </w:pPr>
      <w:r>
        <w:rPr>
          <w:rFonts w:ascii="Arial" w:cs="Arial" w:eastAsia="Arial" w:hAnsi="Arial"/>
          <w:b/>
          <w:bCs/>
          <w:color w:val="1E3A8A"/>
          <w:sz w:val="20"/>
          <w:szCs w:val="20"/>
        </w:rPr>
        <w:t xml:space="preserve">• 2. Capa de Seguridad &amp; Routing (Express Middleware): </w:t>
      </w:r>
      <w:r>
        <w:rPr>
          <w:rFonts w:ascii="Arial" w:cs="Arial" w:eastAsia="Arial" w:hAnsi="Arial"/>
          <w:color w:val="334155"/>
          <w:sz w:val="20"/>
          <w:szCs w:val="20"/>
        </w:rPr>
        <w:t xml:space="preserve">Helmet, CORS restrictivo, Rate Limiters por X-Device-ID e IPv6, AuthMiddleware (JWT Bearer &amp; RBAC) y enrutadores modulares.</w:t>
      </w:r>
    </w:p>
    <w:p>
      <w:pPr>
        <w:spacing w:after="80" w:line="260"/>
        <w:ind w:left="360"/>
      </w:pPr>
      <w:r>
        <w:rPr>
          <w:rFonts w:ascii="Arial" w:cs="Arial" w:eastAsia="Arial" w:hAnsi="Arial"/>
          <w:b/>
          <w:bCs/>
          <w:color w:val="1E3A8A"/>
          <w:sz w:val="20"/>
          <w:szCs w:val="20"/>
        </w:rPr>
        <w:t xml:space="preserve">• 3. Capa de Servicios de Negocio (Domain Logic): </w:t>
      </w:r>
      <w:r>
        <w:rPr>
          <w:rFonts w:ascii="Arial" w:cs="Arial" w:eastAsia="Arial" w:hAnsi="Arial"/>
          <w:color w:val="334155"/>
          <w:sz w:val="20"/>
          <w:szCs w:val="20"/>
        </w:rPr>
        <w:t xml:space="preserve">AuthService, POS Service, Cierre Caja Z, DTE Emitter, CAF Manager, OCR Ingestion Dispatcher, Payment Dispatcher, ROP Engine y Sync Engine.</w:t>
      </w:r>
    </w:p>
    <w:p>
      <w:pPr>
        <w:spacing w:after="80" w:line="260"/>
        <w:ind w:left="360"/>
      </w:pPr>
      <w:r>
        <w:rPr>
          <w:rFonts w:ascii="Arial" w:cs="Arial" w:eastAsia="Arial" w:hAnsi="Arial"/>
          <w:b/>
          <w:bCs/>
          <w:color w:val="1E3A8A"/>
          <w:sz w:val="20"/>
          <w:szCs w:val="20"/>
        </w:rPr>
        <w:t xml:space="preserve">• 4. Capa de Adaptadores Externos: </w:t>
      </w:r>
      <w:r>
        <w:rPr>
          <w:rFonts w:ascii="Arial" w:cs="Arial" w:eastAsia="Arial" w:hAnsi="Arial"/>
          <w:color w:val="334155"/>
          <w:sz w:val="20"/>
          <w:szCs w:val="20"/>
        </w:rPr>
        <w:t xml:space="preserve">Clientes para Google Gemini AI (gemini-3.5-flash), Extractor local pdf-parse, SII Web Services, Transbank, Mercado Pago, SumUp y RutPay.</w:t>
      </w:r>
    </w:p>
    <w:p>
      <w:pPr>
        <w:spacing w:after="80" w:line="260"/>
        <w:ind w:left="360"/>
      </w:pPr>
      <w:r>
        <w:rPr>
          <w:rFonts w:ascii="Arial" w:cs="Arial" w:eastAsia="Arial" w:hAnsi="Arial"/>
          <w:b/>
          <w:bCs/>
          <w:color w:val="1E3A8A"/>
          <w:sz w:val="20"/>
          <w:szCs w:val="20"/>
        </w:rPr>
        <w:t xml:space="preserve">• 5. Capa de Persistencia Dual Transaccional: </w:t>
      </w:r>
      <w:r>
        <w:rPr>
          <w:rFonts w:ascii="Arial" w:cs="Arial" w:eastAsia="Arial" w:hAnsi="Arial"/>
          <w:color w:val="334155"/>
          <w:sz w:val="20"/>
          <w:szCs w:val="20"/>
        </w:rPr>
        <w:t xml:space="preserve">PostgresClient (Cloud SaaS), SqliteClient (Edge Local con withTransaction) y Circuit Breaker con conmutación en 0 ms.</w:t>
      </w:r>
    </w:p>
    <w:p>
      <w:pPr>
        <w:pStyle w:val="Heading2"/>
        <w:spacing w:after="100" w:before="220"/>
      </w:pPr>
      <w:r>
        <w:rPr>
          <w:rFonts w:ascii="Arial" w:cs="Arial" w:eastAsia="Arial" w:hAnsi="Arial"/>
          <w:b/>
          <w:bCs/>
          <w:color w:val="0F172A"/>
          <w:sz w:val="24"/>
          <w:szCs w:val="24"/>
        </w:rPr>
        <w:t xml:space="preserve">4.2 Vista de Procesos (Process View)</w:t>
      </w:r>
    </w:p>
    <w:p>
      <w:pPr>
        <w:spacing w:after="120" w:line="276"/>
      </w:pPr>
      <w:r>
        <w:rPr>
          <w:rFonts w:ascii="Arial" w:cs="Arial" w:eastAsia="Arial" w:hAnsi="Arial"/>
          <w:color w:val="334155"/>
          <w:sz w:val="20"/>
          <w:szCs w:val="20"/>
        </w:rPr>
        <w:t xml:space="preserve">Describe la concurrencia, resiliencia y flujos de ejecución críticos:</w:t>
      </w:r>
    </w:p>
    <w:p>
      <w:pPr>
        <w:spacing w:after="80" w:line="260"/>
        <w:ind w:left="360"/>
      </w:pPr>
      <w:r>
        <w:rPr>
          <w:rFonts w:ascii="Arial" w:cs="Arial" w:eastAsia="Arial" w:hAnsi="Arial"/>
          <w:b/>
          <w:bCs/>
          <w:color w:val="1E3A8A"/>
          <w:sz w:val="20"/>
          <w:szCs w:val="20"/>
        </w:rPr>
        <w:t xml:space="preserve">• Checkout Offline con Circuit Breaker: </w:t>
      </w:r>
      <w:r>
        <w:rPr>
          <w:rFonts w:ascii="Arial" w:cs="Arial" w:eastAsia="Arial" w:hAnsi="Arial"/>
          <w:color w:val="334155"/>
          <w:sz w:val="20"/>
          <w:szCs w:val="20"/>
        </w:rPr>
        <w:t xml:space="preserve">Venta recibida en POST /pos/checkout. Si PostgreSQL Cloud no responde en 3000 ms, el circuito se abre y persiste en SQLite en 0 ms con is_dirty = 1, retornando la boleta en &lt; 15 ms.</w:t>
      </w:r>
    </w:p>
    <w:p>
      <w:pPr>
        <w:spacing w:after="80" w:line="260"/>
        <w:ind w:left="360"/>
      </w:pPr>
      <w:r>
        <w:rPr>
          <w:rFonts w:ascii="Arial" w:cs="Arial" w:eastAsia="Arial" w:hAnsi="Arial"/>
          <w:b/>
          <w:bCs/>
          <w:color w:val="1E3A8A"/>
          <w:sz w:val="20"/>
          <w:szCs w:val="20"/>
        </w:rPr>
        <w:t xml:space="preserve">• Sincronización Asíncrona con Backoff y Jitter: </w:t>
      </w:r>
      <w:r>
        <w:rPr>
          <w:rFonts w:ascii="Arial" w:cs="Arial" w:eastAsia="Arial" w:hAnsi="Arial"/>
          <w:color w:val="334155"/>
          <w:sz w:val="20"/>
          <w:szCs w:val="20"/>
        </w:rPr>
        <w:t xml:space="preserve">El servicio pos-sync-engine sondea ventas sucias cada 30 segundos, empaqueta lotes de hasta 50 transacciones y las envía a POST /sync/push. Ante fallas de red, calcula el retraso exponencial con jitter para evitar tormentas de peticiones.</w:t>
      </w:r>
    </w:p>
    <w:p>
      <w:pPr>
        <w:spacing w:after="80" w:line="260"/>
        <w:ind w:left="360"/>
      </w:pPr>
      <w:r>
        <w:rPr>
          <w:rFonts w:ascii="Arial" w:cs="Arial" w:eastAsia="Arial" w:hAnsi="Arial"/>
          <w:b/>
          <w:bCs/>
          <w:color w:val="1E3A8A"/>
          <w:sz w:val="20"/>
          <w:szCs w:val="20"/>
        </w:rPr>
        <w:t xml:space="preserve">• Ingesta OCR Resiliente: </w:t>
      </w:r>
      <w:r>
        <w:rPr>
          <w:rFonts w:ascii="Arial" w:cs="Arial" w:eastAsia="Arial" w:hAnsi="Arial"/>
          <w:color w:val="334155"/>
          <w:sz w:val="20"/>
          <w:szCs w:val="20"/>
        </w:rPr>
        <w:t xml:space="preserve">POST /invoices/scan envía el documento a Gemini 3.5 Flash con timeout de 60s. Si falla por error transitorio (503/429), reintenta hasta 3 veces. Si falla de forma definitiva, conmuta al extractor PDF nativo (0.11s). Si no hay texto, se encola en PENDIENTE_OCR.</w:t>
      </w:r>
    </w:p>
    <w:p>
      <w:pPr>
        <w:pStyle w:val="Heading2"/>
        <w:spacing w:after="100" w:before="220"/>
      </w:pPr>
      <w:r>
        <w:rPr>
          <w:rFonts w:ascii="Arial" w:cs="Arial" w:eastAsia="Arial" w:hAnsi="Arial"/>
          <w:b/>
          <w:bCs/>
          <w:color w:val="0F172A"/>
          <w:sz w:val="24"/>
          <w:szCs w:val="24"/>
        </w:rPr>
        <w:t xml:space="preserve">4.3 Vista de Datos: Inventario Oficial de las 29 Tablas Relacionales</w:t>
      </w:r>
    </w:p>
    <w:p>
      <w:pPr>
        <w:spacing w:after="120" w:line="276"/>
      </w:pPr>
      <w:r>
        <w:rPr>
          <w:rFonts w:ascii="Arial" w:cs="Arial" w:eastAsia="Arial" w:hAnsi="Arial"/>
          <w:color w:val="334155"/>
          <w:sz w:val="20"/>
          <w:szCs w:val="20"/>
        </w:rPr>
        <w:t>El esquema de datos relacional de GesTock está conformado por 29 tablas relacionales activas auditadas en las migraciones:</w:t>
      </w:r>
    </w:p>
    <w:p>
      <w:pPr>
        <w:spacing w:after="80" w:line="260"/>
        <w:ind w:left="360"/>
      </w:pPr>
      <w:r>
        <w:rPr>
          <w:rFonts w:ascii="Arial" w:cs="Arial" w:eastAsia="Arial" w:hAnsi="Arial"/>
          <w:b/>
          <w:bCs/>
          <w:color w:val="1E3A8A"/>
          <w:sz w:val="20"/>
          <w:szCs w:val="20"/>
        </w:rPr>
        <w:t xml:space="preserve">• Núcleo SaaS y Usuarios (6): </w:t>
      </w:r>
      <w:r>
        <w:rPr>
          <w:rFonts w:ascii="Arial" w:cs="Arial" w:eastAsia="Arial" w:hAnsi="Arial"/>
          <w:color w:val="334155"/>
          <w:sz w:val="20"/>
          <w:szCs w:val="20"/>
        </w:rPr>
        <w:t xml:space="preserve">tenants, usuarios, configuracion_sistema, planes_facturacion, historial_planes, notificaciones_tokens.</w:t>
      </w:r>
    </w:p>
    <w:p>
      <w:pPr>
        <w:spacing w:after="80" w:line="260"/>
        <w:ind w:left="360"/>
      </w:pPr>
      <w:r>
        <w:rPr>
          <w:rFonts w:ascii="Arial" w:cs="Arial" w:eastAsia="Arial" w:hAnsi="Arial"/>
          <w:b/>
          <w:bCs/>
          <w:color w:val="1E3A8A"/>
          <w:sz w:val="20"/>
          <w:szCs w:val="20"/>
        </w:rPr>
        <w:t xml:space="preserve">• Inventario, Kardex y Proveedores (8): </w:t>
      </w:r>
      <w:r>
        <w:rPr>
          <w:rFonts w:ascii="Arial" w:cs="Arial" w:eastAsia="Arial" w:hAnsi="Arial"/>
          <w:color w:val="334155"/>
          <w:sz w:val="20"/>
          <w:szCs w:val="20"/>
        </w:rPr>
        <w:t xml:space="preserve">productos, producto_proveedores, catalogo_borradores, historial_stock, movimientos_inventario, movimientos_inventario_tipos, mermas, proveedores.</w:t>
      </w:r>
    </w:p>
    <w:p>
      <w:pPr>
        <w:spacing w:after="80" w:line="260"/>
        <w:ind w:left="360"/>
      </w:pPr>
      <w:r>
        <w:rPr>
          <w:rFonts w:ascii="Arial" w:cs="Arial" w:eastAsia="Arial" w:hAnsi="Arial"/>
          <w:b/>
          <w:bCs/>
          <w:color w:val="1E3A8A"/>
          <w:sz w:val="20"/>
          <w:szCs w:val="20"/>
        </w:rPr>
        <w:t xml:space="preserve">• Compras y Órdenes de Reposición (3): </w:t>
      </w:r>
      <w:r>
        <w:rPr>
          <w:rFonts w:ascii="Arial" w:cs="Arial" w:eastAsia="Arial" w:hAnsi="Arial"/>
          <w:color w:val="334155"/>
          <w:sz w:val="20"/>
          <w:szCs w:val="20"/>
        </w:rPr>
        <w:t xml:space="preserve">purchase_orders, purchase_order_details, factura_ingresos.</w:t>
      </w:r>
    </w:p>
    <w:p>
      <w:pPr>
        <w:spacing w:after="80" w:line="260"/>
        <w:ind w:left="360"/>
      </w:pPr>
      <w:r>
        <w:rPr>
          <w:rFonts w:ascii="Arial" w:cs="Arial" w:eastAsia="Arial" w:hAnsi="Arial"/>
          <w:b/>
          <w:bCs/>
          <w:color w:val="1E3A8A"/>
          <w:sz w:val="20"/>
          <w:szCs w:val="20"/>
        </w:rPr>
        <w:t xml:space="preserve">• Punto de Venta, Caja y Pagos (6): </w:t>
      </w:r>
      <w:r>
        <w:rPr>
          <w:rFonts w:ascii="Arial" w:cs="Arial" w:eastAsia="Arial" w:hAnsi="Arial"/>
          <w:color w:val="334155"/>
          <w:sz w:val="20"/>
          <w:szCs w:val="20"/>
        </w:rPr>
        <w:t xml:space="preserve">cierres_caja, caja_movimientos, transacciones_venta, detalle_venta, metodos_pago, payment_transactions.</w:t>
      </w:r>
    </w:p>
    <w:p>
      <w:pPr>
        <w:spacing w:after="80" w:line="260"/>
        <w:ind w:left="360"/>
      </w:pPr>
      <w:r>
        <w:rPr>
          <w:rFonts w:ascii="Arial" w:cs="Arial" w:eastAsia="Arial" w:hAnsi="Arial"/>
          <w:b/>
          <w:bCs/>
          <w:color w:val="1E3A8A"/>
          <w:sz w:val="20"/>
          <w:szCs w:val="20"/>
        </w:rPr>
        <w:t xml:space="preserve">• Facturación Fiscal DTE (4): </w:t>
      </w:r>
      <w:r>
        <w:rPr>
          <w:rFonts w:ascii="Arial" w:cs="Arial" w:eastAsia="Arial" w:hAnsi="Arial"/>
          <w:color w:val="334155"/>
          <w:sz w:val="20"/>
          <w:szCs w:val="20"/>
        </w:rPr>
        <w:t xml:space="preserve">sii_caf, sii_dte_emitidos, sii_rcof_registros, guias_despacho.</w:t>
      </w:r>
    </w:p>
    <w:p>
      <w:pPr>
        <w:spacing w:after="80" w:line="260"/>
        <w:ind w:left="360"/>
      </w:pPr>
      <w:r>
        <w:rPr>
          <w:rFonts w:ascii="Arial" w:cs="Arial" w:eastAsia="Arial" w:hAnsi="Arial"/>
          <w:b/>
          <w:bCs/>
          <w:color w:val="1E3A8A"/>
          <w:sz w:val="20"/>
          <w:szCs w:val="20"/>
        </w:rPr>
        <w:t>• Existencia por Lote y Versionado DDL (2): lotes, _migrations (Control y trazabilidad de migraciones DDL ejecutadas).</w:t>
      </w:r>
      <w:r>
        <w:rPr>
          <w:rFonts w:ascii="Arial" w:cs="Arial" w:eastAsia="Arial" w:hAnsi="Arial"/>
          <w:color w:val="334155"/>
          <w:sz w:val="20"/>
          <w:szCs w:val="20"/>
        </w:rPr>
      </w:r>
    </w:p>
    <w:p>
      <w:pPr>
        <w:pStyle w:val="Heading2"/>
        <w:spacing w:after="100" w:before="220"/>
      </w:pPr>
      <w:r>
        <w:rPr>
          <w:rFonts w:ascii="Arial" w:cs="Arial" w:eastAsia="Arial" w:hAnsi="Arial"/>
          <w:b/>
          <w:bCs/>
          <w:color w:val="0F172A"/>
          <w:sz w:val="24"/>
          <w:szCs w:val="24"/>
        </w:rPr>
        <w:t xml:space="preserve">4.4 Vista de Implementación / Componentes</w:t>
      </w:r>
    </w:p>
    <w:p>
      <w:pPr>
        <w:spacing w:after="120" w:line="276"/>
      </w:pPr>
      <w:r>
        <w:rPr>
          <w:rFonts w:ascii="Arial" w:cs="Arial" w:eastAsia="Arial" w:hAnsi="Arial"/>
          <w:color w:val="334155"/>
          <w:sz w:val="20"/>
          <w:szCs w:val="20"/>
        </w:rPr>
        <w:t xml:space="preserve">Estructura modular en TypeScript organizada por módulos de dominio: routes/ (controladores REST), middleware/ (seguridad y rate limiting), domain services (servicios puros), database/ (clientes pg y sqlite) y utils/ (matemáticas y logging).</w:t>
      </w:r>
    </w:p>
    <w:p>
      <w:pPr>
        <w:pStyle w:val="Heading2"/>
        <w:spacing w:after="100" w:before="220"/>
      </w:pPr>
      <w:r>
        <w:rPr>
          <w:rFonts w:ascii="Arial" w:cs="Arial" w:eastAsia="Arial" w:hAnsi="Arial"/>
          <w:b/>
          <w:bCs/>
          <w:color w:val="0F172A"/>
          <w:sz w:val="24"/>
          <w:szCs w:val="24"/>
        </w:rPr>
        <w:t xml:space="preserve">4.5 Vista de Despliegue (Deployment View)</w:t>
      </w:r>
    </w:p>
    <w:p>
      <w:pPr>
        <w:spacing w:after="120" w:line="276"/>
      </w:pPr>
      <w:r>
        <w:rPr>
          <w:rFonts w:ascii="Arial" w:cs="Arial" w:eastAsia="Arial" w:hAnsi="Arial"/>
          <w:color w:val="334155"/>
          <w:sz w:val="20"/>
          <w:szCs w:val="20"/>
        </w:rPr>
        <w:t xml:space="preserve">Topología física distribuida: Estación local POS en el mostrador (PC con Node.js v20 e impresora térmica ESC/POS conectada a SQLite local) conectada mediante túnel HTTPS a la infraestructura Cloud (Docker Compose con API Express y PostgreSQL 16) y APIs externas (Google AI Studio, SII y pasarelas bancarias).</w:t>
      </w:r>
    </w:p>
    <w:p>
      <w:pPr>
        <w:pStyle w:val="Heading1"/>
        <w:spacing w:after="140" w:before="280"/>
      </w:pPr>
      <w:r>
        <w:rPr>
          <w:rFonts w:ascii="Arial" w:cs="Arial" w:eastAsia="Arial" w:hAnsi="Arial"/>
          <w:b/>
          <w:bCs/>
          <w:color w:val="1E3A8A"/>
          <w:sz w:val="28"/>
          <w:szCs w:val="28"/>
        </w:rPr>
        <w:t xml:space="preserve">5. Modelos Matemáticos y Mecanismos de Ingeniería</w:t>
      </w:r>
    </w:p>
    <w:p>
      <w:pPr>
        <w:pStyle w:val="Heading2"/>
        <w:spacing w:after="100" w:before="220"/>
      </w:pPr>
      <w:r>
        <w:rPr>
          <w:rFonts w:ascii="Arial" w:cs="Arial" w:eastAsia="Arial" w:hAnsi="Arial"/>
          <w:b/>
          <w:bCs/>
          <w:color w:val="0F172A"/>
          <w:sz w:val="24"/>
          <w:szCs w:val="24"/>
        </w:rPr>
        <w:t xml:space="preserve">5.1 Patrón Circuit Breaker (Tolerancia a Fallos 0 ms)</w:t>
      </w:r>
    </w:p>
    <w:p>
      <w:pPr>
        <w:spacing w:after="120" w:line="276"/>
      </w:pPr>
      <w:r>
        <w:rPr>
          <w:rFonts w:ascii="Arial" w:cs="Arial" w:eastAsia="Arial" w:hAnsi="Arial"/>
          <w:color w:val="334155"/>
          <w:sz w:val="20"/>
          <w:szCs w:val="20"/>
        </w:rPr>
        <w:t xml:space="preserve">Supervisa la conexión a PostgreSQL Cloud operando en estados CLOSED (normal), OPEN (desvío a SQLite en 0 ms ante 3 fallos consecutivos o latencia &gt; 3000 ms) y HALF-OPEN (sonda de prueba tras 60 segundos de enfriamiento).</w:t>
      </w:r>
    </w:p>
    <w:p>
      <w:pPr>
        <w:pStyle w:val="Heading2"/>
        <w:spacing w:after="100" w:before="220"/>
      </w:pPr>
      <w:r>
        <w:rPr>
          <w:rFonts w:ascii="Arial" w:cs="Arial" w:eastAsia="Arial" w:hAnsi="Arial"/>
          <w:b/>
          <w:bCs/>
          <w:color w:val="0F172A"/>
          <w:sz w:val="24"/>
          <w:szCs w:val="24"/>
        </w:rPr>
        <w:t xml:space="preserve">5.2 Algoritmo de Exponential Backoff con Full Jitter</w:t>
      </w:r>
    </w:p>
    <w:p>
      <w:pPr>
        <w:pBdr>
          <w:left w:val="single" w:color="2563EB" w:sz="24"/>
        </w:pBdr>
        <w:spacing w:after="140" w:before="100" w:line="260"/>
        <w:ind w:left="240" w:right="240"/>
      </w:pPr>
      <w:r>
        <w:rPr>
          <w:rFonts w:ascii="Arial" w:cs="Arial" w:eastAsia="Arial" w:hAnsi="Arial"/>
          <w:b/>
          <w:bCs/>
          <w:color w:val="1E3A8A"/>
          <w:sz w:val="20"/>
          <w:szCs w:val="20"/>
        </w:rPr>
        <w:t xml:space="preserve">Fórmula de Reintentos:
</w:t>
      </w:r>
      <w:r>
        <w:rPr>
          <w:rFonts w:ascii="Arial" w:cs="Arial" w:eastAsia="Arial" w:hAnsi="Arial"/>
          <w:i/>
          <w:iCs/>
          <w:color w:val="475569"/>
          <w:sz w:val="19"/>
          <w:szCs w:val="19"/>
        </w:rPr>
        <w:t xml:space="preserve">T_espera = min(T_max, T_base * 2^intentos) + random(0, Jitter)
Donde T_base = 1000 ms, T_max = 60000 ms, Jitter = 500 ms.</w:t>
      </w:r>
    </w:p>
    <w:p>
      <w:pPr>
        <w:pStyle w:val="Heading2"/>
        <w:spacing w:after="100" w:before="220"/>
      </w:pPr>
      <w:r>
        <w:rPr>
          <w:rFonts w:ascii="Arial" w:cs="Arial" w:eastAsia="Arial" w:hAnsi="Arial"/>
          <w:b/>
          <w:bCs/>
          <w:color w:val="0F172A"/>
          <w:sz w:val="24"/>
          <w:szCs w:val="24"/>
        </w:rPr>
        <w:t xml:space="preserve">5.3 Ley de Redondeo en Efectivo (Ley N° 20.956)</w:t>
      </w:r>
    </w:p>
    <w:p>
      <w:pPr>
        <w:pBdr>
          <w:left w:val="single" w:color="2563EB" w:sz="24"/>
        </w:pBdr>
        <w:spacing w:after="140" w:before="100" w:line="260"/>
        <w:ind w:left="240" w:right="240"/>
      </w:pPr>
      <w:r>
        <w:rPr>
          <w:rFonts w:ascii="Arial" w:cs="Arial" w:eastAsia="Arial" w:hAnsi="Arial"/>
          <w:b/>
          <w:bCs/>
          <w:color w:val="1E3A8A"/>
          <w:sz w:val="20"/>
          <w:szCs w:val="20"/>
        </w:rPr>
        <w:t xml:space="preserve">Regla Estricta de Cobro:
</w:t>
      </w:r>
      <w:r>
        <w:rPr>
          <w:rFonts w:ascii="Arial" w:cs="Arial" w:eastAsia="Arial" w:hAnsi="Arial"/>
          <w:i/>
          <w:iCs/>
          <w:color w:val="475569"/>
          <w:sz w:val="19"/>
          <w:szCs w:val="19"/>
        </w:rPr>
        <w:t xml:space="preserve">Aplica únicamente si metodo_pago === "EFECTIVO":
- Si residuo entre 1 y 4 -&gt; Redondeo hacia abajo a la decena.
- Si residuo entre 5 y 9 -&gt; Redondeo hacia arriba a la decena.
En tarjetas, RutPay o QR -&gt; Cobro del monto exacto.</w:t>
      </w:r>
    </w:p>
    <w:p>
      <w:pPr>
        <w:pStyle w:val="Heading2"/>
        <w:spacing w:after="100" w:before="220"/>
      </w:pPr>
      <w:r>
        <w:rPr>
          <w:rFonts w:ascii="Arial" w:cs="Arial" w:eastAsia="Arial" w:hAnsi="Arial"/>
          <w:b/>
          <w:bCs/>
          <w:color w:val="0F172A"/>
          <w:sz w:val="24"/>
          <w:szCs w:val="24"/>
        </w:rPr>
        <w:t xml:space="preserve">5.4 Reorden Predictivo Idempotente (ROP)</w:t>
      </w:r>
    </w:p>
    <w:p>
      <w:pPr>
        <w:pBdr>
          <w:left w:val="single" w:color="2563EB" w:sz="24"/>
        </w:pBdr>
        <w:spacing w:after="140" w:before="100" w:line="260"/>
        <w:ind w:left="240" w:right="240"/>
      </w:pPr>
      <w:r>
        <w:rPr>
          <w:rFonts w:ascii="Arial" w:cs="Arial" w:eastAsia="Arial" w:hAnsi="Arial"/>
          <w:b/>
          <w:bCs/>
          <w:color w:val="1E3A8A"/>
          <w:sz w:val="20"/>
          <w:szCs w:val="20"/>
        </w:rPr>
        <w:t xml:space="preserve">Fórmula de Stock ROP:
</w:t>
      </w:r>
      <w:r>
        <w:rPr>
          <w:rFonts w:ascii="Arial" w:cs="Arial" w:eastAsia="Arial" w:hAnsi="Arial"/>
          <w:i/>
          <w:iCs/>
          <w:color w:val="475569"/>
          <w:sz w:val="19"/>
          <w:szCs w:val="19"/>
        </w:rPr>
        <w:t xml:space="preserve">ROP = (V_d * L) + SS
Donde V_d es la velocidad diaria de venta, L el lead time del proveedor y SS el stock de seguridad.
GET /suggest es una función pura en memoria; POST /suggest es la que persiste.</w:t>
      </w:r>
    </w:p>
    <w:p>
      <w:pPr>
        <w:pStyle w:val="Heading2"/>
        <w:spacing w:after="100" w:before="220"/>
      </w:pPr>
      <w:r>
        <w:rPr>
          <w:rFonts w:ascii="Arial" w:cs="Arial" w:eastAsia="Arial" w:hAnsi="Arial"/>
          <w:b/>
          <w:bCs/>
          <w:color w:val="0F172A"/>
          <w:sz w:val="24"/>
          <w:szCs w:val="24"/>
        </w:rPr>
        <w:t>5.5 Aviso Programado de Reposición (RF-47)</w:t>
      </w:r>
    </w:p>
    <w:p>
      <w:pPr>
        <w:pBdr>
          <w:left w:val="single" w:color="2563EB" w:sz="24"/>
        </w:pBdr>
        <w:spacing w:after="140" w:before="100" w:line="260"/>
        <w:ind w:left="240" w:right="240"/>
      </w:pPr>
      <w:r>
        <w:rPr>
          <w:rFonts w:ascii="Arial" w:cs="Arial" w:eastAsia="Arial" w:hAnsi="Arial"/>
          <w:b/>
          <w:bCs/>
          <w:color w:val="1E3A8A"/>
          <w:sz w:val="20"/>
          <w:szCs w:val="20"/>
        </w:rPr>
        <w:t>El despacho del aviso de reposición estaba simulado: el método registraba el envío en el log, devolvía éxito y marcaba las órdenes como enviadas en los dos motores, sin que ningún correo saliera. La versión implementada despacha por SMTP y fija tres reglas. Primera: sin credenciales configuradas o con el servidor de correo caído, el sistema lo declara y las órdenes no se marcan como enviadas. Segunda: el día (norma ISO 1-7) y la hora (HH:MM) los fija el local en Configuración, y ambos campos son opcionales en el POST, de modo que conservan el valor guardado si no vienen. Tercera: el reloj revisa cada minuto y despacha si la hora configurada ya pasó y ese día aún no se envió, porque el equipo de un minimarket se apaga de noche y exigir coincidencia al minuto dejaría al local sin aviso cada vez que abre más tarde. La marca del último envío se guarda en la base, no en memoria, para que un reinicio no provoque un segundo correo del mismo día.</w:t>
      </w:r>
    </w:p>
    <w:p>
      <w:pPr>
        <w:pStyle w:val="Heading1"/>
        <w:spacing w:after="140" w:before="280"/>
      </w:pPr>
      <w:r>
        <w:rPr>
          <w:rFonts w:ascii="Arial" w:cs="Arial" w:eastAsia="Arial" w:hAnsi="Arial"/>
          <w:b/>
          <w:bCs/>
          <w:color w:val="1E3A8A"/>
          <w:sz w:val="28"/>
          <w:szCs w:val="28"/>
        </w:rPr>
        <w:t>6. Catálogo de Endpoints y Matriz de Trazabilidad (69 Endpoints)</w:t>
      </w:r>
    </w:p>
    <w:p>
      <w:pPr>
        <w:spacing w:after="120" w:line="276"/>
      </w:pPr>
      <w:r>
        <w:rPr>
          <w:rFonts w:ascii="Arial" w:cs="Arial" w:eastAsia="Arial" w:hAnsi="Arial"/>
          <w:color w:val="334155"/>
          <w:sz w:val="20"/>
          <w:szCs w:val="20"/>
        </w:rPr>
        <w:t>A continuación se resumen los 69 endpoints RESTful del sistema, indicando su rol de acceso mínimo: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5%"/>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jc w:val="left"/>
            </w:pPr>
            <w:r>
              <w:rPr>
                <w:rFonts w:ascii="Arial" w:cs="Arial" w:eastAsia="Arial" w:hAnsi="Arial"/>
                <w:b/>
                <w:bCs/>
                <w:color w:val="FFFFFF"/>
                <w:sz w:val="19"/>
                <w:szCs w:val="19"/>
              </w:rPr>
              <w:t xml:space="preserve">Módulo</w:t>
            </w:r>
          </w:p>
        </w:tc>
        <w:tc>
          <w:tcPr>
            <w:tcW w:type="pct" w:w="1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jc w:val="left"/>
            </w:pPr>
            <w:r>
              <w:rPr>
                <w:rFonts w:ascii="Arial" w:cs="Arial" w:eastAsia="Arial" w:hAnsi="Arial"/>
                <w:b/>
                <w:bCs/>
                <w:color w:val="FFFFFF"/>
                <w:sz w:val="19"/>
                <w:szCs w:val="19"/>
              </w:rPr>
              <w:t xml:space="preserve">Método</w:t>
            </w:r>
          </w:p>
        </w:tc>
        <w:tc>
          <w:tcPr>
            <w:tcW w:type="pct" w:w="4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jc w:val="left"/>
            </w:pPr>
            <w:r>
              <w:rPr>
                <w:rFonts w:ascii="Arial" w:cs="Arial" w:eastAsia="Arial" w:hAnsi="Arial"/>
                <w:b/>
                <w:bCs/>
                <w:color w:val="FFFFFF"/>
                <w:sz w:val="19"/>
                <w:szCs w:val="19"/>
              </w:rPr>
              <w:t xml:space="preserve">URI Endpoint</w:t>
            </w:r>
          </w:p>
        </w:tc>
        <w:tc>
          <w:tcPr>
            <w:tcW w:type="pct" w:w="15%"/>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jc w:val="left"/>
            </w:pPr>
            <w:r>
              <w:rPr>
                <w:rFonts w:ascii="Arial" w:cs="Arial" w:eastAsia="Arial" w:hAnsi="Arial"/>
                <w:b/>
                <w:bCs/>
                <w:color w:val="FFFFFF"/>
                <w:sz w:val="19"/>
                <w:szCs w:val="19"/>
              </w:rPr>
              <w:t xml:space="preserve">RF</w:t>
            </w:r>
          </w:p>
        </w:tc>
        <w:tc>
          <w:tcPr>
            <w:tcW w:type="pct" w:w="2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jc w:val="left"/>
            </w:pPr>
            <w:r>
              <w:rPr>
                <w:rFonts w:ascii="Arial" w:cs="Arial" w:eastAsia="Arial" w:hAnsi="Arial"/>
                <w:b/>
                <w:bCs/>
                <w:color w:val="FFFFFF"/>
                <w:sz w:val="19"/>
                <w:szCs w:val="19"/>
              </w:rPr>
              <w:t xml:space="preserve">Rol Mínimo</w:t>
            </w:r>
          </w:p>
        </w:tc>
      </w:tr>
      <w:tr>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Auth</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POST</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/api/v1/auth/login</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RF-01 [Obj. F2]</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Público</w:t>
            </w:r>
          </w:p>
        </w:tc>
      </w:tr>
      <w:tr>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Auth</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POST</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/api/v1/auth/register</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RF-02 [Obj. F2]</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Admin</w:t>
            </w:r>
          </w:p>
        </w:tc>
      </w:tr>
      <w:tr>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Auth</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GET</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/api/v1/auth/me</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RF-03 [Obj. F2]</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Cajero</w:t>
            </w:r>
          </w:p>
        </w:tc>
      </w:tr>
      <w:tr>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Auth</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GET</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/api/v1/auth/users</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RF-02 [Obj. F2]</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Admin</w:t>
            </w:r>
          </w:p>
        </w:tc>
      </w:tr>
      <w:tr>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Auth</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PUT</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/api/v1/auth/password</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RF-03</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Cajero</w:t>
            </w:r>
          </w:p>
        </w:tc>
      </w:tr>
      <w:tr>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Caja</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POST</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/api/v1/caja/abrir</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RF-16</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Cajero</w:t>
            </w:r>
          </w:p>
        </w:tc>
      </w:tr>
      <w:tr>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Caja</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POST</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/api/v1/caja/cerrar</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RF-18, 19</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Cajero</w:t>
            </w:r>
          </w:p>
        </w:tc>
      </w:tr>
      <w:tr>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Caja</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GET</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/api/v1/caja/historial</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RF-21</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Admin</w:t>
            </w:r>
          </w:p>
        </w:tc>
      </w:tr>
      <w:tr>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DTE</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POST</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/api/v1/dte/emit</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RF-31, 32</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Cajero</w:t>
            </w:r>
          </w:p>
        </w:tc>
      </w:tr>
      <w:tr>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DTE</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GET</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/api/v1/dte/:id/receipt</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RF-33</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Cajero</w:t>
            </w:r>
          </w:p>
        </w:tc>
      </w:tr>
      <w:tr>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DTE</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POST</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/api/v1/dte/rcof/generate</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RF-35</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Admin</w:t>
            </w:r>
          </w:p>
        </w:tc>
      </w:tr>
      <w:tr>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Invoices</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POST</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/api/v1/invoices/scan</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RF-39, 40</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Admin</w:t>
            </w:r>
          </w:p>
        </w:tc>
      </w:tr>
      <w:tr>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Invoices</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POST</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/api/v1/invoices/confirm</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RF-42, 44</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Admin</w:t>
            </w:r>
          </w:p>
        </w:tc>
      </w:tr>
      <w:tr>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Invoices</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GET</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/api/v1/invoices/pending</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RF-43</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Admin</w:t>
            </w:r>
          </w:p>
        </w:tc>
      </w:tr>
      <w:tr>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Invoices</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POST</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/api/v1/invoices/process-pending</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RF-43</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Admin</w:t>
            </w:r>
          </w:p>
        </w:tc>
      </w:tr>
      <w:tr>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Invoices</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GET</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/api/v1/invoices/:id/document</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RF-59</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Admin</w:t>
            </w:r>
          </w:p>
        </w:tc>
      </w:tr>
      <w:tr>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POS</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GET</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/api/v1/pos/products</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RF-06, 27</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Cajero</w:t>
            </w:r>
          </w:p>
        </w:tc>
      </w:tr>
      <w:tr>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POS</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POST</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/api/v1/pos/products</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RF-26, 27</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Admin</w:t>
            </w:r>
          </w:p>
        </w:tc>
      </w:tr>
      <w:tr>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POS</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POST</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/api/v1/pos/checkout</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RF-07, 08, 09</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Cajero</w:t>
            </w:r>
          </w:p>
        </w:tc>
      </w:tr>
      <w:tr>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POS</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POST</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/api/v1/pos/mermas</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RF-13, 26</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Cajero</w:t>
            </w:r>
          </w:p>
        </w:tc>
      </w:tr>
      <w:tr>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POS</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POST</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/api/v1/pos/devolucion</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RF-12, 26</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Cajero</w:t>
            </w:r>
          </w:p>
        </w:tc>
      </w:tr>
      <w:tr>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Replenish</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GET</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/api/v1/replenishment/suggest</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RF-45</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Admin</w:t>
            </w:r>
          </w:p>
        </w:tc>
      </w:tr>
      <w:tr>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Replenish</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POST</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/api/v1/replenishment/suggest</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RF-46</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Admin</w:t>
            </w:r>
          </w:p>
        </w:tc>
      </w:tr>
      <w:tr>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Sync</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POST</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/api/v1/sync/push</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RF-53, 54</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Cajero</w:t>
            </w:r>
          </w:p>
        </w:tc>
      </w:tr>
      <w:tr>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Health</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GET</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/health</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RF-57</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Público</w:t>
            </w:r>
          </w:p>
        </w:tc>
      </w:tr>
    </w:tbl>
    <w:p>
      <w:pPr>
        <w:pStyle w:val="Heading1"/>
        <w:spacing w:after="140" w:before="280"/>
      </w:pPr>
      <w:r>
        <w:rPr>
          <w:rFonts w:ascii="Arial" w:cs="Arial" w:eastAsia="Arial" w:hAnsi="Arial"/>
          <w:b/>
          <w:bCs/>
          <w:color w:val="1E3A8A"/>
          <w:sz w:val="28"/>
          <w:szCs w:val="28"/>
        </w:rPr>
        <w:t xml:space="preserve">7. Estrategia de Pruebas y Aseguramiento de Calidad (QA)</w:t>
      </w:r>
    </w:p>
    <w:p>
      <w:pPr>
        <w:spacing w:after="120" w:line="276"/>
      </w:pPr>
      <w:r>
        <w:rPr>
          <w:rFonts w:ascii="Arial" w:cs="Arial" w:eastAsia="Arial" w:hAnsi="Arial"/>
          <w:color w:val="334155"/>
          <w:sz w:val="20"/>
          <w:szCs w:val="20"/>
        </w:rPr>
        <w:t>La confiabilidad de GesTock está respaldada por una batería automatizada en Jest con 328 pruebas ejecutadas con un 100% de éxito (317 de backend y 11 de contrato de la interfaz), complementadas con 117 verificaciones de extremo a extremo.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5%"/>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jc w:val="left"/>
            </w:pPr>
            <w:r>
              <w:rPr>
                <w:rFonts w:ascii="Arial" w:cs="Arial" w:eastAsia="Arial" w:hAnsi="Arial"/>
                <w:b/>
                <w:bCs/>
                <w:color w:val="FFFFFF"/>
                <w:sz w:val="19"/>
                <w:szCs w:val="19"/>
              </w:rPr>
              <w:t xml:space="preserve">Operación Crítica</w:t>
            </w:r>
          </w:p>
        </w:tc>
        <w:tc>
          <w:tcPr>
            <w:tcW w:type="pct" w:w="25%"/>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jc w:val="left"/>
            </w:pPr>
            <w:r>
              <w:rPr>
                <w:rFonts w:ascii="Arial" w:cs="Arial" w:eastAsia="Arial" w:hAnsi="Arial"/>
                <w:b/>
                <w:bCs/>
                <w:color w:val="FFFFFF"/>
                <w:sz w:val="19"/>
                <w:szCs w:val="19"/>
              </w:rPr>
              <w:t xml:space="preserve">Entorno</w:t>
            </w:r>
          </w:p>
        </w:tc>
        <w:tc>
          <w:tcPr>
            <w:tcW w:type="pct" w:w="2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jc w:val="left"/>
            </w:pPr>
            <w:r>
              <w:rPr>
                <w:rFonts w:ascii="Arial" w:cs="Arial" w:eastAsia="Arial" w:hAnsi="Arial"/>
                <w:b/>
                <w:bCs/>
                <w:color w:val="FFFFFF"/>
                <w:sz w:val="19"/>
                <w:szCs w:val="19"/>
              </w:rPr>
              <w:t>Latencia media observada</w:t>
            </w:r>
          </w:p>
        </w:tc>
        <w:tc>
          <w:tcPr>
            <w:tcW w:type="pct" w:w="2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jc w:val="left"/>
            </w:pPr>
            <w:r>
              <w:rPr>
                <w:rFonts w:ascii="Arial" w:cs="Arial" w:eastAsia="Arial" w:hAnsi="Arial"/>
                <w:b/>
                <w:bCs/>
                <w:color w:val="FFFFFF"/>
                <w:sz w:val="19"/>
                <w:szCs w:val="19"/>
              </w:rPr>
              <w:t>Objetivo del RNF</w:t>
            </w:r>
          </w:p>
        </w:tc>
      </w:tr>
      <w:tr>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Búsqueda EAN-13 (50.000 SKUs)</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SQLite Edge</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4.2 ms</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bCs/>
                <w:color w:val="16A34A"/>
                <w:sz w:val="19"/>
                <w:szCs w:val="19"/>
              </w:rPr>
              <w:t>&lt; 10 ms</w:t>
            </w:r>
          </w:p>
        </w:tc>
      </w:tr>
      <w:tr>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Checkout Completo de Venta</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SQLite Edge</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11.8 ms</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bCs/>
                <w:color w:val="16A34A"/>
                <w:sz w:val="19"/>
                <w:szCs w:val="19"/>
              </w:rPr>
              <w:t>&lt; 15 ms</w:t>
            </w:r>
          </w:p>
        </w:tc>
      </w:tr>
      <w:tr>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Conmutación por Caída de Red</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Circuit Breaker</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0.0 ms</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bCs/>
                <w:color w:val="16A34A"/>
                <w:sz w:val="19"/>
                <w:szCs w:val="19"/>
              </w:rPr>
              <w:t>0 ms</w:t>
            </w:r>
          </w:p>
        </w:tc>
      </w:tr>
      <w:tr>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Extractor Local PDF Fallback</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pdf-parse</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110 ms</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bCs/>
                <w:color w:val="16A34A"/>
                <w:sz w:val="19"/>
                <w:szCs w:val="19"/>
              </w:rPr>
              <w:t>&lt; 300 ms</w:t>
            </w:r>
          </w:p>
        </w:tc>
      </w:tr>
      <w:tr>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Firma Digital TED (PDF417)</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Motor Criptográfico</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210 ms</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bCs/>
                <w:color w:val="16A34A"/>
                <w:sz w:val="19"/>
                <w:szCs w:val="19"/>
              </w:rPr>
              <w:t>&lt; 400 ms</w:t>
            </w:r>
          </w:p>
        </w:tc>
      </w:tr>
      <w:tr>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Ingesta Transaccional Lote</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PostgreSQL Cloud</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val="false"/>
                <w:bCs w:val="false"/>
                <w:color w:val="334155"/>
                <w:sz w:val="19"/>
                <w:szCs w:val="19"/>
              </w:rPr>
              <w:t xml:space="preserve">84 ms</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60"/>
            </w:pPr>
            <w:r>
              <w:rPr>
                <w:rFonts w:ascii="Arial" w:cs="Arial" w:eastAsia="Arial" w:hAnsi="Arial"/>
                <w:b/>
                <w:bCs/>
                <w:color w:val="16A34A"/>
                <w:sz w:val="19"/>
                <w:szCs w:val="19"/>
              </w:rPr>
              <w:t>&lt; 200 ms</w:t>
            </w:r>
          </w:p>
        </w:tc>
      </w:tr>
    </w:tbl>
    <w:p>
      <w:pPr>
        <w:pStyle w:val="Heading1"/>
        <w:spacing w:after="140" w:before="280"/>
      </w:pPr>
      <w:r>
        <w:rPr>
          <w:rFonts w:ascii="Arial" w:cs="Arial" w:eastAsia="Arial" w:hAnsi="Arial"/>
          <w:b/>
          <w:bCs/>
          <w:color w:val="1E3A8A"/>
          <w:sz w:val="28"/>
          <w:szCs w:val="28"/>
        </w:rPr>
        <w:t xml:space="preserve">8. Conclusiones y Cumplimiento de Metas</w:t>
      </w:r>
    </w:p>
    <w:p>
      <w:pPr>
        <w:spacing w:after="120" w:line="276"/>
      </w:pPr>
      <w:r>
        <w:rPr>
          <w:rFonts w:ascii="Arial" w:cs="Arial" w:eastAsia="Arial" w:hAnsi="Arial"/>
          <w:color w:val="334155"/>
          <w:sz w:val="20"/>
          <w:szCs w:val="20"/>
        </w:rPr>
        <w:t xml:space="preserve">La arquitectura de GesTock versión 2.2 restituye íntegramente la totalidad de las dimensiones de diseño de software y cumple con la más alta rigurosidad académica y profesional:</w:t>
      </w:r>
    </w:p>
    <w:p>
      <w:pPr>
        <w:spacing w:after="80" w:line="260"/>
        <w:ind w:left="360"/>
      </w:pPr>
      <w:r>
        <w:rPr>
          <w:rFonts w:ascii="Arial" w:cs="Arial" w:eastAsia="Arial" w:hAnsi="Arial"/>
          <w:b/>
          <w:bCs/>
          <w:color w:val="1E3A8A"/>
          <w:sz w:val="20"/>
          <w:szCs w:val="20"/>
        </w:rPr>
        <w:t xml:space="preserve">• Disponibilidad Total Offline-First: </w:t>
      </w:r>
      <w:r>
        <w:rPr>
          <w:rFonts w:ascii="Arial" w:cs="Arial" w:eastAsia="Arial" w:hAnsi="Arial"/>
          <w:color w:val="334155"/>
          <w:sz w:val="20"/>
          <w:szCs w:val="20"/>
        </w:rPr>
        <w:t xml:space="preserve">Ningún comercio detiene sus ventas por intermitencias de red gracias al motor SQLite embebido y conmutación en 0 ms.</w:t>
      </w:r>
    </w:p>
    <w:p>
      <w:pPr>
        <w:spacing w:after="80" w:line="260"/>
        <w:ind w:left="360"/>
      </w:pPr>
      <w:r>
        <w:rPr>
          <w:rFonts w:ascii="Arial" w:cs="Arial" w:eastAsia="Arial" w:hAnsi="Arial"/>
          <w:b/>
          <w:bCs/>
          <w:color w:val="1E3A8A"/>
          <w:sz w:val="20"/>
          <w:szCs w:val="20"/>
        </w:rPr>
        <w:t xml:space="preserve">• Modelo de Vistas 4+1 Exhaustivo: </w:t>
      </w:r>
      <w:r>
        <w:rPr>
          <w:rFonts w:ascii="Arial" w:cs="Arial" w:eastAsia="Arial" w:hAnsi="Arial"/>
          <w:color w:val="334155"/>
          <w:sz w:val="20"/>
          <w:szCs w:val="20"/>
        </w:rPr>
        <w:t>Las 5 vistas de Kruchten articuladas con el modelo de datos relacional de 29 tablas.</w:t>
      </w:r>
    </w:p>
    <w:p>
      <w:pPr>
        <w:spacing w:after="80" w:line="260"/>
        <w:ind w:left="360"/>
      </w:pPr>
      <w:r>
        <w:rPr>
          <w:rFonts w:ascii="Arial" w:cs="Arial" w:eastAsia="Arial" w:hAnsi="Arial"/>
          <w:b/>
          <w:bCs/>
          <w:color w:val="1E3A8A"/>
          <w:sz w:val="20"/>
          <w:szCs w:val="20"/>
        </w:rPr>
        <w:t xml:space="preserve">• Apego Normativo Chileno Integral: </w:t>
      </w:r>
      <w:r>
        <w:rPr>
          <w:rFonts w:ascii="Arial" w:cs="Arial" w:eastAsia="Arial" w:hAnsi="Arial"/>
          <w:color w:val="334155"/>
          <w:sz w:val="20"/>
          <w:szCs w:val="20"/>
        </w:rPr>
        <w:t xml:space="preserve">Cumplimiento simultáneo del SII (DTE, TED, RCOF), Ley N° 20.956 (redondeo sólo en efectivo), Ley N° 21.100 (bolsas) y control FEFO sanitario.</w:t>
      </w:r>
    </w:p>
    <w:p>
      <w:pPr>
        <w:spacing w:after="80" w:line="260"/>
        <w:ind w:left="360"/>
      </w:pPr>
      <w:r>
        <w:rPr>
          <w:rFonts w:ascii="Arial" w:cs="Arial" w:eastAsia="Arial" w:hAnsi="Arial"/>
          <w:b/>
          <w:bCs/>
          <w:color w:val="1E3A8A"/>
          <w:sz w:val="20"/>
          <w:szCs w:val="20"/>
        </w:rPr>
        <w:t xml:space="preserve">• Excelencia de Ingeniería: </w:t>
      </w:r>
      <w:r>
        <w:rPr>
          <w:rFonts w:ascii="Arial" w:cs="Arial" w:eastAsia="Arial" w:hAnsi="Arial"/>
          <w:color w:val="334155"/>
          <w:sz w:val="20"/>
          <w:szCs w:val="20"/>
        </w:rPr>
        <w:t>Desarrollo en TypeScript estricto, 328 pruebas automatizadas y arquitectura Cloud-Native con Docker Compose.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2026-10-07T23:53:46.006Z</dcterms:created>
  <dcterms:modified xsi:type="dcterms:W3CDTF">2026-10-07T23:53:46.007Z</dcterms:modified>
</cp:coreProperties>
</file>

<file path=docProps/custom.xml><?xml version="1.0" encoding="utf-8"?>
<Properties xmlns="http://schemas.openxmlformats.org/officeDocument/2006/custom-properties" xmlns:vt="http://schemas.openxmlformats.org/officeDocument/2006/docPropsVTypes"/>
</file>