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GESTOCK RETAIL &amp; SaaS CLOUD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8"/>
          <w:szCs w:val="28"/>
        </w:rPr>
        <w:t xml:space="preserve">MANUAL DE FUNCIONALIDADES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Guia Operativa Integral de Modulos Comerciales, Normativa Tributaria y Algoritmos Inteligentes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Version: 2.2.0 | Fecha: Septiembre 2026 | Estado: Produccion y Certificacion</w:t>
      </w:r>
    </w:p>
    <w:p>
      <w:pPr>
        <w:pStyle w:val="Heading1"/>
        <w:spacing w:after="140" w:before="360"/>
      </w:pPr>
      <w:r>
        <w:t xml:space="preserve">1. Modulo de Punto de Venta (POS)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El terminal POS de GesTock esta optimizado para el despacho ultra-rapido en mostrador y alta rotacion: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Lectura Omnicanal: Admite lectores opticos de codigo de barras USB, balanzas comerciales y busqueda predictiva por SKU o descripcion.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Ley de Redondeo (Ley N° 20.956): En pagos en efectivo, el sistema calcula de forma obligatoria el redondeo legal a la decena mas proxima (terminaciones 1-4 hacia abajo, terminaciones 5-9 hacia arriba). En tarjetas o transferencias no aplica redondeo.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Precio Estandarizado de Bolsas Reutilizables: Conforme a la politica comercial y la regulacion ecologica chilena (Ley 21.100), las bolsas reutilizables estan tarificadas en exactamente $1.000 (mil pesos chilenos) de forma predeterminada en catalogo y reglas de facturacion.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Cobro Multimoneda y Pasarelas: Integracion certificada con terminales de tarjeta Transbank, SumUp, codigos QR MercadoPago y transferencia RutPay.</w:t>
      </w:r>
    </w:p>
    <w:p>
      <w:pPr>
        <w:pStyle w:val="Heading1"/>
        <w:spacing w:after="140" w:before="360"/>
      </w:pPr>
      <w:r>
        <w:t xml:space="preserve">2. Modulo de Facturacion Electronica DTE (Normativa SII)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GesTock opera como emisor electronico directo cumpliendo estrictamente con el estandar XML y criptografico del SII: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Tipos de Documento Soportados: Boleta Electronica Afecta (Tipo 39), Boleta Electronica Exenta (Tipo 41), Factura Electronica (Tipo 33), Guia de Despacho (Tipo 52) y Notas de Credito (Tipo 61).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Timbre Electronico DTE (TED): Firma digital automatica en XML mediante algoritmo RSA-SHA1 utilizando el codigo de autorizacion de folios (CAF) vigente.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Reporte Diario RCOF (Res. Ex. N° 176): Compilacion y transmision diaria de resumen de boletas emitidas hacia los servidores del SII.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Libro de Ventas y Resumen F29: Liquidacion automatica de debito fiscal IVA del 19% con soporte para declaraciones mensuales.</w:t>
      </w:r>
    </w:p>
    <w:p>
      <w:pPr>
        <w:pStyle w:val="Heading1"/>
        <w:spacing w:after="140" w:before="360"/>
      </w:pPr>
      <w:r>
        <w:t xml:space="preserve">3. Turnos y Arqueo de Caja (Balance Z)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Control estricto del flujo de efectivo para sucursales: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Apertura de Caja: Registro de operador, fecha y fondo inicial en efectivo.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Movimientos Manuales: Ingresos de sencillo y retiros de efectivo justificados.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Arqueo y Cierre Ciego: El cajero declara el efectivo real contado sin conocer el teorico del sistema, evitando discrepancias intencionadas. El sistema emite el reporte Z detallando ventas por metodo de pago y sobrantes o faltantes.</w:t>
      </w:r>
    </w:p>
    <w:p>
      <w:pPr>
        <w:pStyle w:val="Heading1"/>
        <w:spacing w:after="140" w:before="360"/>
      </w:pPr>
      <w:r>
        <w:t xml:space="preserve">4. Control de Inventario y Semaforo de Caducidades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Gestion integral de bodegas y control de calidad alimentaria: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Trazabilidad por Lote: Cada ingreso asocia lote y fecha de vencimiento.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Semaforo de Vencimientos: Alerta en verde (vigente), amarillo (vence en &lt;60 dias) y rojo (vence en &lt;30 dias o vencido), permitiendo liquidacion o devolucion a proveedor.</w:t>
      </w:r>
    </w:p>
    <w:p>
      <w:pPr>
        <w:pStyle w:val="Heading1"/>
        <w:spacing w:after="140" w:before="360"/>
      </w:pPr>
      <w:r>
        <w:t xml:space="preserve">5. Algoritmos Predictivos de Reabastecimiento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Velocidad Diaria de Venta (V): Promedio ponderado de consumo de las ultimas semanas.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Punto de Reorden (ROP): Determina el umbral critico de reposicion mediante la formula ROP = (Demanda_Diaria * Lead_Time) + Stock_Seguridad.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Ajuste por Bulto/Empaque: Redondeo automatico hacia arriba para satisfacer las unidades minimas de empaque del proveedor B2B.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>Aviso de Reposicion por Correo: Envio del consolidado de pedidos sugeridos al correo del local, en el dia y la hora que el administrador elige en Configuracion (por defecto lunes a las 08:00). El mensaje indica que proveedor pasa, que conviene pedirle, cuanto queda en gondola y el total estimado. Si el servidor de correo no esta configurado o no responde, el sistema lo informa y no da el pedido por despachado.</w:t>
      </w:r>
    </w:p>
    <w:p>
      <w:pPr>
        <w:pStyle w:val="Heading1"/>
        <w:spacing w:after="140" w:before="360"/>
      </w:pPr>
      <w:r>
        <w:t xml:space="preserve">6. Ingesta Inteligente de Facturas de Proveedores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Procesamiento automatico de facturas recibidas en PDF o XML: extraccion de lineas de detalle, deteccion de nuevos costos netos, aplicacion del margen de ganancia configurado por el administrador y actualizacion automatica de los precios de venta.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2026-09-16T23:36:58.265Z</dcterms:created>
  <dcterms:modified xsi:type="dcterms:W3CDTF">2026-09-16T23:36:58.265Z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