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4E5E8E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El proyecto </w:t>
            </w:r>
            <w:proofErr w:type="spellStart"/>
            <w:r>
              <w:rPr>
                <w:rFonts w:ascii="Calibri" w:hAnsi="Calibri" w:cs="Arial"/>
                <w:sz w:val="20"/>
                <w:szCs w:val="20"/>
                <w:lang w:eastAsia="es-CL"/>
              </w:rPr>
              <w:t>GesTock</w:t>
            </w:r>
            <w:proofErr w:type="spellEnd"/>
            <w:r>
              <w:rPr>
                <w:rFonts w:ascii="Calibri" w:hAnsi="Calibri" w:cs="Arial"/>
                <w:sz w:val="20"/>
                <w:szCs w:val="20"/>
                <w:lang w:eastAsia="es-CL"/>
              </w:rPr>
              <w:t xml:space="preserve"> es un punto de venta en la nube para </w:t>
            </w:r>
            <w:proofErr w:type="spellStart"/>
            <w:r>
              <w:rPr>
                <w:rFonts w:ascii="Calibri" w:hAnsi="Calibri" w:cs="Arial"/>
                <w:sz w:val="20"/>
                <w:szCs w:val="20"/>
                <w:lang w:eastAsia="es-CL"/>
              </w:rPr>
              <w:t>minimarkets</w:t>
            </w:r>
            <w:proofErr w:type="spellEnd"/>
            <w:r>
              <w:rPr>
                <w:rFonts w:ascii="Calibri" w:hAnsi="Calibri" w:cs="Arial"/>
                <w:sz w:val="20"/>
                <w:szCs w:val="20"/>
                <w:lang w:eastAsia="es-CL"/>
              </w:rPr>
              <w:t xml:space="preserve"> chilenos, con operación local sin conexión y administración remota. Durante la Fase 2 el equipo pasó de los artefactos de análisis a un sistema ejecutable y verificable.</w:t>
            </w:r>
          </w:p>
          <w:p w14:paraId="53253D09" w14:textId="77777777" w:rsidR="00D76B6A" w:rsidRDefault="00D76B6A">
            <w:pPr>
              <w:jc w:val="both"/>
            </w:pPr>
          </w:p>
          <w:p w14:paraId="56A36EE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1, modelo de datos. Cumplido. Se implementó el esquema definitivo de 30 tablas sobre una persistencia dual: SQLite en el terminal del local y PostgreSQL en la nube. El esquema evoluciona mediante 16 migraciones versionadas y una tabla de control de migraciones, de modo que una instalación existente se actualiza sin pérdida de datos.</w:t>
            </w:r>
          </w:p>
          <w:p w14:paraId="56E2EF62" w14:textId="77777777" w:rsidR="00D76B6A" w:rsidRDefault="00D76B6A">
            <w:pPr>
              <w:jc w:val="both"/>
            </w:pPr>
          </w:p>
          <w:p w14:paraId="5B065D6A" w14:textId="76F91311"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Objetivo específico 2, operación sin conexión. Cumplido. Las ventas y los cierres de caja se registran en el </w:t>
            </w:r>
            <w:r w:rsidR="007A7809">
              <w:rPr>
                <w:rFonts w:ascii="Calibri" w:hAnsi="Calibri" w:cs="Arial"/>
                <w:sz w:val="20"/>
                <w:szCs w:val="20"/>
                <w:lang w:eastAsia="es-CL"/>
              </w:rPr>
              <w:t>terminal,</w:t>
            </w:r>
            <w:r>
              <w:rPr>
                <w:rFonts w:ascii="Calibri" w:hAnsi="Calibri" w:cs="Arial"/>
                <w:sz w:val="20"/>
                <w:szCs w:val="20"/>
                <w:lang w:eastAsia="es-CL"/>
              </w:rPr>
              <w:t xml:space="preserve"> aunque no haya internet y se suben después mediante marcas de sincronización. En la verificación realizada, el tiempo de conmutación a modo local fue de 0,0 milisegundos gracias al uso de un interruptor de circuito.</w:t>
            </w:r>
          </w:p>
          <w:p w14:paraId="1E3A8B0B" w14:textId="77777777" w:rsidR="00D76B6A" w:rsidRDefault="00D76B6A">
            <w:pPr>
              <w:jc w:val="both"/>
            </w:pPr>
          </w:p>
          <w:p w14:paraId="46F4EF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3, interfaz de usuario. En curso. Se construyeron 12 pantallas con dos modos de uso sobre los mismos datos: un modo visual para la persona que atiende el local y un modo técnico con tablas densas y atajos de teclado. La aplicación compila y se empaqueta sin errores de tipos ni advertencias del analizador estático.</w:t>
            </w:r>
          </w:p>
          <w:p w14:paraId="3D886472" w14:textId="77777777" w:rsidR="00D76B6A" w:rsidRDefault="00D76B6A">
            <w:pPr>
              <w:jc w:val="both"/>
            </w:pPr>
          </w:p>
          <w:p w14:paraId="34822D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4, cumplimiento normativo. Cumplido en su parte local. El sistema aplica el redondeo de efectivo de la Ley N° 20.956, el impuesto al valor agregado del 19 %, los códigos de impuesto adicional a las bebidas alcohólicas, el control de vencimientos por el método FEFO que exige el D.S. N° 977/96 del MINSAL y la emisión local de documentos tributarios electrónicos con timbre electrónico. El control de vencimientos opera por lote: cada compra con fecha conocida registra su propia existencia, y la venta, la merma y la sincronización descuentan primero lo que vence antes. Queda pendiente la conexión con el Servicio de Impuestos Internos, prevista para la Fase 3.</w:t>
            </w:r>
            <w:proofErr w:type="spellStart"/>
            <w:r>
              <w:rPr>
                <w:rFonts w:ascii="Calibri" w:hAnsi="Calibri" w:cs="Arial"/>
                <w:sz w:val="20"/>
                <w:szCs w:val="20"/>
                <w:lang w:eastAsia="es-CL"/>
              </w:rPr>
            </w:r>
            <w:proofErr w:type="spellEnd"/>
            <w:r>
              <w:rPr>
                <w:rFonts w:ascii="Calibri" w:hAnsi="Calibri" w:cs="Arial"/>
                <w:sz w:val="20"/>
                <w:szCs w:val="20"/>
                <w:lang w:eastAsia="es-CL"/>
              </w:rPr>
            </w:r>
            <w:proofErr w:type="spellStart"/>
            <w:r>
              <w:rPr>
                <w:rFonts w:ascii="Calibri" w:hAnsi="Calibri" w:cs="Arial"/>
                <w:sz w:val="20"/>
                <w:szCs w:val="20"/>
                <w:lang w:eastAsia="es-CL"/>
              </w:rPr>
            </w:r>
            <w:proofErr w:type="spellEnd"/>
            <w:r>
              <w:rPr>
                <w:rFonts w:ascii="Calibri" w:hAnsi="Calibri" w:cs="Arial"/>
                <w:sz w:val="20"/>
                <w:szCs w:val="20"/>
                <w:lang w:eastAsia="es-CL"/>
              </w:rPr>
            </w:r>
            <w:r>
              <w:rPr>
                <w:rFonts w:ascii="Calibri" w:hAnsi="Calibri" w:cs="Arial"/>
                <w:sz w:val="20"/>
                <w:szCs w:val="20"/>
                <w:lang w:eastAsia="es-CL"/>
              </w:rPr>
            </w:r>
          </w:p>
          <w:p w14:paraId="0121EB68" w14:textId="77777777" w:rsidR="00D76B6A" w:rsidRDefault="00D76B6A">
            <w:pPr>
              <w:jc w:val="both"/>
            </w:pPr>
          </w:p>
          <w:p w14:paraId="0D50A1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5, ingesta de facturas de compra mediante inteligencia artificial. En curso. El sistema lee una factura de proveedor, extrae el detalle de productos y montos, los compara con el inventario, crea los productos y el proveedor que no existan y sugiere precios de venta según el margen configurado. Si la fotografía no permite leer el documento, el sistema lo declara ilegible y solicita otra toma; si el servicio no responde, deja la factura en una cola de reintentos. En los tres casos conserva</w:t>
            </w:r>
            <w:r>
              <w:rPr>
                <w:rFonts w:ascii="Calibri" w:hAnsi="Calibri" w:cs="Arial"/>
                <w:sz w:val="20"/>
                <w:szCs w:val="20"/>
                <w:lang w:eastAsia="es-CL"/>
              </w:rPr>
              <w:t xml:space="preserve"> el documento original, en el equipo del local y en la nube, como respaldo del crédito fiscal del impuesto al valor agregado. Resta habilitar la clave de producción del servicio de reconocimiento, que hoy opera con una clave de desarrollo.</w:t>
            </w:r>
          </w:p>
          <w:p w14:paraId="694869AD" w14:textId="77777777" w:rsidR="00D76B6A" w:rsidRDefault="00D76B6A">
            <w:pPr>
              <w:jc w:val="both"/>
            </w:pPr>
          </w:p>
          <w:p w14:paraId="1A0AF6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6, seguridad. Cumplido. Se implementó autenticación mediante tokens firmados y control de acceso por rol, con una política segura por defecto en producción: la autenticación se exige salvo que se declare explícitamente lo contrario.</w:t>
            </w:r>
          </w:p>
          <w:p w14:paraId="319A2E25" w14:textId="77777777" w:rsidR="00D76B6A" w:rsidRDefault="00D76B6A">
            <w:pPr>
              <w:jc w:val="both"/>
            </w:pPr>
          </w:p>
          <w:p w14:paraId="02E90B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Marcelo Pino desarrolló el servidor, el modelo de datos, la contenedorización y las pruebas unitarias y de integración. David Miranda desarrolló la interfaz de usuario, la batería de pruebas de extremo a extremo y la verificación funcional del sistema en ejecución. Ambos aportes quedan registrados en el repositorio Git compartido.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tcPr>
          <w:p w14:paraId="416CC5F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Los objetivos generales y específicos se mantienen. Se realizaron dos ajustes de alcance, ambos originados en el contraste con el funcionamiento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w:t>
            </w:r>
          </w:p>
          <w:p w14:paraId="04F4435F" w14:textId="77777777" w:rsidR="00D76B6A" w:rsidRDefault="00D76B6A">
            <w:pPr>
              <w:jc w:val="both"/>
            </w:pPr>
          </w:p>
          <w:p w14:paraId="29C950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Primer ajuste: gestión de cuentas de usuario. La propuesta original contemplaba un registro público donde cada persona creaba su cuenta. Se eliminó.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las cuentas no las crea quien atiende, sino el dueño del local. El sistema quedó con un único punto de entrada y una sección, visible solo para el administrador, donde este crea las cuentas del personal y les asigna rol. El objetivo de control de acceso no cambia; cambia el modo de alcanzarlo, y se reduce la superficie expuesta del sistema.</w:t>
            </w:r>
          </w:p>
          <w:p w14:paraId="2B1F594A" w14:textId="77777777" w:rsidR="00D76B6A" w:rsidRDefault="00D76B6A">
            <w:pPr>
              <w:jc w:val="both"/>
            </w:pPr>
          </w:p>
          <w:p w14:paraId="6CB130B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Segundo ajuste: forma de distribución. La propuesta original describía una aplicación web. Se precisó que el terminal del local se distribuirá como un instalador de escritorio que incluye la base de datos local, de modo que la caja siga vendiendo sin internet, mientras que el administrador accede por navegador a la misma información. Este ajuste responde a un requisito no funcional ya declarado, la continuidad operativa sin conexión, y no agrega objetivos nuevos.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tcPr>
          <w:p w14:paraId="64A7C0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mantiene el Proceso Unificado de </w:t>
            </w:r>
            <w:proofErr w:type="spellStart"/>
            <w:r>
              <w:rPr>
                <w:rFonts w:ascii="Calibri" w:hAnsi="Calibri" w:cs="Arial"/>
                <w:sz w:val="20"/>
                <w:szCs w:val="20"/>
                <w:lang w:eastAsia="es-CL"/>
              </w:rPr>
              <w:t>Rational</w:t>
            </w:r>
            <w:proofErr w:type="spellEnd"/>
            <w:r>
              <w:rPr>
                <w:rFonts w:ascii="Calibri" w:hAnsi="Calibri" w:cs="Arial"/>
                <w:sz w:val="20"/>
                <w:szCs w:val="20"/>
                <w:lang w:eastAsia="es-CL"/>
              </w:rPr>
              <w:t xml:space="preserve"> (RUP) como metodología de desarrollo, por su naturaleza iterativa e incremental y por su énfasis en la arquitectura y en los artefactos formales, adecuado para un proyecto con requisitos normativos </w:t>
            </w:r>
            <w:r>
              <w:rPr>
                <w:rFonts w:ascii="Calibri" w:hAnsi="Calibri" w:cs="Arial"/>
                <w:sz w:val="20"/>
                <w:szCs w:val="20"/>
                <w:lang w:eastAsia="es-CL"/>
              </w:rPr>
              <w:lastRenderedPageBreak/>
              <w:t>verificables. Las cuatro fases de RUP se agrupan en las tres fases académicas de la asignatura.</w:t>
            </w:r>
          </w:p>
          <w:p w14:paraId="12810EE5" w14:textId="77777777" w:rsidR="00D76B6A" w:rsidRDefault="00D76B6A">
            <w:pPr>
              <w:jc w:val="both"/>
            </w:pPr>
          </w:p>
          <w:p w14:paraId="7C2527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Durante la Fase 2 se incorporaron dos prácticas a la metodología, sin alterar su estructura.</w:t>
            </w:r>
          </w:p>
          <w:p w14:paraId="385CEE32" w14:textId="77777777" w:rsidR="00D76B6A" w:rsidRDefault="00D76B6A">
            <w:pPr>
              <w:jc w:val="both"/>
            </w:pPr>
          </w:p>
          <w:p w14:paraId="602ACF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práctica: revisión cruzada documentada. Cada entrega de un integrante es verificada por el otro contra el código fuente y contra el sistema en ejecución, y el resultado se registra en un informe de defectos con el hallazgo, la evidencia medida y la corrección propuesta. Esta práctica se adoptó después de detectar que un componente devolvía datos simulados como si fueran reales, defecto que la lectura aislada del código no había revelado.</w:t>
            </w:r>
          </w:p>
          <w:p w14:paraId="65788AAC" w14:textId="77777777" w:rsidR="00D76B6A" w:rsidRDefault="00D76B6A">
            <w:pPr>
              <w:jc w:val="both"/>
            </w:pPr>
          </w:p>
          <w:p w14:paraId="5C6CC9D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práctica: verificación automatizada previa a la integración. Se construyó una batería de pruebas de extremo a extremo que consulta el servidor real y comprueba la respuesta de cada ruta. No utiliza datos simulados: si el servidor no está disponible, las pruebas no se ejecutan. Su propósito es detectar regresiones antes de integrar cambios al repositorio compartido.</w:t>
            </w:r>
          </w:p>
          <w:p w14:paraId="54872EE4" w14:textId="77777777" w:rsidR="00D76B6A" w:rsidRDefault="00D76B6A">
            <w:pPr>
              <w:jc w:val="both"/>
            </w:pPr>
          </w:p>
          <w:p w14:paraId="611EC41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Ambas prácticas corresponden al estándar disciplinar de pruebas de certificación de productos y procesos, y sostienen la trazabilidad entre requisitos, implementación y verificación.</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111" w:type="dxa"/>
          </w:tcPr>
          <w:p w14:paraId="7456337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presentan seis evidencias. Todas se encuentran versionadas en el repositorio Git compartido del equipo, lo que permite verificar su autoría y su fecha.</w:t>
            </w:r>
          </w:p>
          <w:p w14:paraId="2A027A5C" w14:textId="77777777" w:rsidR="00D76B6A" w:rsidRDefault="00D76B6A">
            <w:pPr>
              <w:jc w:val="both"/>
            </w:pPr>
          </w:p>
          <w:p w14:paraId="3C1CF29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1. Repositorio Git del proyecto de título, con historial por integrante. Contiene 120 confirmaciones de cambios entre el 28 de agosto y el 20 de octubre de 2026, de las cuales 62 corresponden a Marcelo Pino y 58 a David Miranda, organizadas en la estructura de carpetas por fase y tipo de evidencia que exige la asignatura, con los nombres de archivo en el formato solicitado. El desarrollo diario se versiona además en el repositorio de trabajo del equipo, cuyos avances se incorporan al repositorio de título como evidencia de sistema. La totalidad de las evidencias descritas en este informe se encuentra confirmada en el repositorio remoto, de modo que su autoría y su fecha son verificables sin recurrir a archivos locales.</w:t>
            </w:r>
            <w:r>
              <w:rPr>
                <w:rFonts w:ascii="Calibri" w:hAnsi="Calibri" w:cs="Arial"/>
                <w:sz w:val="20"/>
                <w:szCs w:val="20"/>
                <w:lang w:eastAsia="es-CL"/>
              </w:rPr>
            </w:r>
          </w:p>
          <w:p w14:paraId="3D9261AB" w14:textId="77777777" w:rsidR="00D76B6A" w:rsidRDefault="00D76B6A">
            <w:pPr>
              <w:jc w:val="both"/>
            </w:pPr>
          </w:p>
          <w:p w14:paraId="33B9B16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2. Documento de Arquitectura de Software. Describe la solución mediante el modelo de vistas 4+1, documenta 25 requisitos no funcionales clasificados según la norma ISO/IEC 25010 y registra las mediciones de desempeño obtenidas. Da cuenta del diseño de la solución y de su justificación técnica.</w:t>
            </w:r>
          </w:p>
          <w:p w14:paraId="75D8169B" w14:textId="77777777" w:rsidR="00D76B6A" w:rsidRDefault="00D76B6A">
            <w:pPr>
              <w:jc w:val="both"/>
            </w:pPr>
          </w:p>
          <w:p w14:paraId="7DE836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3. Modelo de datos implementado. Esquema de 30 tablas con 16 migraciones versionadas para cada motor de base de datos, aplicadas automáticamente al iniciar el sistema. Evidencia el diseño y la implementación de un modelo escalable en el tiempo, ya que una instalación existente se actualiza sin recrear el esquema ni perder información. Una suite de pruebas compara ambos esquemas tabla por tabla, de modo que una migración que alcance a un solo motor se detecta de inmediato.</w:t>
            </w:r>
          </w:p>
          <w:p w14:paraId="5070CF79" w14:textId="77777777" w:rsidR="00D76B6A" w:rsidRDefault="00D76B6A">
            <w:pPr>
              <w:jc w:val="both"/>
            </w:pPr>
          </w:p>
          <w:p w14:paraId="12D446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4. Batería de pruebas automatizadas. Sobre el servidor, 210 pruebas unitarias repartidas en dieciséis conjuntos y 87 pruebas de integración en dieciséis conjuntos, que en conjunto ejercitan las 72 rutas de la interfaz de programación, sin dejar ninguna sin cubrir. Sobre la interfaz, 18 pruebas unitarias de sus reglas de negocio y 11 pruebas del contrato que la une al servidor. Sobre el sistema en ejecución, 92 comprobaciones de extremo a extremo, con reporte fechado por cada corrida. La batería se ejecuta contra los dos motores de base de datos, el de la nube y el del terminal, porque una sentencia válida en uno puede no estarlo en el otro. Evidencia el diseño y la aplicación de pruebas de validación del producto.</w:t>
            </w:r>
            <w:r>
              <w:rPr>
                <w:rFonts w:ascii="Calibri" w:hAnsi="Calibri" w:cs="Arial"/>
                <w:sz w:val="20"/>
                <w:szCs w:val="20"/>
                <w:lang w:eastAsia="es-CL"/>
              </w:rPr>
            </w:r>
          </w:p>
          <w:p w14:paraId="7494F16E" w14:textId="77777777" w:rsidR="00D76B6A" w:rsidRDefault="00D76B6A">
            <w:pPr>
              <w:jc w:val="both"/>
            </w:pPr>
          </w:p>
          <w:p w14:paraId="10FEF4F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5. Informes de revisión cruzada. Documentos de verificación intercambiados entre los integrantes, con los defectos detectados, la evidencia que los respalda y su posterior corrección verificada. Evidencian la mejora del producto a partir del resultado de las pruebas.</w:t>
            </w:r>
          </w:p>
          <w:p w14:paraId="200744ED" w14:textId="77777777" w:rsidR="00D76B6A" w:rsidRDefault="00D76B6A">
            <w:pPr>
              <w:jc w:val="both"/>
            </w:pPr>
          </w:p>
          <w:p w14:paraId="51EBF23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Evidencia 6. Contenedores y guía de despliegue. Archivos de Docker y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 xml:space="preserve"> con construcción por etapas, junto con la guía de despliegue del sistema. Evidencian la preparación para la implantación de la solución.</w:t>
            </w:r>
          </w:p>
          <w:p w14:paraId="63B90C90" w14:textId="77777777" w:rsidR="00D76B6A" w:rsidRDefault="00D76B6A">
            <w:pPr>
              <w:jc w:val="both"/>
            </w:pPr>
          </w:p>
          <w:p w14:paraId="4D23DA8F" w14:textId="77777777" w:rsidR="00D76B6A" w:rsidRDefault="00BD14C3">
            <w:pPr>
              <w:jc w:val="both"/>
            </w:pPr>
            <w:r>
              <w:rPr>
                <w:rFonts w:ascii="Calibri" w:hAnsi="Calibri" w:cs="Arial"/>
                <w:sz w:val="20"/>
                <w:szCs w:val="20"/>
                <w:lang w:eastAsia="es-CL"/>
              </w:rPr>
              <w:t>Las capturas del sistema en funcionamiento se adjuntan en el anexo al final de este informe, con el pie que identifica el módulo al que corresponde cada una.</w:t>
            </w:r>
          </w:p>
          <w:p w14:paraId="73848F84" w14:textId="77777777" w:rsidR="00D76B6A" w:rsidRDefault="00D76B6A">
            <w:pPr>
              <w:jc w:val="both"/>
            </w:pPr>
          </w:p>
          <w:p w14:paraId="3F82A6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Resguardo de la calidad. La calidad se resguardó mediante tres mecanismos propios de la disciplina. El primero es el control de versiones: todo cambio queda registrado con autor, fecha y propósito, y el repositorio es la única fuente de verdad del proyecto. El segundo es la verificación automatizada descrita en la metodología, que se ejecuta contra el sistema real y no contra simulaciones. El tercero es el análisis estático del código, que comprende la verificación de tipos y un analizador de estilo, y que </w:t>
            </w:r>
            <w:r>
              <w:rPr>
                <w:rFonts w:ascii="Calibri" w:hAnsi="Calibri" w:cs="Arial"/>
                <w:sz w:val="20"/>
                <w:szCs w:val="20"/>
                <w:lang w:eastAsia="es-CL"/>
              </w:rPr>
              <w:t>debe ejecutarse sin advertencias antes de integrar un cambio.</w:t>
            </w:r>
          </w:p>
          <w:p w14:paraId="123C42C5" w14:textId="77777777" w:rsidR="00D76B6A" w:rsidRDefault="00D76B6A">
            <w:pPr>
              <w:jc w:val="both"/>
            </w:pPr>
          </w:p>
          <w:p w14:paraId="2CDA475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Referencias normativas aplicadas: Ley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20.956, que establece medidas para impulsar la productividad, en lo relativo al redondeo de efectivo; Decreto Supremo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977/96 del Ministerio de Salud, Reglamento Sanitario de los Alimentos; resoluciones del Servicio de Impuestos Internos sobre documentos tributarios electrónicos; norma ISO/IEC 25010:2011, modelo de calidad del producto de software.</w:t>
            </w:r>
          </w:p>
        </w:tc>
      </w:tr>
      <w:tr w:rsidR="0003309E" w14:paraId="6A495E40" w14:textId="77777777" w:rsidTr="000A1331">
        <w:trPr>
          <w:trHeight w:val="2377"/>
        </w:trPr>
        <w:tc>
          <w:tcPr>
            <w:tcW w:w="2528" w:type="dxa"/>
            <w:vAlign w:val="center"/>
          </w:tcPr>
          <w:p w14:paraId="4CEFFB9F"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Aporte de cada integrante</w:t>
            </w:r>
          </w:p>
        </w:tc>
        <w:tc>
          <w:tcPr>
            <w:tcW w:w="7111" w:type="dxa"/>
          </w:tcPr>
          <w:p w14:paraId="2D94D7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y el reparto se puede verificar en el historial de los dos repositorios del equipo. Las cifras que siguen se obtuvieron del propio registro de Git y no de una estimación.</w:t>
            </w:r>
          </w:p>
          <w:p w14:paraId="422AB9C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modelo de datos y migraciones, cumplimiento normativo, contenedorización y pruebas unitarias y de integración. Registra 51 confirmaciones de cambios en el repositorio de título y 43 en el repositorio de trabajo, con 42.890 líneas aportadas. Su huella se concentra en 191 modificaciones sobre la carpeta del servidor, 177 sobre la documentación técnica y 39 sobre los conjuntos de pruebas unitarias.</w:t>
            </w:r>
          </w:p>
          <w:p w14:paraId="7C2564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 Interfaz de usuario en sus dos modos de uso, batería de pruebas de extremo a extremo y verificación funcional del sistema en ejecución. Registra 50 confirmaciones de cambios en el repositorio de título y 14 en el repositorio de trabajo, con 57.766 líneas aportadas. Su huella se concentra en 410 modificaciones sobre la carpeta de la interfaz y sobre la batería de extremo a extremo.</w:t>
            </w:r>
          </w:p>
          <w:p w14:paraId="41941D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número de confirmaciones no se usa como medida de aporte, porque cada integrante integra con una frecuencia distinta: uno confirma cambios acotados y frecuentes, y el otro agrupa el trabajo de una pantalla completa antes de integrarla. Cruzando ambos repositorios y el volumen de código aportado, el aporte resulta equivalente y no se superpone: ningún componente del sistema tiene dos autores, lo que permite atribuir cada archivo a quien lo escribió. Cuando un integrante confirma material escrito por el ot</w:t>
            </w:r>
            <w:r>
              <w:rPr>
                <w:rFonts w:ascii="Calibri" w:hAnsi="Calibri" w:cs="Arial"/>
                <w:sz w:val="20"/>
                <w:szCs w:val="20"/>
                <w:lang w:eastAsia="es-CL"/>
              </w:rPr>
              <w:t>ro, la autoría original se conserva en el registro para no alterar esa atribución. El contrato entre ambas partes son las rutas de la interfaz de programación, documentadas y versionadas, y la revisión cruzada asegura que ambos integrantes conozcan el funcionamiento de la parte que no desarrollaron.</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0AC6D3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8AA8E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e implementación del modelo de datos definitivo y de su mecanismo de migraciones.</w:t>
            </w:r>
          </w:p>
        </w:tc>
        <w:tc>
          <w:tcPr>
            <w:tcW w:w="1276" w:type="dxa"/>
          </w:tcPr>
          <w:p w14:paraId="1219BB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Node.js.</w:t>
            </w:r>
          </w:p>
        </w:tc>
        <w:tc>
          <w:tcPr>
            <w:tcW w:w="1276" w:type="dxa"/>
          </w:tcPr>
          <w:p w14:paraId="00366C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2F9CC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4316D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el modelo relacional de la Fase 1 sirvió de base. Dificultad: los cambios de esquema no alcanzaban a las instalaciones ya creadas.</w:t>
            </w:r>
          </w:p>
        </w:tc>
        <w:tc>
          <w:tcPr>
            <w:tcW w:w="1418" w:type="dxa"/>
          </w:tcPr>
          <w:p w14:paraId="77445CC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14A79AE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agregó un mecanismo de parches de arranque que corrige los datos de instalaciones existentes sin recrear el esquema.</w:t>
            </w:r>
          </w:p>
        </w:tc>
      </w:tr>
      <w:tr w:rsidR="00FD5149" w:rsidRPr="006E3B0D" w14:paraId="2DF21F2D" w14:textId="77777777" w:rsidTr="00EA0C09">
        <w:tc>
          <w:tcPr>
            <w:tcW w:w="1328" w:type="dxa"/>
          </w:tcPr>
          <w:p w14:paraId="7CEF5A2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5616A4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persistencia dual y de la sincronización sin conexión.</w:t>
            </w:r>
          </w:p>
        </w:tc>
        <w:tc>
          <w:tcPr>
            <w:tcW w:w="1276" w:type="dxa"/>
          </w:tcPr>
          <w:p w14:paraId="0536C1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en la nube, SQLite local, patrón interruptor de circuito.</w:t>
            </w:r>
          </w:p>
        </w:tc>
        <w:tc>
          <w:tcPr>
            <w:tcW w:w="1276" w:type="dxa"/>
          </w:tcPr>
          <w:p w14:paraId="20ADA6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40DD5F9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7A961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marcas de sincronización simplificaron la cola de pendientes. Dificultad: distinguir una caída de red de una caída del servidor.</w:t>
            </w:r>
          </w:p>
        </w:tc>
        <w:tc>
          <w:tcPr>
            <w:tcW w:w="1418" w:type="dxa"/>
          </w:tcPr>
          <w:p w14:paraId="081C9A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C5D2F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0AAA9F33" w14:textId="77777777" w:rsidTr="00EA0C09">
        <w:tc>
          <w:tcPr>
            <w:tcW w:w="1328" w:type="dxa"/>
          </w:tcPr>
          <w:p w14:paraId="3CA2D7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4E2CF8B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programación de aplicaciones del sistema.</w:t>
            </w:r>
          </w:p>
        </w:tc>
        <w:tc>
          <w:tcPr>
            <w:tcW w:w="1276" w:type="dxa"/>
          </w:tcPr>
          <w:p w14:paraId="2E4DFD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Node.js, Express,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w:t>
            </w:r>
          </w:p>
        </w:tc>
        <w:tc>
          <w:tcPr>
            <w:tcW w:w="1276" w:type="dxa"/>
          </w:tcPr>
          <w:p w14:paraId="00F5093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4 semanas</w:t>
            </w:r>
          </w:p>
        </w:tc>
        <w:tc>
          <w:tcPr>
            <w:tcW w:w="1275" w:type="dxa"/>
          </w:tcPr>
          <w:p w14:paraId="536EA9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58CC3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separación por módulos permitió avanzar en paralelo con la interfaz de usuario.</w:t>
            </w:r>
          </w:p>
        </w:tc>
        <w:tc>
          <w:tcPr>
            <w:tcW w:w="1418" w:type="dxa"/>
          </w:tcPr>
          <w:p w14:paraId="049F33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6A8851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catálogo de rutas creció respecto de lo planificado, por los requisitos de respaldo documental.</w:t>
            </w:r>
          </w:p>
        </w:tc>
      </w:tr>
      <w:tr w:rsidR="00FD5149" w:rsidRPr="006E3B0D" w14:paraId="6013DE9D" w14:textId="77777777" w:rsidTr="00EA0C09">
        <w:tc>
          <w:tcPr>
            <w:tcW w:w="1328" w:type="dxa"/>
          </w:tcPr>
          <w:p w14:paraId="4EAA0DE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6CE3BDA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autenticación y del control de acceso por rol.</w:t>
            </w:r>
          </w:p>
        </w:tc>
        <w:tc>
          <w:tcPr>
            <w:tcW w:w="1276" w:type="dxa"/>
          </w:tcPr>
          <w:p w14:paraId="77F01AC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Tokens JWT, cifrado de contraseñas con </w:t>
            </w:r>
            <w:proofErr w:type="spellStart"/>
            <w:r>
              <w:rPr>
                <w:rFonts w:ascii="Calibri" w:hAnsi="Calibri" w:cs="Arial"/>
                <w:sz w:val="20"/>
                <w:szCs w:val="20"/>
                <w:lang w:eastAsia="es-CL"/>
              </w:rPr>
              <w:t>Bcrypt</w:t>
            </w:r>
            <w:proofErr w:type="spellEnd"/>
            <w:r>
              <w:rPr>
                <w:rFonts w:ascii="Calibri" w:hAnsi="Calibri" w:cs="Arial"/>
                <w:sz w:val="20"/>
                <w:szCs w:val="20"/>
                <w:lang w:eastAsia="es-CL"/>
              </w:rPr>
              <w:t>.</w:t>
            </w:r>
          </w:p>
        </w:tc>
        <w:tc>
          <w:tcPr>
            <w:tcW w:w="1276" w:type="dxa"/>
          </w:tcPr>
          <w:p w14:paraId="5140B7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3AC447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y David Miranda (interfaz)</w:t>
            </w:r>
          </w:p>
        </w:tc>
        <w:tc>
          <w:tcPr>
            <w:tcW w:w="1276" w:type="dxa"/>
          </w:tcPr>
          <w:p w14:paraId="1701A7F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la verificación de credenciales quedaba desactivada por omisión, lo que dejaba el sistema abierto si se desplegaba siguiendo la guía.</w:t>
            </w:r>
          </w:p>
        </w:tc>
        <w:tc>
          <w:tcPr>
            <w:tcW w:w="1418" w:type="dxa"/>
          </w:tcPr>
          <w:p w14:paraId="35952A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36907CE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invirtió la política: en producción la autenticación se exige por defecto y desactivarla requiere una declaración explícita.</w:t>
            </w:r>
          </w:p>
        </w:tc>
      </w:tr>
      <w:tr w:rsidR="00FD5149" w:rsidRPr="006E3B0D" w14:paraId="35F432C1" w14:textId="77777777" w:rsidTr="00EA0C09">
        <w:tc>
          <w:tcPr>
            <w:tcW w:w="1328" w:type="dxa"/>
          </w:tcPr>
          <w:p w14:paraId="7550182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1CBC93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usuario en sus dos modos de uso.</w:t>
            </w:r>
          </w:p>
        </w:tc>
        <w:tc>
          <w:tcPr>
            <w:tcW w:w="1276" w:type="dxa"/>
          </w:tcPr>
          <w:p w14:paraId="0966DF92"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React</w:t>
            </w:r>
            <w:proofErr w:type="spellEnd"/>
            <w:r>
              <w:rPr>
                <w:rFonts w:ascii="Calibri" w:hAnsi="Calibri" w:cs="Arial"/>
                <w:sz w:val="20"/>
                <w:szCs w:val="20"/>
                <w:lang w:eastAsia="es-CL"/>
              </w:rPr>
              <w:t xml:space="preserve"> 19,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 Vite, biblioteca de componentes Material UI.</w:t>
            </w:r>
          </w:p>
        </w:tc>
        <w:tc>
          <w:tcPr>
            <w:tcW w:w="1276" w:type="dxa"/>
          </w:tcPr>
          <w:p w14:paraId="4A9B9C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5 semanas</w:t>
            </w:r>
          </w:p>
        </w:tc>
        <w:tc>
          <w:tcPr>
            <w:tcW w:w="1275" w:type="dxa"/>
          </w:tcPr>
          <w:p w14:paraId="4ED6CB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215181F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el trabajo pantalla por pantalla, a partir de maquetas, evitó reprocesos. Dificultad: el tamaño del paquete de distribución </w:t>
            </w:r>
            <w:r>
              <w:rPr>
                <w:rFonts w:ascii="Calibri" w:hAnsi="Calibri" w:cs="Arial"/>
                <w:sz w:val="20"/>
                <w:szCs w:val="20"/>
                <w:lang w:eastAsia="es-CL"/>
              </w:rPr>
              <w:lastRenderedPageBreak/>
              <w:t>retrasaba la apertura de la caja.</w:t>
            </w:r>
          </w:p>
        </w:tc>
        <w:tc>
          <w:tcPr>
            <w:tcW w:w="1418" w:type="dxa"/>
          </w:tcPr>
          <w:p w14:paraId="4EF3EF2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En curso</w:t>
            </w:r>
          </w:p>
        </w:tc>
        <w:tc>
          <w:tcPr>
            <w:tcW w:w="850" w:type="dxa"/>
          </w:tcPr>
          <w:p w14:paraId="7F2B2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dividió la carga por pantalla, con lo que el peso descargado al abrir la caja </w:t>
            </w:r>
            <w:r>
              <w:rPr>
                <w:rFonts w:ascii="Calibri" w:hAnsi="Calibri" w:cs="Arial"/>
                <w:sz w:val="20"/>
                <w:szCs w:val="20"/>
                <w:lang w:eastAsia="es-CL"/>
              </w:rPr>
              <w:lastRenderedPageBreak/>
              <w:t>bajó de 1.967 a 899 kilobytes.</w:t>
            </w:r>
          </w:p>
        </w:tc>
      </w:tr>
      <w:tr w:rsidR="00FD5149" w:rsidRPr="006E3B0D" w14:paraId="5F836348" w14:textId="77777777" w:rsidTr="00EA0C09">
        <w:tc>
          <w:tcPr>
            <w:tcW w:w="1328" w:type="dxa"/>
          </w:tcPr>
          <w:p w14:paraId="744BDE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1DB1D2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Ingesta de facturas de compra mediante reconocimiento con inteligencia artificial.</w:t>
            </w:r>
          </w:p>
        </w:tc>
        <w:tc>
          <w:tcPr>
            <w:tcW w:w="1276" w:type="dxa"/>
          </w:tcPr>
          <w:p w14:paraId="49F0C88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Interfaz de programación de Google Gemini, extractor local de documentos PDF.</w:t>
            </w:r>
          </w:p>
        </w:tc>
        <w:tc>
          <w:tcPr>
            <w:tcW w:w="1276" w:type="dxa"/>
          </w:tcPr>
          <w:p w14:paraId="3549DC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6DAB648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33D53A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servicio externo retiró dos versiones del modelo en una semana y su plan gratuito limita las llamadas por minuto. Dificultad mayor: ante una imagen ilegible el servicio responde sin error y con los campos vacíos.</w:t>
            </w:r>
          </w:p>
        </w:tc>
        <w:tc>
          <w:tcPr>
            <w:tcW w:w="1418" w:type="dxa"/>
          </w:tcPr>
          <w:p w14:paraId="42BE42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80DAB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fijó la versión del modelo mediante una variable de configuración y se agregaron un extractor local de respaldo, una cola de reintentos y un aviso al usuario cuando la fotografía no es legible. La validación de la lectura en el servidor quedó cerrada el 11 de octubre y está cubierta por pruebas. Se </w:t>
            </w:r>
            <w:r>
              <w:rPr>
                <w:rFonts w:ascii="Calibri" w:hAnsi="Calibri" w:cs="Arial"/>
                <w:sz w:val="20"/>
                <w:szCs w:val="20"/>
                <w:lang w:eastAsia="es-CL"/>
              </w:rPr>
              <w:lastRenderedPageBreak/>
              <w:t>incorporó además el resguardo del documento original, en el equipo del local y en la nube.</w:t>
            </w:r>
          </w:p>
        </w:tc>
      </w:tr>
      <w:tr w:rsidR="00FD5149" w:rsidRPr="006E3B0D" w14:paraId="1409A970" w14:textId="77777777" w:rsidTr="00EA0C09">
        <w:tc>
          <w:tcPr>
            <w:tcW w:w="1328" w:type="dxa"/>
          </w:tcPr>
          <w:p w14:paraId="4E849C4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506BD8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del cumplimiento normativo chileno.</w:t>
            </w:r>
          </w:p>
        </w:tc>
        <w:tc>
          <w:tcPr>
            <w:tcW w:w="1276" w:type="dxa"/>
          </w:tcPr>
          <w:p w14:paraId="544E8A3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Normativa tributaria y sanitaria vigente, biblioteca de firma electrónica.</w:t>
            </w:r>
          </w:p>
        </w:tc>
        <w:tc>
          <w:tcPr>
            <w:tcW w:w="1276" w:type="dxa"/>
          </w:tcPr>
          <w:p w14:paraId="6419CE0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D01BF2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0F287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normativa está publicada y es verificable, lo que permite probar cada regla. Dificultad: la emisión de documentos exige folios autorizados por el organismo.</w:t>
            </w:r>
          </w:p>
        </w:tc>
        <w:tc>
          <w:tcPr>
            <w:tcW w:w="1418" w:type="dxa"/>
          </w:tcPr>
          <w:p w14:paraId="7B911D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093011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emisión queda local; la conexión con el Servicio de Impuestos Internos se traslada a la Fase 3.</w:t>
            </w:r>
          </w:p>
        </w:tc>
      </w:tr>
      <w:tr w:rsidR="00FD5149" w:rsidRPr="006E3B0D" w14:paraId="19D76AAB" w14:textId="77777777" w:rsidTr="00EA0C09">
        <w:tc>
          <w:tcPr>
            <w:tcW w:w="1328" w:type="dxa"/>
          </w:tcPr>
          <w:p w14:paraId="51B5DF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493E3D6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y ejecución de la batería de pruebas automatizadas.</w:t>
            </w:r>
          </w:p>
        </w:tc>
        <w:tc>
          <w:tcPr>
            <w:tcW w:w="1276" w:type="dxa"/>
          </w:tcPr>
          <w:p w14:paraId="73C72D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Jest, </w:t>
            </w:r>
            <w:proofErr w:type="spellStart"/>
            <w:r>
              <w:rPr>
                <w:rFonts w:ascii="Calibri" w:hAnsi="Calibri" w:cs="Arial"/>
                <w:sz w:val="20"/>
                <w:szCs w:val="20"/>
                <w:lang w:eastAsia="es-CL"/>
              </w:rPr>
              <w:t>Vitest</w:t>
            </w:r>
            <w:proofErr w:type="spellEnd"/>
            <w:r>
              <w:rPr>
                <w:rFonts w:ascii="Calibri" w:hAnsi="Calibri" w:cs="Arial"/>
                <w:sz w:val="20"/>
                <w:szCs w:val="20"/>
                <w:lang w:eastAsia="es-CL"/>
              </w:rPr>
              <w:t>, cliente de pruebas de extremo a extremo desarrollado por el equipo.</w:t>
            </w:r>
          </w:p>
        </w:tc>
        <w:tc>
          <w:tcPr>
            <w:tcW w:w="1276" w:type="dxa"/>
          </w:tcPr>
          <w:p w14:paraId="3B34F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7AB2511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(unitarias e integración) y David Miranda (extremo a extremo)</w:t>
            </w:r>
          </w:p>
        </w:tc>
        <w:tc>
          <w:tcPr>
            <w:tcW w:w="1276" w:type="dxa"/>
          </w:tcPr>
          <w:p w14:paraId="25DE12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pruebas detectaron regresiones antes de integrarlas. Dificultad: la interfaz de usuario no contaba con pruebas automatizadas.</w:t>
            </w:r>
          </w:p>
        </w:tc>
        <w:tc>
          <w:tcPr>
            <w:tcW w:w="1418" w:type="dxa"/>
          </w:tcPr>
          <w:p w14:paraId="53704B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incorporaron 18 pruebas unitarias de la interfaz, sobre sus reglas de negocio, y 11 pruebas del contrato que la une al servidor. La batería del servidor llegó a 210 pruebas unitarias y 87 de integración, con las 72 rutas cubiertas.</w:t>
            </w:r>
            <w:r>
              <w:rPr>
                <w:rFonts w:ascii="Calibri" w:hAnsi="Calibri" w:cs="Arial"/>
                <w:sz w:val="20"/>
                <w:szCs w:val="20"/>
                <w:lang w:eastAsia="es-CL"/>
              </w:rPr>
            </w:r>
          </w:p>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retiraron además las ocho aserciones que verificaban tiempos de respuesta dentro de pruebas de comportamiento. Una aserción de milisegundos no verifica el código: verifica la velocidad del equipo que la ejecuta. La medición se conserva y se informa, pero lo que se exige es un tope de regresión que solo detecta una operación que quedó colgada.</w:t>
            </w:r>
            <w:r>
              <w:rPr>
                <w:rFonts w:ascii="Calibri" w:hAnsi="Calibri" w:cs="Arial"/>
                <w:sz w:val="20"/>
                <w:szCs w:val="20"/>
                <w:lang w:eastAsia="es-CL"/>
              </w:rPr>
            </w:r>
          </w:p>
        </w:tc>
      </w:tr>
      <w:tr w:rsidR="00FD5149" w:rsidRPr="006E3B0D" w14:paraId="2F6E7576" w14:textId="77777777" w:rsidTr="00EA0C09">
        <w:tc>
          <w:tcPr>
            <w:tcW w:w="1328" w:type="dxa"/>
          </w:tcPr>
          <w:p w14:paraId="7823E8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Gestionar proyectos informáticos ofreciendo alternativas para la toma de decisiones.</w:t>
            </w:r>
          </w:p>
        </w:tc>
        <w:tc>
          <w:tcPr>
            <w:tcW w:w="1077" w:type="dxa"/>
          </w:tcPr>
          <w:p w14:paraId="1491E00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Revisión cruzada entre integrantes e informes de defectos.</w:t>
            </w:r>
          </w:p>
        </w:tc>
        <w:tc>
          <w:tcPr>
            <w:tcW w:w="1276" w:type="dxa"/>
          </w:tcPr>
          <w:p w14:paraId="3B4D35D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Informes de verificación, repositorio compartido.</w:t>
            </w:r>
          </w:p>
        </w:tc>
        <w:tc>
          <w:tcPr>
            <w:tcW w:w="1276" w:type="dxa"/>
          </w:tcPr>
          <w:p w14:paraId="1C17D1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58DE246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5D2673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revisión por el otro integrante detectó defectos que la lectura del propio autor no encontró, entre ellos la entrega de datos simulados presentados como reales.</w:t>
            </w:r>
          </w:p>
        </w:tc>
        <w:tc>
          <w:tcPr>
            <w:tcW w:w="1418" w:type="dxa"/>
          </w:tcPr>
          <w:p w14:paraId="272BF2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BF05EB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práctica se formalizó: cada entrega se verifica contra el sistema en ejecución antes de integrarla.</w:t>
            </w:r>
          </w:p>
        </w:tc>
      </w:tr>
      <w:tr w:rsidR="00FD5149" w:rsidRPr="006E3B0D" w14:paraId="251F5AB8" w14:textId="77777777" w:rsidTr="00EA0C09">
        <w:tc>
          <w:tcPr>
            <w:tcW w:w="1328" w:type="dxa"/>
          </w:tcPr>
          <w:p w14:paraId="3B9D07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123C9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Contenedorización del sistema y elaboración de la guía de despliegue.</w:t>
            </w:r>
          </w:p>
        </w:tc>
        <w:tc>
          <w:tcPr>
            <w:tcW w:w="1276" w:type="dxa"/>
          </w:tcPr>
          <w:p w14:paraId="39E9A1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Docker,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w:t>
            </w:r>
          </w:p>
        </w:tc>
        <w:tc>
          <w:tcPr>
            <w:tcW w:w="1276" w:type="dxa"/>
          </w:tcPr>
          <w:p w14:paraId="52F65EA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509A578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4C1BCF1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la contenedorización elimina las diferencias entre los equipos de </w:t>
            </w:r>
            <w:r>
              <w:rPr>
                <w:rFonts w:ascii="Calibri" w:hAnsi="Calibri" w:cs="Arial"/>
                <w:sz w:val="20"/>
                <w:szCs w:val="20"/>
                <w:lang w:eastAsia="es-CL"/>
              </w:rPr>
              <w:lastRenderedPageBreak/>
              <w:t>los integrantes.</w:t>
            </w:r>
          </w:p>
        </w:tc>
        <w:tc>
          <w:tcPr>
            <w:tcW w:w="1418" w:type="dxa"/>
          </w:tcPr>
          <w:p w14:paraId="61E4C6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Completado</w:t>
            </w:r>
          </w:p>
        </w:tc>
        <w:tc>
          <w:tcPr>
            <w:tcW w:w="850" w:type="dxa"/>
          </w:tcPr>
          <w:p w14:paraId="20A9975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21A1F584" w14:textId="77777777" w:rsidTr="00EA0C09">
        <w:tc>
          <w:tcPr>
            <w:tcW w:w="1328" w:type="dxa"/>
          </w:tcPr>
          <w:p w14:paraId="3EE7F93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Gestionar proyectos informáticos ofreciendo alternativas para la toma de decisiones.</w:t>
            </w:r>
          </w:p>
        </w:tc>
        <w:tc>
          <w:tcPr>
            <w:tcW w:w="1077" w:type="dxa"/>
          </w:tcPr>
          <w:p w14:paraId="6450B1E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Control de versiones y gestión de la configuración del proyecto.</w:t>
            </w:r>
          </w:p>
        </w:tc>
        <w:tc>
          <w:tcPr>
            <w:tcW w:w="1276" w:type="dxa"/>
          </w:tcPr>
          <w:p w14:paraId="06C605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Git, repositorio remoto compartido.</w:t>
            </w:r>
          </w:p>
        </w:tc>
        <w:tc>
          <w:tcPr>
            <w:tcW w:w="1276" w:type="dxa"/>
          </w:tcPr>
          <w:p w14:paraId="75DEE7A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0369201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730033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una reescritura del historial de la rama principal eliminó confirmaciones ya publicadas.</w:t>
            </w:r>
          </w:p>
        </w:tc>
        <w:tc>
          <w:tcPr>
            <w:tcW w:w="1418" w:type="dxa"/>
          </w:tcPr>
          <w:p w14:paraId="69D2C9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69B5F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acordó no reescribir el historial de la rama principal y verificar el estado remoto antes de integrar.</w:t>
            </w:r>
          </w:p>
        </w:tc>
      </w:tr>
      <w:tr w:rsidR="00FD5149" w:rsidRPr="006E3B0D" w14:paraId="1CF9A925" w14:textId="77777777" w:rsidTr="00EA0C09">
        <w:tc>
          <w:tcPr>
            <w:tcW w:w="1328" w:type="dxa"/>
          </w:tcPr>
          <w:p w14:paraId="5D54859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0E9509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Empaquetado del terminal como instalador de escritorio.</w:t>
            </w:r>
          </w:p>
        </w:tc>
        <w:tc>
          <w:tcPr>
            <w:tcW w:w="1276" w:type="dxa"/>
          </w:tcPr>
          <w:p w14:paraId="06A7EBE8"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Electron</w:t>
            </w:r>
            <w:proofErr w:type="spellEnd"/>
            <w:r>
              <w:rPr>
                <w:rFonts w:ascii="Calibri" w:hAnsi="Calibri" w:cs="Arial"/>
                <w:sz w:val="20"/>
                <w:szCs w:val="20"/>
                <w:lang w:eastAsia="es-CL"/>
              </w:rPr>
              <w:t>, instalador para Windows.</w:t>
            </w:r>
          </w:p>
        </w:tc>
        <w:tc>
          <w:tcPr>
            <w:tcW w:w="1276" w:type="dxa"/>
          </w:tcPr>
          <w:p w14:paraId="7311D27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DC4C9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173D18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se verificó que el cliente de base de datos local funciona dentro del empaquetador, que era la condición que podía obligar a reescribirlo. Dificultad descartada: no requiere que la interfaz se congele, porque el empaquetado toma la aplicación ya construida.</w:t>
            </w:r>
          </w:p>
        </w:tc>
        <w:tc>
          <w:tcPr>
            <w:tcW w:w="1418" w:type="dxa"/>
          </w:tcPr>
          <w:p w14:paraId="633901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1D0326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asignó responsable. Se midió el riesgo técnico antes de comprometer fecha: el entorno de escritorio incorpora la versión 24.22 del motor de ejecución, que expone el cliente de base de datos local empleado por el terminal, con las restricciones de integridad referencial activas. El riesgo queda descartado con evidencia y no se cambia de biblioteca.</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w:t>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Local comercial, equipo del establecimiento, formulario de observaciones.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es la única actividad que depende de un tercero externo al equipo y aún no se consigue el local.</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adelantó la gestión del contacto para no comprometer el cronograma de la Fase 3.</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Reemplazo del panel de tendencias de mercado por sugerencias de promoción calculadas sobre las ventas del local.</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Datos de venta y de vencimiento ya existentes en el sistema, React 19.</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velocidad de venta y los días de inventario restante ya se calculan y ya llegan a la interfaz, de modo que no requiere trabajo de servidor. Dificultad: el panel anterior presentaba como referencia externa un valor que el propio sistema calculaba.</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Decisión del equipo del 19 de octubre. No es una pantalla nueva: el mismo espacio pasa a mostrar dos reglas verificables sobre datos propios, qué conviene promocionar por rotación y qué conviene liquidar por vencimiento próximo. Se eliminan los proveedores simulados y la comparación de precio contra un mercado externo que el sistema no consulta.</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Análisis de productos que se venden juntos para recomendar promociones combinadas.</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Historial de ventas del local, consultas de coocurrencia sobre el detalle de venta.</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cálculo requiere un volumen de ventas reales que el sistema todavía no acumula. Medido sobre la base de datos de la nube: de 459 ventas registradas, 39 incluyen dos o más productos y ningún par de productos se repite más de una vez.</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Programada para la Fase 3, después de la prueba con usuarios en un local real, que es la actividad que aporta el historial necesario. Se declara con la medición que la fundamenta y no como una actividad pendiente sin explicación.</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Existencia por lote y consumo del vencimiento más próximo (FEFO).</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migraciones versionadas.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vencimiento era un único campo por producto, de modo que una reposición solo podía conservar una de las dos fechas en juego y el sistema no sabía cuántas unidades vencían en cada una. Facilitador: el modelo de datos ya contemplaba migraciones versionadas, lo que permitió incorporar la tabla sin recrear el esquema ni perder información.</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vencimiento pasó a llevarse por lote. La venta, la merma y la sincronización descuentan primero lo que vence antes. El estado existente se traspasó asignando a cada producto con fecha un lote inicial, aproximación que se declara porque el detalle anterior no quedó registrado; desde la migración en adelante cada compra entra con su propio lote.</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lastRenderedPageBreak/>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dxa"/>
          </w:tcPr>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Factores que han facilitado y/o dificultado el desarrollo del plan de trabajo</w:t>
            </w:r>
          </w:p>
          <w:p w14:paraId="63B44049" w14:textId="77777777" w:rsidR="00D76B6A" w:rsidRDefault="00D76B6A">
            <w:pPr>
              <w:jc w:val="both"/>
            </w:pPr>
          </w:p>
          <w:p w14:paraId="15131D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facilitado el desarrollo.</w:t>
            </w:r>
          </w:p>
          <w:p w14:paraId="194CFCE5" w14:textId="77777777" w:rsidR="00D76B6A" w:rsidRDefault="00D76B6A">
            <w:pPr>
              <w:jc w:val="both"/>
            </w:pPr>
          </w:p>
          <w:p w14:paraId="398E99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división del trabajo por especialidad permitió avanzar en paralelo sin bloqueos: un integrante en el servidor, el modelo de datos y las pruebas unitarias, y el otro en la interfaz de usuario y la verificación funcional. El contrato entre ambas partes son las rutas de la interfaz de programación, documentadas y versionadas, de modo que cada uno pudo avanzar conociendo lo que el otro entregaría.</w:t>
            </w:r>
          </w:p>
          <w:p w14:paraId="2EB251E3" w14:textId="77777777" w:rsidR="00D76B6A" w:rsidRDefault="00D76B6A">
            <w:pPr>
              <w:jc w:val="both"/>
            </w:pPr>
          </w:p>
          <w:p w14:paraId="09FC42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verificación automatizada contra el sistema en ejecución resultó el facilitador de mayor impacto. Permitió detectar regresiones el mismo día en que se introducían y entregar al otro integrante un informe con la evidencia medida, en lugar de una descripción general del problema.</w:t>
            </w:r>
          </w:p>
          <w:p w14:paraId="2D972FE2" w14:textId="77777777" w:rsidR="00D76B6A" w:rsidRDefault="00D76B6A">
            <w:pPr>
              <w:jc w:val="both"/>
            </w:pPr>
          </w:p>
          <w:p w14:paraId="1C14B1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a partir de maquetas, construyendo una pantalla completa antes de iniciar la siguiente, evitó reprocesos y permitió mostrar avance funcional en cada iteración.</w:t>
            </w:r>
          </w:p>
          <w:p w14:paraId="60F19CCE" w14:textId="77777777" w:rsidR="00D76B6A" w:rsidRDefault="00D76B6A">
            <w:pPr>
              <w:jc w:val="both"/>
            </w:pPr>
          </w:p>
          <w:p w14:paraId="30196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dificultado el desarrollo, y acciones adoptadas.</w:t>
            </w:r>
          </w:p>
          <w:p w14:paraId="5A4EE5F9" w14:textId="77777777" w:rsidR="00D76B6A" w:rsidRDefault="00D76B6A">
            <w:pPr>
              <w:jc w:val="both"/>
            </w:pPr>
          </w:p>
          <w:p w14:paraId="1FD9711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dificultad: entrega de datos simulados presentados como reales. Ante una falla del servicio de reconocimiento de facturas, el sistema entregaba una factura completa inventada y la pantalla la mostraba como verdadera. El riesgo era que el usuario confirmara mercadería que nunca compró. Se detectó mediante la revisión cruzada, comparando el documento enviado con la respuesta del sistema. Acción adoptada: el simulador quedó deshabilitado cuando hay un servicio real disponible, y el sistema informa el e</w:t>
            </w:r>
            <w:r>
              <w:rPr>
                <w:rFonts w:ascii="Calibri" w:hAnsi="Calibri" w:cs="Arial"/>
                <w:sz w:val="20"/>
                <w:szCs w:val="20"/>
                <w:lang w:eastAsia="es-CL"/>
              </w:rPr>
              <w:t>rror en lugar de inventar datos.</w:t>
            </w:r>
          </w:p>
          <w:p w14:paraId="73D4BEA5" w14:textId="77777777" w:rsidR="00D76B6A" w:rsidRDefault="00D76B6A">
            <w:pPr>
              <w:jc w:val="both"/>
            </w:pPr>
          </w:p>
          <w:p w14:paraId="43A2B5B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dificultad: política de seguridad insegura por omisión. La verificación de credenciales solo se aplicaba si una variable de configuración estaba declarada, y dicha variable no figuraba en la documentación de despliegue. Quien instalara el sistema siguiendo la guía habría dejado la interfaz de programación abierta. Acción adoptada: se invirtió la política, de modo que en producción la autenticación se exige por defecto y desactivarla requiere una declaración explícita, y se documentó en la guía de de</w:t>
            </w:r>
            <w:r>
              <w:rPr>
                <w:rFonts w:ascii="Calibri" w:hAnsi="Calibri" w:cs="Arial"/>
                <w:sz w:val="20"/>
                <w:szCs w:val="20"/>
                <w:lang w:eastAsia="es-CL"/>
              </w:rPr>
              <w:t>spliegue.</w:t>
            </w:r>
          </w:p>
          <w:p w14:paraId="54228F17" w14:textId="77777777" w:rsidR="00D76B6A" w:rsidRDefault="00D76B6A">
            <w:pPr>
              <w:jc w:val="both"/>
            </w:pPr>
          </w:p>
          <w:p w14:paraId="4CD83C1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Tercera dificultad: dependencia de un servicio externo inestable. El proveedor del servicio de reconocimiento retiró dos versiones del modelo en una semana y su plan gratuito limita las llamadas por minuto. Se midió el comportamiento real: seis facturas consecutivas antes de agotar el límite, con recuperación en cien segundos, y una versión más reciente del modelo resultó diez veces más lenta que la vigente. Acción adoptada: la versión del </w:t>
            </w:r>
            <w:r>
              <w:rPr>
                <w:rFonts w:ascii="Calibri" w:hAnsi="Calibri" w:cs="Arial"/>
                <w:sz w:val="20"/>
                <w:szCs w:val="20"/>
                <w:lang w:eastAsia="es-CL"/>
              </w:rPr>
              <w:lastRenderedPageBreak/>
              <w:t>modelo se fija mediante una variable de configuración, existe un extractor local de respaldo y la decisión de actualizar se toma sobre mediciones propias y no sobre el anuncio del proveedor.</w:t>
            </w:r>
          </w:p>
          <w:p w14:paraId="1E875824" w14:textId="77777777" w:rsidR="00D76B6A" w:rsidRDefault="00D76B6A">
            <w:pPr>
              <w:jc w:val="both"/>
            </w:pPr>
          </w:p>
          <w:p w14:paraId="494D1F9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Cuarta dificultad: pérdida de historial en el repositorio. Una reescritura de la rama principal eliminó confirmaciones ya publicadas. No hubo pérdida de trabajo porque se verificó el contenido antes de integrar, pero el riesgo era real. Acción adoptada: se acordó no reescribir el historial de la rama principal y verificar el estado remoto antes de cada integración.</w:t>
            </w:r>
          </w:p>
          <w:p w14:paraId="2EC2AF44" w14:textId="77777777" w:rsidR="00D76B6A" w:rsidRDefault="00D76B6A">
            <w:pPr>
              <w:jc w:val="both"/>
            </w:pPr>
          </w:p>
          <w:p w14:paraId="7DCA86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Quinta dificultad: una fotografía ilegible de factura era dada por procesada. El servicio de reconocimiento responde sin error y con todos los campos vacíos, de modo que el sistema la consideraba leída; el registro local fallaba después y la factura no quedaba guardada en ninguna parte, mientras la pantalla informaba que la compra se había ingresado. Se detectó en la revisión cruzada, comparando el documento enviado con lo que el sistema declaraba haber guardado, y se documentó con el caso reproducible. Acc</w:t>
            </w:r>
            <w:r>
              <w:rPr>
                <w:rFonts w:ascii="Calibri" w:hAnsi="Calibri" w:cs="Arial"/>
                <w:sz w:val="20"/>
                <w:szCs w:val="20"/>
                <w:lang w:eastAsia="es-CL"/>
              </w:rPr>
              <w:t>ión adoptada: el servidor comprueba ahora si lo extraído tiene contenido útil antes de darlo por válido y distingue dos situaciones, el documento que no se puede leer y el servicio que no responde. En el primer caso avisa al usuario y conserva el archivo como lectura fallida; en el segundo lo deja en la cola de reintentos. Ninguna factura se declara ingresada si no quedó registrada en el equipo del local. La corrección se integró el 11 de octubre de 2026 y está cubierta por 16 pruebas unitarias.</w:t>
            </w:r>
          </w:p>
          <w:p w14:paraId="5D927721"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Retroalimentación recibida y su incorporación al plan.</w:t>
            </w:r>
          </w:p>
          <w:p w14:paraId="56F10DDF"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La docente guía entregó tres observaciones durante el desarrollo de la fase, y las tres se tradujeron en decisiones concretas sobre el alcance del proyecto.</w:t>
            </w:r>
          </w:p>
          <w:p w14:paraId="78ADF887"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Primera observación: no incorporar demasiadas funcionalidades, para no sobrecargar al equipo y quedar sin poder cumplir las que ya estaban comprometidas. Se adoptó como criterio de aceptación de cambios y durante la Fase 2 no se agregó ningún módulo nuevo al alcance. Se eliminó el registro público de usuarios, se acotó la emisión de documentos tributarios a su parte local y se postergó el empaquetado del terminal. Las cuatro actividades que sí se incorporaron no son funcionalidades nuevas, sino resguardos s</w:t>
            </w:r>
            <w:r w:rsidRPr="00492281">
              <w:rPr>
                <w:rFonts w:ascii="Calibri" w:hAnsi="Calibri" w:cs="Arial"/>
                <w:bCs/>
                <w:sz w:val="20"/>
                <w:szCs w:val="20"/>
                <w:lang w:eastAsia="es-CL"/>
              </w:rPr>
              <w:t>obre funcionalidades ya planificadas: el respaldo del documento de la factura, la cola de reintentos, el aviso de fotografía ilegible y la división de la carga de la aplicación. Ninguna amplía lo que el sistema ofrece al usuario; todas evitan que lo ya ofrecido falle sin que nadie lo advierta.</w:t>
            </w:r>
          </w:p>
          <w:p w14:paraId="45244F0D"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 xml:space="preserve">Segunda observación: ajustarse al cronograma declarado para la implementación de cada módulo. El plan de trabajo se mantiene como instrumento de control y cada actividad se cierra contra él, con su responsable y su duración. Los dos desvíos del periodo, la optimización del paquete de distribución y el respaldo documental de las facturas, se absorbieron dentro de la holgura de las actividades a las que pertenecen y no movieron la fecha de inicio de los módulos siguientes. Las dos actividades no iniciadas se </w:t>
            </w:r>
            <w:r w:rsidRPr="00492281">
              <w:rPr>
                <w:rFonts w:ascii="Calibri" w:hAnsi="Calibri" w:cs="Arial"/>
                <w:bCs/>
                <w:sz w:val="20"/>
                <w:szCs w:val="20"/>
                <w:lang w:eastAsia="es-CL"/>
              </w:rPr>
              <w:t>declaran con su motivo y su fecha prevista en el apartado correspondiente de este informe, y no se dan por avanzadas.</w:t>
            </w:r>
          </w:p>
          <w:p w14:paraId="1CF970E1" w14:textId="77777777" w:rsidR="00D76B6A" w:rsidRDefault="00BD14C3">
            <w:pPr>
              <w:jc w:val="both"/>
              <w:rPr>
                <w:rFonts w:ascii="Calibri" w:hAnsi="Calibri" w:cs="Arial"/>
                <w:b/>
                <w:sz w:val="20"/>
                <w:szCs w:val="20"/>
                <w:lang w:eastAsia="es-CL"/>
              </w:rPr>
            </w:pPr>
            <w:r w:rsidRPr="00492281">
              <w:rPr>
                <w:rFonts w:ascii="Calibri" w:hAnsi="Calibri" w:cs="Arial"/>
                <w:bCs/>
                <w:sz w:val="20"/>
                <w:szCs w:val="20"/>
                <w:lang w:eastAsia="es-CL"/>
              </w:rPr>
              <w:t xml:space="preserve">Tercera observación: mantener la solución acorde al tamaño de la empresa a la que apunta, la pequeña y la microempresa. Esta observación ordenó varias decisiones técnicas. El terminal del local funciona sobre una base de datos que no requiere un servidor ni un administrador dedicado, de modo que el </w:t>
            </w:r>
            <w:proofErr w:type="spellStart"/>
            <w:r w:rsidRPr="00492281">
              <w:rPr>
                <w:rFonts w:ascii="Calibri" w:hAnsi="Calibri" w:cs="Arial"/>
                <w:bCs/>
                <w:sz w:val="20"/>
                <w:szCs w:val="20"/>
                <w:lang w:eastAsia="es-CL"/>
              </w:rPr>
              <w:t>minimarket</w:t>
            </w:r>
            <w:proofErr w:type="spellEnd"/>
            <w:r w:rsidRPr="00492281">
              <w:rPr>
                <w:rFonts w:ascii="Calibri" w:hAnsi="Calibri" w:cs="Arial"/>
                <w:bCs/>
                <w:sz w:val="20"/>
                <w:szCs w:val="20"/>
                <w:lang w:eastAsia="es-CL"/>
              </w:rPr>
              <w:t xml:space="preserve"> no necesita infraestructura propia ni conexión permanente para vender. La interfaz tiene un modo visual pensado para quien atiende sin formación técnica, y las cuentas del personal las crea el dueño del local. El reconocimiento de facturas se diseñó para operar dentro del plan gratuito del servicio, con un extractor local que lo reemplaza cuando ese plan se agota, de manera que el costo mensual de operación no crezca con el uso. Por el mismo criterio, el sistema no contempla el manejo de múltiples bodegas </w:t>
            </w:r>
            <w:r w:rsidRPr="00492281">
              <w:rPr>
                <w:rFonts w:ascii="Calibri" w:hAnsi="Calibri" w:cs="Arial"/>
                <w:bCs/>
                <w:sz w:val="20"/>
                <w:szCs w:val="20"/>
                <w:lang w:eastAsia="es-CL"/>
              </w:rPr>
              <w:t>ni la integración con sistemas contables de terceros, que son requisitos de cadenas grandes y no de un local de barrio.</w:t>
            </w:r>
          </w:p>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Sexta dificultad: una prueba que fallaba de forma intermitente y no se podía reproducir. El ayudante de pruebas, al solicitársele la base de datos de la nube, comprobaba su disponibilidad con medio segundo de margen y, si no alcanzaba a responder, continuaba sobre el motor en memoria sin avisar. Como cada conjunto de pruebas consulta por separado, uno solo podía ejecutarse sobre un motor distinto al del resto de la corrida sin dejar rastro. Allí se ocultó durante dos ejecuciones una sentencia válida en el motor de la nube que el motor en memoria no implementa: el conjunto que se degradaba fallaba, los demás aprobaban, y el resultado parecía aleatorio. Acción adoptada: si se solicita el motor real y no responde, la corrida se detiene indicando el motivo, en vez de continuar sobre otro motor, porque eso haría pasar por verificado contra la nube algo que no lo está. La sentencia se reemplazó por una equivalente que ambos motores admiten, y la batería se ejecuta desde entonces contra los dos.</w:t>
            </w:r>
          </w:p>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Séptima dificultad: una prueba de ingesta aprobaba en el equipo de un integrante y fallaba en el del otro sobre idéntico código, por una aserción de tiempo de respuesta. Un resultado de cien por ciento aprobado que depende del computador no constituye evidencia, y habría fallado ante quien estuviera revisando. Acción adoptada: la medición de tiempo se separó de la aserción. La referencia de desempeño sigue declarada y se informa cuando la corrida la supera, pero lo que se exige es un tope de regresión deliberadamente alto, que no mide desempeño sino que detecta una operación colgada. Fueron ocho aserciones, con topes entre cincuenta y quinientos milisegundos.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dxa"/>
          </w:tcPr>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lastRenderedPageBreak/>
              <w:t>Actividades ajustadas o eliminadas</w:t>
            </w:r>
          </w:p>
          <w:p w14:paraId="576DF25E" w14:textId="77777777" w:rsidR="00D76B6A" w:rsidRDefault="00D76B6A">
            <w:pPr>
              <w:jc w:val="both"/>
            </w:pPr>
          </w:p>
          <w:p w14:paraId="2FF7D1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eliminada: registro público de usuarios. Se encontraba planificada y se eliminó tras contrastarla con la operación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donde las cuentas del personal las crea el dueño del local y no cada trabajador. En su lugar se desarrolló una sección de administración de personal, visible solo para el rol administrador. La decisión reduce además la superficie expuesta del sistema, ya que elimina un punto de entrada público.</w:t>
            </w:r>
          </w:p>
          <w:p w14:paraId="51337EF0" w14:textId="77777777" w:rsidR="00D76B6A" w:rsidRDefault="00D76B6A">
            <w:pPr>
              <w:jc w:val="both"/>
            </w:pPr>
          </w:p>
          <w:p w14:paraId="3F9993A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ajustada: alcance de la emisión de documentos tributarios. Se planificó la emisión completa con envío al Servicio de Impuestos Internos. Se ajustó a emisión, firma y timbrado local, trasladando el envío a la Fase 3, porque la conexión con el organismo requiere folios autorizados y un proceso de certificación cuyo plazo no depende del equipo. La funcionalidad local es verificable de inmediato y no bloquea el resto del desarrollo.</w:t>
            </w:r>
          </w:p>
          <w:p w14:paraId="01C25F0A" w14:textId="77777777" w:rsidR="00D76B6A" w:rsidRDefault="00D76B6A">
            <w:pPr>
              <w:jc w:val="both"/>
            </w:pPr>
          </w:p>
          <w:p w14:paraId="18C4AF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optimización del paquete de distribución. No estaba planificada como actividad propia. Se incorporó al detectar, mediante medición, que la aplicación descargaba un único archivo de 1.967 kilobytes al abrirse, lo que retrasaba la apertura de la caja. Se dividió la carga por pantalla y el peso inicial bajó a 899 kilobytes.</w:t>
            </w:r>
          </w:p>
          <w:p w14:paraId="4C858D9D" w14:textId="77777777" w:rsidR="00D76B6A" w:rsidRDefault="00D76B6A">
            <w:pPr>
              <w:jc w:val="both"/>
            </w:pPr>
          </w:p>
          <w:p w14:paraId="3A96A7D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respaldo documental de las facturas de compra. No estaba planificada. Se incorporó al advertir que el sistema descartaba el archivo original después de leerlo, siendo que una factura de compra es el soporte del crédito fiscal del impuesto al valor agregado y tanto el contador como el Servicio de Impuestos Internos pueden exigirlo. El documento se guarda ahora antes de intentar leerlo, se conserva en el equipo del local y se replica en la nube, y puede recuperarse desde la aplicación i</w:t>
            </w:r>
            <w:r>
              <w:rPr>
                <w:rFonts w:ascii="Calibri" w:hAnsi="Calibri" w:cs="Arial"/>
                <w:sz w:val="20"/>
                <w:szCs w:val="20"/>
                <w:lang w:eastAsia="es-CL"/>
              </w:rPr>
              <w:t>ncluso si el archivo local se perdió. El esquema de datos se amplió con dos migraciones para sostenerlo.</w:t>
            </w:r>
          </w:p>
          <w:p w14:paraId="40B09FFE" w14:textId="77777777" w:rsidR="00D76B6A" w:rsidRDefault="00D76B6A">
            <w:pPr>
              <w:jc w:val="both"/>
            </w:pPr>
          </w:p>
          <w:p w14:paraId="52F6AD6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resto del plan de trabajo no requirió ajustes. Esto se explica por dos facilitadores ya descritos: la división por especialidad, que evitó dependencias bloqueantes entre los integrantes, y la verificación automatizada, que acotó el retrabajo al detectar los defectos dentro de la misma iteración en que se introducían.</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eliminada: tendencias de mercado obtenidas de servicios externos. Estaba construida y se retiró tras verificar que ningún proveedor consultaba internet: los indicadores se derivaban del largo del nombre del producto, de modo que el panel informaba al dueño del local una diferencia de precio contra un mercado que nunca se consultó. Obtener esos datos exige una aplicación registrada y un proceso de autorización ante cada servicio, cuyo plazo no depende del equipo.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incorporada en su reemplazo: sugerencias de promoción sobre datos propios. Ocupa el mismo espacio de la interfaz y aplica dos reglas verificables sobre información que el sistema ya calcula: productos de rotación alta con poco stock disponible, y productos con vencimiento próximo y stock por liquidar. No incorpora una pantalla nueva ni amplía el alcance comprometido; sustituye un dato inventado por uno medido.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La tercera regla prevista, recomendar promociones combinando productos que suelen venderse juntos, se traslada a la Fase 3 por falta de historial, con la medición que lo justifica indicada en el plan de trabajo. El equipo prefirió declararlo así y no presentar una recomendación que hoy no tendría ningún respaldo estadístico.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incorporada: existencia por lote para el control de vencimientos. No estaba planificada como actividad propia. Se incorporó al advertir que el sistema registraba una sola fecha de vencimiento por producto, de modo que al reponer mercadería la fecha del lote entrante reemplazaba a la anterior y las unidades que vencían antes desaparecían de la alerta. No amplía el alcance comprometido: el control de vencimientos por el método FEFO ya estaba declarado como requisito normativo, y esta actividad es lo que lo hace efectivo. El criterio que la gobierna es que la existencia del producto es la fuente de verdad y el lote es una capa contable sobre ella, de modo que una discrepancia entre ambos nunca impide registrar una venta.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dxa"/>
          </w:tcPr>
          <w:p w14:paraId="5C6782B0"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Actividades que no se han iniciado o están retrasadas</w:t>
            </w:r>
          </w:p>
          <w:p w14:paraId="0A0D8936" w14:textId="77777777" w:rsidR="00D76B6A" w:rsidRDefault="00D76B6A">
            <w:pPr>
              <w:jc w:val="both"/>
            </w:pPr>
          </w:p>
          <w:p w14:paraId="445585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no iniciada: empaquetado del terminal como instalador de escritorio. La toma Marcelo Pino. No se ha iniciado porque estaba pendiente de verificar que el cliente de base de datos local funcionara dentro del entorno de escritorio, condición que de no cumplirse habría obligado a reemplazarlo y a rehacer las migraciones. La verificación se realizó el 19 de octubre y el resultado fue favorable, de modo que la actividad queda habilitada para iniciarse. No compromete el proyecto, ya que la aplicación funciona hoy en navegador y el empaquetado no modifica la lógica del sistema. Se descartó además la necesidad de congelar la interfaz: el empaquetado toma la aplicación ya construida, por lo que ambos integrantes pueden avanzar en paralelo.</w:t>
            </w:r>
          </w:p>
          <w:p w14:paraId="2001ABDA" w14:textId="77777777" w:rsidR="00D76B6A" w:rsidRDefault="00D76B6A">
            <w:pPr>
              <w:jc w:val="both"/>
            </w:pPr>
          </w:p>
          <w:p w14:paraId="7B2A90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no iniciada: 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 Es la única actividad del proyecto que depende de un tercero externo al equipo y aún no se consigue el local participante. Es también el principal riesgo del cronograma, porque su fecha no la controla el equipo. Estrategia: se adelantó la gestión del contacto respecto de la fecha planificada y se contemplan dos alternativas: realizar la prueba en un comercio conocido por </w:t>
            </w:r>
            <w:r>
              <w:rPr>
                <w:rFonts w:ascii="Calibri" w:hAnsi="Calibri" w:cs="Arial"/>
                <w:sz w:val="20"/>
                <w:szCs w:val="20"/>
                <w:lang w:eastAsia="es-CL"/>
              </w:rPr>
              <w:lastRenderedPageBreak/>
              <w:t>los integrantes o, de no conseguirse, ejecutar un ensayo con usuarios no técnicos sobre el sistema completo, documentando la diferencia de alcance en el informe final.</w:t>
            </w:r>
          </w:p>
          <w:p w14:paraId="2AF580B2" w14:textId="77777777" w:rsidR="00D76B6A" w:rsidRDefault="00D76B6A">
            <w:pPr>
              <w:jc w:val="both"/>
            </w:pPr>
          </w:p>
          <w:p w14:paraId="275707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cerrada dentro del periodo que cubre este informe: validación de la lectura de facturas ilegibles. Se declara aquí porque en la revisión anterior figuraba como defecto abierto, con la corrección del servidor asignada y pendiente. La corrección se integró y se verificó, de modo que no traslada deuda a la Fase 3. Queda como pendiente menor la habilitación de la clave de producción del servicio de reconocimiento, que no afecta al resto del sistema porque el extractor local de respaldo cubre las factu</w:t>
            </w:r>
            <w:r>
              <w:rPr>
                <w:rFonts w:ascii="Calibri" w:hAnsi="Calibri" w:cs="Arial"/>
                <w:sz w:val="20"/>
                <w:szCs w:val="20"/>
                <w:lang w:eastAsia="es-CL"/>
              </w:rPr>
              <w:t>ras en formato digital.</w:t>
            </w:r>
          </w:p>
        </w:tc>
      </w:tr>
    </w:tbl>
    <w:p w14:paraId="23A72E3B" w14:textId="77777777" w:rsidR="0003309E" w:rsidRPr="0003309E" w:rsidRDefault="0003309E">
      <w:pPr>
        <w:rPr>
          <w:lang w:val="es-ES"/>
        </w:rPr>
      </w:pPr>
    </w:p>
    <w:p w14:paraId="50C992B9" w14:textId="77777777" w:rsidR="00D76B6A" w:rsidRDefault="00BD14C3">
      <w:pPr>
        <w:spacing w:before="120" w:after="120"/>
        <w:jc w:val="center"/>
      </w:pPr>
      <w:r>
        <w:rPr>
          <w:rFonts w:ascii="Calibri" w:hAnsi="Calibri" w:cs="Arial"/>
          <w:b/>
          <w:sz w:val="24"/>
          <w:szCs w:val="24"/>
        </w:rPr>
        <w:t>Anexo. Capturas del sistema en funcionamiento</w:t>
      </w:r>
    </w:p>
    <w:p w14:paraId="600EAFA0" w14:textId="77777777" w:rsidR="00D76B6A" w:rsidRDefault="00BD14C3">
      <w:pPr>
        <w:spacing w:before="120" w:after="120"/>
        <w:jc w:val="both"/>
      </w:pPr>
      <w:r>
        <w:rPr>
          <w:rFonts w:ascii="Calibri" w:hAnsi="Calibri" w:cs="Arial"/>
          <w:sz w:val="20"/>
          <w:szCs w:val="20"/>
        </w:rPr>
        <w:t>Las siguientes capturas corresponden al sistema en ejecución sobre la base de datos del terminal, con datos reales de prueba. Cada una evidencia un módulo descrito en el apartado de evidencias.</w:t>
      </w:r>
    </w:p>
    <w:p w14:paraId="2E7486F6" w14:textId="77777777" w:rsidR="00D76B6A" w:rsidRDefault="00BD14C3">
      <w:pPr>
        <w:spacing w:before="240" w:after="60"/>
        <w:jc w:val="center"/>
      </w:pPr>
      <w:r>
        <w:rPr>
          <w:noProof/>
        </w:rPr>
        <w:drawing>
          <wp:inline distT="0" distB="0" distL="0" distR="0" wp14:anchorId="0D78138A" wp14:editId="52925E7D">
            <wp:extent cx="5580000" cy="3348000"/>
            <wp:effectExtent l="0" t="0" r="0" b="0"/>
            <wp:docPr id="901" name="Imagen 1" descr="1-ca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1-caja.jpg"/>
                    <pic:cNvPicPr/>
                  </pic:nvPicPr>
                  <pic:blipFill>
                    <a:blip r:embed="rId10"/>
                    <a:stretch>
                      <a:fillRect/>
                    </a:stretch>
                  </pic:blipFill>
                  <pic:spPr>
                    <a:xfrm>
                      <a:off x="0" y="0"/>
                      <a:ext cx="5580000" cy="3348000"/>
                    </a:xfrm>
                    <a:prstGeom prst="rect">
                      <a:avLst/>
                    </a:prstGeom>
                  </pic:spPr>
                </pic:pic>
              </a:graphicData>
            </a:graphic>
          </wp:inline>
        </w:drawing>
      </w:r>
    </w:p>
    <w:p w14:paraId="476A4C2E" w14:textId="77777777" w:rsidR="00D76B6A" w:rsidRDefault="00BD14C3">
      <w:pPr>
        <w:spacing w:before="120" w:after="120"/>
        <w:jc w:val="center"/>
      </w:pPr>
      <w:r>
        <w:rPr>
          <w:rFonts w:ascii="Calibri" w:hAnsi="Calibri" w:cs="Arial"/>
          <w:i/>
          <w:sz w:val="18"/>
          <w:szCs w:val="18"/>
        </w:rPr>
        <w:t>Figura 1. Punto de venta. Catálogo con los códigos de impuesto adicional a las bebidas alcohólicas, medios de pago y emisión de boleta o factura.</w:t>
      </w:r>
    </w:p>
    <w:p w14:paraId="53F95F1F" w14:textId="77777777" w:rsidR="00D76B6A" w:rsidRDefault="00BD14C3">
      <w:pPr>
        <w:spacing w:before="240" w:after="60"/>
        <w:jc w:val="center"/>
      </w:pPr>
      <w:r>
        <w:rPr>
          <w:noProof/>
        </w:rPr>
        <w:lastRenderedPageBreak/>
        <w:drawing>
          <wp:inline distT="0" distB="0" distL="0" distR="0" wp14:anchorId="543FB494" wp14:editId="2AFF836F">
            <wp:extent cx="5580000" cy="3348000"/>
            <wp:effectExtent l="0" t="0" r="0" b="0"/>
            <wp:docPr id="902" name="Imagen 2" descr="2-inventa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2-inventario.jpg"/>
                    <pic:cNvPicPr/>
                  </pic:nvPicPr>
                  <pic:blipFill>
                    <a:blip r:embed="rId11"/>
                    <a:stretch>
                      <a:fillRect/>
                    </a:stretch>
                  </pic:blipFill>
                  <pic:spPr>
                    <a:xfrm>
                      <a:off x="0" y="0"/>
                      <a:ext cx="5580000" cy="3348000"/>
                    </a:xfrm>
                    <a:prstGeom prst="rect">
                      <a:avLst/>
                    </a:prstGeom>
                  </pic:spPr>
                </pic:pic>
              </a:graphicData>
            </a:graphic>
          </wp:inline>
        </w:drawing>
      </w:r>
    </w:p>
    <w:p w14:paraId="20C2FD02" w14:textId="77777777" w:rsidR="00D76B6A" w:rsidRDefault="00BD14C3">
      <w:pPr>
        <w:spacing w:before="120" w:after="120"/>
        <w:jc w:val="center"/>
      </w:pPr>
      <w:r>
        <w:rPr>
          <w:rFonts w:ascii="Calibri" w:hAnsi="Calibri" w:cs="Arial"/>
          <w:i/>
          <w:sz w:val="18"/>
          <w:szCs w:val="18"/>
        </w:rPr>
        <w:t xml:space="preserve">Figura 2. Inventario y stock. Alerta sanitaria de vencimientos conforme al D.S. </w:t>
      </w:r>
      <w:proofErr w:type="spellStart"/>
      <w:r>
        <w:rPr>
          <w:rFonts w:ascii="Calibri" w:hAnsi="Calibri" w:cs="Arial"/>
          <w:i/>
          <w:sz w:val="18"/>
          <w:szCs w:val="18"/>
        </w:rPr>
        <w:t>N°</w:t>
      </w:r>
      <w:proofErr w:type="spellEnd"/>
      <w:r>
        <w:rPr>
          <w:rFonts w:ascii="Calibri" w:hAnsi="Calibri" w:cs="Arial"/>
          <w:i/>
          <w:sz w:val="18"/>
          <w:szCs w:val="18"/>
        </w:rPr>
        <w:t xml:space="preserve"> 977/96 del MINSAL, con el valor del inventario y el semáforo de stock mínimo.</w:t>
      </w:r>
    </w:p>
    <w:p w14:paraId="7370F9E9" w14:textId="77777777" w:rsidR="00D76B6A" w:rsidRDefault="00BD14C3">
      <w:pPr>
        <w:spacing w:before="240" w:after="60"/>
        <w:jc w:val="center"/>
      </w:pPr>
      <w:r>
        <w:rPr>
          <w:noProof/>
        </w:rPr>
        <w:drawing>
          <wp:inline distT="0" distB="0" distL="0" distR="0" wp14:anchorId="276201DB" wp14:editId="75EE01CD">
            <wp:extent cx="5580000" cy="3348000"/>
            <wp:effectExtent l="0" t="0" r="0" b="0"/>
            <wp:docPr id="903" name="Imagen 3" descr="3-factura-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3-factura-ia.jpg"/>
                    <pic:cNvPicPr/>
                  </pic:nvPicPr>
                  <pic:blipFill>
                    <a:blip r:embed="rId12"/>
                    <a:stretch>
                      <a:fillRect/>
                    </a:stretch>
                  </pic:blipFill>
                  <pic:spPr>
                    <a:xfrm>
                      <a:off x="0" y="0"/>
                      <a:ext cx="5580000" cy="3348000"/>
                    </a:xfrm>
                    <a:prstGeom prst="rect">
                      <a:avLst/>
                    </a:prstGeom>
                  </pic:spPr>
                </pic:pic>
              </a:graphicData>
            </a:graphic>
          </wp:inline>
        </w:drawing>
      </w:r>
    </w:p>
    <w:p w14:paraId="503044B9" w14:textId="77777777" w:rsidR="00D76B6A" w:rsidRDefault="00BD14C3">
      <w:pPr>
        <w:spacing w:before="120" w:after="120"/>
        <w:jc w:val="center"/>
      </w:pPr>
      <w:r>
        <w:rPr>
          <w:rFonts w:ascii="Calibri" w:hAnsi="Calibri" w:cs="Arial"/>
          <w:i/>
          <w:sz w:val="18"/>
          <w:szCs w:val="18"/>
        </w:rPr>
        <w:t>Figura 3. Lectura de una factura de compra con inteligencia artificial. El sistema extrajo el proveedor, el folio y los ocho productos del documento, y propuso el precio de venta de cada uno según el margen configurado.</w:t>
      </w:r>
    </w:p>
    <w:p w14:paraId="66C94865" w14:textId="77777777" w:rsidR="00D76B6A" w:rsidRDefault="00BD14C3">
      <w:pPr>
        <w:spacing w:before="240" w:after="60"/>
        <w:jc w:val="center"/>
      </w:pPr>
      <w:r>
        <w:rPr>
          <w:noProof/>
        </w:rPr>
        <w:lastRenderedPageBreak/>
        <w:drawing>
          <wp:inline distT="0" distB="0" distL="0" distR="0" wp14:anchorId="46C80E1B" wp14:editId="03D20CBC">
            <wp:extent cx="5580000" cy="3348000"/>
            <wp:effectExtent l="0" t="0" r="0" b="0"/>
            <wp:docPr id="904" name="Imagen 4" descr="4-respal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4-respaldo.jpg"/>
                    <pic:cNvPicPr/>
                  </pic:nvPicPr>
                  <pic:blipFill>
                    <a:blip r:embed="rId13"/>
                    <a:stretch>
                      <a:fillRect/>
                    </a:stretch>
                  </pic:blipFill>
                  <pic:spPr>
                    <a:xfrm>
                      <a:off x="0" y="0"/>
                      <a:ext cx="5580000" cy="3348000"/>
                    </a:xfrm>
                    <a:prstGeom prst="rect">
                      <a:avLst/>
                    </a:prstGeom>
                  </pic:spPr>
                </pic:pic>
              </a:graphicData>
            </a:graphic>
          </wp:inline>
        </w:drawing>
      </w:r>
    </w:p>
    <w:p w14:paraId="52EB26B4" w14:textId="77777777" w:rsidR="00D76B6A" w:rsidRDefault="00BD14C3">
      <w:pPr>
        <w:spacing w:before="120" w:after="120"/>
        <w:jc w:val="center"/>
      </w:pPr>
      <w:r>
        <w:rPr>
          <w:rFonts w:ascii="Calibri" w:hAnsi="Calibri" w:cs="Arial"/>
          <w:i/>
          <w:sz w:val="18"/>
          <w:szCs w:val="18"/>
        </w:rPr>
        <w:t>Figura 4. Respaldo tributario. Facturas de compra con su IVA crédito fiscal y acceso al documento original de cada una.</w:t>
      </w:r>
    </w:p>
    <w:p w14:paraId="2238A354" w14:textId="77777777" w:rsidR="00D76B6A" w:rsidRDefault="00BD14C3">
      <w:pPr>
        <w:spacing w:before="240" w:after="60"/>
        <w:jc w:val="center"/>
      </w:pPr>
      <w:r>
        <w:rPr>
          <w:noProof/>
        </w:rPr>
        <w:drawing>
          <wp:inline distT="0" distB="0" distL="0" distR="0" wp14:anchorId="2C3F437E" wp14:editId="120CFF49">
            <wp:extent cx="5580000" cy="3348000"/>
            <wp:effectExtent l="0" t="0" r="0" b="0"/>
            <wp:docPr id="905" name="Imagen 5" descr="5-reposic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5-reposicion.jpg"/>
                    <pic:cNvPicPr/>
                  </pic:nvPicPr>
                  <pic:blipFill>
                    <a:blip r:embed="rId14"/>
                    <a:stretch>
                      <a:fillRect/>
                    </a:stretch>
                  </pic:blipFill>
                  <pic:spPr>
                    <a:xfrm>
                      <a:off x="0" y="0"/>
                      <a:ext cx="5580000" cy="3348000"/>
                    </a:xfrm>
                    <a:prstGeom prst="rect">
                      <a:avLst/>
                    </a:prstGeom>
                  </pic:spPr>
                </pic:pic>
              </a:graphicData>
            </a:graphic>
          </wp:inline>
        </w:drawing>
      </w:r>
    </w:p>
    <w:p w14:paraId="71DEA27B" w14:textId="77777777" w:rsidR="00D76B6A" w:rsidRDefault="00BD14C3">
      <w:pPr>
        <w:spacing w:before="120" w:after="120"/>
        <w:jc w:val="center"/>
      </w:pPr>
      <w:r>
        <w:rPr>
          <w:rFonts w:ascii="Calibri" w:hAnsi="Calibri" w:cs="Arial"/>
          <w:i/>
          <w:sz w:val="18"/>
          <w:szCs w:val="18"/>
        </w:rPr>
        <w:t>Figura 5. Reposición de stock. Cálculo del punto de reorden por proveedor a partir del historial de ventas.</w:t>
      </w:r>
    </w:p>
    <w:p w14:paraId="050C4824" w14:textId="77777777" w:rsidR="00D76B6A" w:rsidRDefault="00BD14C3">
      <w:pPr>
        <w:spacing w:before="240" w:after="60"/>
        <w:jc w:val="center"/>
      </w:pPr>
      <w:r>
        <w:rPr>
          <w:noProof/>
        </w:rPr>
        <w:lastRenderedPageBreak/>
        <w:drawing>
          <wp:inline distT="0" distB="0" distL="0" distR="0" wp14:anchorId="17AA4413" wp14:editId="7A025B59">
            <wp:extent cx="5580000" cy="3348000"/>
            <wp:effectExtent l="0" t="0" r="0" b="0"/>
            <wp:docPr id="906" name="Imagen 6" descr="6-person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6-personas.jpg"/>
                    <pic:cNvPicPr/>
                  </pic:nvPicPr>
                  <pic:blipFill>
                    <a:blip r:embed="rId15"/>
                    <a:stretch>
                      <a:fillRect/>
                    </a:stretch>
                  </pic:blipFill>
                  <pic:spPr>
                    <a:xfrm>
                      <a:off x="0" y="0"/>
                      <a:ext cx="5580000" cy="3348000"/>
                    </a:xfrm>
                    <a:prstGeom prst="rect">
                      <a:avLst/>
                    </a:prstGeom>
                  </pic:spPr>
                </pic:pic>
              </a:graphicData>
            </a:graphic>
          </wp:inline>
        </w:drawing>
      </w:r>
    </w:p>
    <w:p w14:paraId="43383F81" w14:textId="77777777" w:rsidR="00D76B6A" w:rsidRDefault="00BD14C3">
      <w:pPr>
        <w:spacing w:before="120" w:after="120"/>
        <w:jc w:val="center"/>
      </w:pPr>
      <w:r>
        <w:rPr>
          <w:rFonts w:ascii="Calibri" w:hAnsi="Calibri" w:cs="Arial"/>
          <w:i/>
          <w:sz w:val="18"/>
          <w:szCs w:val="18"/>
        </w:rPr>
        <w:t>Figura 6. Control de acceso. Personal del local con su rol, administrado por el perfil administrador. Las cuentas las crea el administrador; no existe registro público.</w:t>
      </w:r>
    </w:p>
    <w:p w14:paraId="5FE91B11" w14:textId="77777777" w:rsidR="00D76B6A" w:rsidRDefault="00BD14C3">
      <w:pPr>
        <w:spacing w:before="240" w:after="60"/>
        <w:jc w:val="center"/>
      </w:pPr>
      <w:r>
        <w:rPr>
          <w:noProof/>
        </w:rPr>
        <w:drawing>
          <wp:inline distT="0" distB="0" distL="0" distR="0" wp14:anchorId="47776C5A" wp14:editId="4B849ED2">
            <wp:extent cx="5580000" cy="3348000"/>
            <wp:effectExtent l="0" t="0" r="0" b="0"/>
            <wp:docPr id="907" name="Imagen 7" descr="7-pan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7-panel.jpg"/>
                    <pic:cNvPicPr/>
                  </pic:nvPicPr>
                  <pic:blipFill>
                    <a:blip r:embed="rId16"/>
                    <a:stretch>
                      <a:fillRect/>
                    </a:stretch>
                  </pic:blipFill>
                  <pic:spPr>
                    <a:xfrm>
                      <a:off x="0" y="0"/>
                      <a:ext cx="5580000" cy="3348000"/>
                    </a:xfrm>
                    <a:prstGeom prst="rect">
                      <a:avLst/>
                    </a:prstGeom>
                  </pic:spPr>
                </pic:pic>
              </a:graphicData>
            </a:graphic>
          </wp:inline>
        </w:drawing>
      </w:r>
    </w:p>
    <w:p w14:paraId="0CC047E6" w14:textId="77777777" w:rsidR="00D76B6A" w:rsidRDefault="00BD14C3">
      <w:pPr>
        <w:spacing w:before="120" w:after="120"/>
        <w:jc w:val="center"/>
      </w:pPr>
      <w:r>
        <w:rPr>
          <w:rFonts w:ascii="Calibri" w:hAnsi="Calibri" w:cs="Arial"/>
          <w:i/>
          <w:sz w:val="18"/>
          <w:szCs w:val="18"/>
        </w:rPr>
        <w:t>Figura 7. Panel general. Indicadores del negocio calculados sobre los datos del sistema.</w:t>
      </w:r>
    </w:p>
    <w:p w14:paraId="78E34D77" w14:textId="77777777" w:rsidR="00AE0A12" w:rsidRDefault="00BD14C3">
      <w:pPr>
        <w:spacing w:before="240" w:after="60"/>
        <w:jc w:val="center"/>
      </w:pPr>
      <w:r>
        <w:rPr>
          <w:noProof/>
        </w:rPr>
        <w:lastRenderedPageBreak/>
        <w:drawing>
          <wp:inline distT="0" distB="0" distL="0" distR="0" wp14:anchorId="6DB1982B" wp14:editId="51278A34">
            <wp:extent cx="5580000" cy="3348000"/>
            <wp:effectExtent l="0" t="0" r="0" b="0"/>
            <wp:docPr id="95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8-cierre.jpg"/>
                    <pic:cNvPicPr/>
                  </pic:nvPicPr>
                  <pic:blipFill>
                    <a:blip r:embed="rId17"/>
                    <a:stretch>
                      <a:fillRect/>
                    </a:stretch>
                  </pic:blipFill>
                  <pic:spPr>
                    <a:xfrm>
                      <a:off x="0" y="0"/>
                      <a:ext cx="5580000" cy="3348000"/>
                    </a:xfrm>
                    <a:prstGeom prst="rect">
                      <a:avLst/>
                    </a:prstGeom>
                  </pic:spPr>
                </pic:pic>
              </a:graphicData>
            </a:graphic>
          </wp:inline>
        </w:drawing>
      </w:r>
    </w:p>
    <w:p w14:paraId="431FB8C7" w14:textId="77777777" w:rsidR="00AE0A12" w:rsidRDefault="00BD14C3">
      <w:pPr>
        <w:spacing w:before="120" w:after="120"/>
        <w:jc w:val="center"/>
      </w:pPr>
      <w:r>
        <w:rPr>
          <w:rFonts w:ascii="Calibri" w:hAnsi="Calibri" w:cs="Arial"/>
          <w:i/>
          <w:sz w:val="18"/>
          <w:szCs w:val="18"/>
        </w:rPr>
        <w:t>Figura 8. Cierre de caja y arqueo ciego. El sistema no muestra el monto esperado hasta que se termina de contar el efectivo, y recién entonces informa la diferencia. Incluye el reporte Z del turno.</w:t>
      </w:r>
    </w:p>
    <w:p w14:paraId="33008F86" w14:textId="77777777" w:rsidR="00AE0A12" w:rsidRDefault="00BD14C3">
      <w:pPr>
        <w:spacing w:before="240" w:after="60"/>
        <w:jc w:val="center"/>
      </w:pPr>
      <w:r>
        <w:rPr>
          <w:noProof/>
        </w:rPr>
        <w:drawing>
          <wp:inline distT="0" distB="0" distL="0" distR="0" wp14:anchorId="74EDCBF9" wp14:editId="61B6FC8D">
            <wp:extent cx="5580000" cy="3348000"/>
            <wp:effectExtent l="0" t="0" r="0" b="0"/>
            <wp:docPr id="9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9-ventas.jpg"/>
                    <pic:cNvPicPr/>
                  </pic:nvPicPr>
                  <pic:blipFill>
                    <a:blip r:embed="rId18"/>
                    <a:stretch>
                      <a:fillRect/>
                    </a:stretch>
                  </pic:blipFill>
                  <pic:spPr>
                    <a:xfrm>
                      <a:off x="0" y="0"/>
                      <a:ext cx="5580000" cy="3348000"/>
                    </a:xfrm>
                    <a:prstGeom prst="rect">
                      <a:avLst/>
                    </a:prstGeom>
                  </pic:spPr>
                </pic:pic>
              </a:graphicData>
            </a:graphic>
          </wp:inline>
        </w:drawing>
      </w:r>
    </w:p>
    <w:p w14:paraId="378ECA5E" w14:textId="77777777" w:rsidR="00AE0A12" w:rsidRDefault="00BD14C3">
      <w:pPr>
        <w:spacing w:before="120" w:after="120"/>
        <w:jc w:val="center"/>
      </w:pPr>
      <w:r>
        <w:rPr>
          <w:rFonts w:ascii="Calibri" w:hAnsi="Calibri" w:cs="Arial"/>
          <w:i/>
          <w:sz w:val="18"/>
          <w:szCs w:val="18"/>
        </w:rPr>
        <w:t>Figura 9. Historial de ventas. Cada venta con su documento y la opción de devolver. La fila marcada como devolución corresponde a una nota de crédito que anula una venta anterior.</w:t>
      </w:r>
    </w:p>
    <w:p w14:paraId="7BF644F2" w14:textId="77777777" w:rsidR="00AE0A12" w:rsidRDefault="00BD14C3">
      <w:pPr>
        <w:spacing w:before="240" w:after="60"/>
        <w:jc w:val="center"/>
      </w:pPr>
      <w:r>
        <w:rPr>
          <w:noProof/>
        </w:rPr>
        <w:lastRenderedPageBreak/>
        <w:drawing>
          <wp:inline distT="0" distB="0" distL="0" distR="0" wp14:anchorId="4403990B" wp14:editId="59132372">
            <wp:extent cx="5580000" cy="3348000"/>
            <wp:effectExtent l="0" t="0" r="0" b="0"/>
            <wp:docPr id="9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10-login.jpg"/>
                    <pic:cNvPicPr/>
                  </pic:nvPicPr>
                  <pic:blipFill>
                    <a:blip r:embed="rId19"/>
                    <a:stretch>
                      <a:fillRect/>
                    </a:stretch>
                  </pic:blipFill>
                  <pic:spPr>
                    <a:xfrm>
                      <a:off x="0" y="0"/>
                      <a:ext cx="5580000" cy="3348000"/>
                    </a:xfrm>
                    <a:prstGeom prst="rect">
                      <a:avLst/>
                    </a:prstGeom>
                  </pic:spPr>
                </pic:pic>
              </a:graphicData>
            </a:graphic>
          </wp:inline>
        </w:drawing>
      </w:r>
    </w:p>
    <w:p w14:paraId="31BFFF16" w14:textId="77777777" w:rsidR="00AE0A12" w:rsidRDefault="00BD14C3">
      <w:pPr>
        <w:spacing w:before="120" w:after="120"/>
        <w:jc w:val="center"/>
      </w:pPr>
      <w:r>
        <w:rPr>
          <w:rFonts w:ascii="Calibri" w:hAnsi="Calibri" w:cs="Arial"/>
          <w:i/>
          <w:sz w:val="18"/>
          <w:szCs w:val="18"/>
        </w:rPr>
        <w:t>Figura 10. Inicio de sesión. Única entrada al sistema. No existe registro público: las cuentas las crea el administrador del local.</w:t>
      </w:r>
    </w:p>
    <w:sectPr w:rsidR="00AE0A12">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1B72" w14:textId="77777777" w:rsidR="00BD14C3" w:rsidRDefault="00BD14C3" w:rsidP="0003309E">
      <w:pPr>
        <w:spacing w:after="0" w:line="240" w:lineRule="auto"/>
      </w:pPr>
      <w:r>
        <w:separator/>
      </w:r>
    </w:p>
  </w:endnote>
  <w:endnote w:type="continuationSeparator" w:id="0">
    <w:p w14:paraId="7164B647" w14:textId="77777777" w:rsidR="00BD14C3" w:rsidRDefault="00BD14C3"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57677" w14:textId="77777777" w:rsidR="00BD14C3" w:rsidRDefault="00BD14C3" w:rsidP="0003309E">
      <w:pPr>
        <w:spacing w:after="0" w:line="240" w:lineRule="auto"/>
      </w:pPr>
      <w:r>
        <w:separator/>
      </w:r>
    </w:p>
  </w:footnote>
  <w:footnote w:type="continuationSeparator" w:id="0">
    <w:p w14:paraId="47133133" w14:textId="77777777" w:rsidR="00BD14C3" w:rsidRDefault="00BD14C3"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6529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15758C"/>
    <w:rsid w:val="00293035"/>
    <w:rsid w:val="003608EA"/>
    <w:rsid w:val="00470CE4"/>
    <w:rsid w:val="00492281"/>
    <w:rsid w:val="004B75F6"/>
    <w:rsid w:val="004E1FAD"/>
    <w:rsid w:val="00521026"/>
    <w:rsid w:val="00545F23"/>
    <w:rsid w:val="00563B43"/>
    <w:rsid w:val="00586C9C"/>
    <w:rsid w:val="005A0A7C"/>
    <w:rsid w:val="005B4D4A"/>
    <w:rsid w:val="00603474"/>
    <w:rsid w:val="00675035"/>
    <w:rsid w:val="00675A73"/>
    <w:rsid w:val="006858A7"/>
    <w:rsid w:val="00695E7C"/>
    <w:rsid w:val="006B242E"/>
    <w:rsid w:val="007A7809"/>
    <w:rsid w:val="00806DE0"/>
    <w:rsid w:val="0081536B"/>
    <w:rsid w:val="008479F5"/>
    <w:rsid w:val="0085275A"/>
    <w:rsid w:val="008F621F"/>
    <w:rsid w:val="009378F7"/>
    <w:rsid w:val="00945BE9"/>
    <w:rsid w:val="009552E5"/>
    <w:rsid w:val="00976ABB"/>
    <w:rsid w:val="009E52DF"/>
    <w:rsid w:val="00A1596F"/>
    <w:rsid w:val="00AE0A12"/>
    <w:rsid w:val="00B31361"/>
    <w:rsid w:val="00B4258F"/>
    <w:rsid w:val="00B8164D"/>
    <w:rsid w:val="00BD14C3"/>
    <w:rsid w:val="00BE1024"/>
    <w:rsid w:val="00C20F3D"/>
    <w:rsid w:val="00C44557"/>
    <w:rsid w:val="00C5122E"/>
    <w:rsid w:val="00CE0AA8"/>
    <w:rsid w:val="00D67975"/>
    <w:rsid w:val="00D714E2"/>
    <w:rsid w:val="00D76B6A"/>
    <w:rsid w:val="00DF3386"/>
    <w:rsid w:val="00E50368"/>
    <w:rsid w:val="00E9746B"/>
    <w:rsid w:val="00EA0C09"/>
    <w:rsid w:val="00EC57D3"/>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g"/><Relationship Id="rId18" Type="http://schemas.openxmlformats.org/officeDocument/2006/relationships/image" Target="media/image9.jp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jpg"/><Relationship Id="rId17" Type="http://schemas.openxmlformats.org/officeDocument/2006/relationships/image" Target="media/image8.jpg"/><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5" Type="http://schemas.openxmlformats.org/officeDocument/2006/relationships/styles" Target="styles.xml"/><Relationship Id="rId15" Type="http://schemas.openxmlformats.org/officeDocument/2006/relationships/image" Target="media/image6.jpg"/><Relationship Id="rId10" Type="http://schemas.openxmlformats.org/officeDocument/2006/relationships/image" Target="media/image1.jpg"/><Relationship Id="rId19" Type="http://schemas.openxmlformats.org/officeDocument/2006/relationships/image" Target="media/image10.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4849</Words>
  <Characters>26672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David Miranda</cp:lastModifiedBy>
  <cp:revision>2</cp:revision>
  <dcterms:created xsi:type="dcterms:W3CDTF">2026-10-17T03:25:00Z</dcterms:created>
  <dcterms:modified xsi:type="dcterms:W3CDTF">2026-10-17T03:25:00Z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