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4314C7D9" w:rsidR="004F2A8B" w:rsidRPr="00931701" w:rsidRDefault="004F2A8B" w:rsidP="00011BC0">
            <w:pPr>
              <w:jc w:val="both"/>
              <w:rPr>
                <w:rFonts w:eastAsiaTheme="majorEastAsia"/>
                <w:color w:val="767171" w:themeColor="background2" w:themeShade="80"/>
                <w:sz w:val="24"/>
                <w:szCs w:val="24"/>
              </w:rPr>
            </w:pPr>
            <w:r w:rsidRPr="3D28A338">
              <w:rPr>
                <w:rFonts w:eastAsiaTheme="majorEastAsia"/>
                <w:sz w:val="24"/>
                <w:szCs w:val="24"/>
              </w:rPr>
              <w:t xml:space="preserve">¿Has podido cumplir todas las actividades en los tiempos definidos? ¿Qué factores han facilitado o </w:t>
            </w:r>
          </w:p>
          <w:p w14:paraId="1B0663A3" w14:textId="77777777" w:rsidR="004F2A8B" w:rsidRDefault="004F2A8B" w:rsidP="3D28A338">
            <w:pPr>
              <w:jc w:val="both"/>
              <w:rPr>
                <w:rFonts w:ascii="Calibri" w:hAnsi="Calibri"/>
                <w:b/>
                <w:bCs/>
                <w:color w:val="1F4E79" w:themeColor="accent1" w:themeShade="80"/>
              </w:rPr>
            </w:pPr>
          </w:p>
          <w:p w14:paraId="78CF2836" w14:textId="131844CF" w:rsidR="004002C2" w:rsidRDefault="004002C2" w:rsidP="004002C2">
            <w:pPr>
              <w:spacing w:after="120" w:line="276" w:lineRule="auto"/>
            </w:pPr>
            <w:r>
              <w:rPr>
                <w:rFonts w:ascii="Arial" w:eastAsia="Arial" w:hAnsi="Arial" w:cs="Arial"/>
                <w:color w:val="334155"/>
                <w:sz w:val="21"/>
                <w:szCs w:val="21"/>
              </w:rPr>
              <w:t>Sí, h</w:t>
            </w:r>
            <w:r>
              <w:rPr>
                <w:rFonts w:ascii="Arial" w:eastAsia="Arial" w:hAnsi="Arial" w:cs="Arial"/>
                <w:color w:val="334155"/>
                <w:sz w:val="21"/>
                <w:szCs w:val="21"/>
              </w:rPr>
              <w:t>e</w:t>
            </w:r>
            <w:r w:rsidR="0089244E">
              <w:rPr>
                <w:rFonts w:ascii="Arial" w:eastAsia="Arial" w:hAnsi="Arial" w:cs="Arial"/>
                <w:color w:val="334155"/>
                <w:sz w:val="21"/>
                <w:szCs w:val="21"/>
              </w:rPr>
              <w:t>mos</w:t>
            </w:r>
            <w:r>
              <w:rPr>
                <w:rFonts w:ascii="Arial" w:eastAsia="Arial" w:hAnsi="Arial" w:cs="Arial"/>
                <w:color w:val="334155"/>
                <w:sz w:val="21"/>
                <w:szCs w:val="21"/>
              </w:rPr>
              <w:t xml:space="preserve"> logrado cumplir rigurosamente con los plazos definidos para la Fase 1 y nos encontramos incluso adelantados en los hitos del Backend Core para la Fase 2. A la fecha, he finalizado e integrado la totalidad de los 57 </w:t>
            </w:r>
            <w:proofErr w:type="spellStart"/>
            <w:r>
              <w:rPr>
                <w:rFonts w:ascii="Arial" w:eastAsia="Arial" w:hAnsi="Arial" w:cs="Arial"/>
                <w:color w:val="334155"/>
                <w:sz w:val="21"/>
                <w:szCs w:val="21"/>
              </w:rPr>
              <w:t>endpoints</w:t>
            </w:r>
            <w:proofErr w:type="spellEnd"/>
            <w:r>
              <w:rPr>
                <w:rFonts w:ascii="Arial" w:eastAsia="Arial" w:hAnsi="Arial" w:cs="Arial"/>
                <w:color w:val="334155"/>
                <w:sz w:val="21"/>
                <w:szCs w:val="21"/>
              </w:rPr>
              <w:t xml:space="preserve"> </w:t>
            </w:r>
            <w:proofErr w:type="spellStart"/>
            <w:r>
              <w:rPr>
                <w:rFonts w:ascii="Arial" w:eastAsia="Arial" w:hAnsi="Arial" w:cs="Arial"/>
                <w:color w:val="334155"/>
                <w:sz w:val="21"/>
                <w:szCs w:val="21"/>
              </w:rPr>
              <w:t>RESTful</w:t>
            </w:r>
            <w:proofErr w:type="spellEnd"/>
            <w:r>
              <w:rPr>
                <w:rFonts w:ascii="Arial" w:eastAsia="Arial" w:hAnsi="Arial" w:cs="Arial"/>
                <w:color w:val="334155"/>
                <w:sz w:val="21"/>
                <w:szCs w:val="21"/>
              </w:rPr>
              <w:t xml:space="preserve"> del servidor, el despliegue dual de bases de datos (PostgreSQL 16 en la nube y SQLite 3 local de mostrador con integridad referencial) y una batería de 147 pruebas automatizadas (87 unitarias y 60 de integración en </w:t>
            </w:r>
            <w:proofErr w:type="spellStart"/>
            <w:r>
              <w:rPr>
                <w:rFonts w:ascii="Arial" w:eastAsia="Arial" w:hAnsi="Arial" w:cs="Arial"/>
                <w:color w:val="334155"/>
                <w:sz w:val="21"/>
                <w:szCs w:val="21"/>
              </w:rPr>
              <w:t>Jest</w:t>
            </w:r>
            <w:proofErr w:type="spellEnd"/>
            <w:r>
              <w:rPr>
                <w:rFonts w:ascii="Arial" w:eastAsia="Arial" w:hAnsi="Arial" w:cs="Arial"/>
                <w:color w:val="334155"/>
                <w:sz w:val="21"/>
                <w:szCs w:val="21"/>
              </w:rPr>
              <w:t xml:space="preserve"> con 100% de aprobación).</w:t>
            </w:r>
          </w:p>
          <w:p w14:paraId="3E4693AE" w14:textId="77777777" w:rsidR="004002C2" w:rsidRDefault="004002C2" w:rsidP="004002C2">
            <w:pPr>
              <w:spacing w:after="100" w:line="276" w:lineRule="auto"/>
              <w:ind w:left="360"/>
            </w:pPr>
            <w:r w:rsidRPr="008A7D30">
              <w:rPr>
                <w:rFonts w:ascii="Arial" w:eastAsia="Arial" w:hAnsi="Arial" w:cs="Arial"/>
                <w:b/>
                <w:bCs/>
                <w:sz w:val="20"/>
                <w:szCs w:val="20"/>
              </w:rPr>
              <w:t>• Factores Facilitadores</w:t>
            </w:r>
            <w:r>
              <w:rPr>
                <w:rFonts w:ascii="Arial" w:eastAsia="Arial" w:hAnsi="Arial" w:cs="Arial"/>
                <w:b/>
                <w:bCs/>
                <w:color w:val="1E3A8A"/>
                <w:sz w:val="20"/>
                <w:szCs w:val="20"/>
              </w:rPr>
              <w:t xml:space="preserve">: </w:t>
            </w:r>
            <w:r>
              <w:rPr>
                <w:rFonts w:ascii="Arial" w:eastAsia="Arial" w:hAnsi="Arial" w:cs="Arial"/>
                <w:color w:val="334155"/>
                <w:sz w:val="20"/>
                <w:szCs w:val="20"/>
              </w:rPr>
              <w:t>El diseño temprano del Modelo Entidad-Relación (MER con 15 tablas relacionales y llaves foráneas estrictas) y la especificación de contratos de interfaz en la Fase 1 permitieron desacoplar por completo el trabajo de backend respecto al frontend. Además, la contenedorización con Docker y los scripts DDL automatizados (</w:t>
            </w:r>
            <w:proofErr w:type="spellStart"/>
            <w:r>
              <w:rPr>
                <w:rFonts w:ascii="Arial" w:eastAsia="Arial" w:hAnsi="Arial" w:cs="Arial"/>
                <w:color w:val="334155"/>
                <w:sz w:val="20"/>
                <w:szCs w:val="20"/>
              </w:rPr>
              <w:t>npm</w:t>
            </w:r>
            <w:proofErr w:type="spellEnd"/>
            <w:r>
              <w:rPr>
                <w:rFonts w:ascii="Arial" w:eastAsia="Arial" w:hAnsi="Arial" w:cs="Arial"/>
                <w:color w:val="334155"/>
                <w:sz w:val="20"/>
                <w:szCs w:val="20"/>
              </w:rPr>
              <w:t xml:space="preserve"> run </w:t>
            </w:r>
            <w:proofErr w:type="spellStart"/>
            <w:r>
              <w:rPr>
                <w:rFonts w:ascii="Arial" w:eastAsia="Arial" w:hAnsi="Arial" w:cs="Arial"/>
                <w:color w:val="334155"/>
                <w:sz w:val="20"/>
                <w:szCs w:val="20"/>
              </w:rPr>
              <w:t>migrate:pg</w:t>
            </w:r>
            <w:proofErr w:type="spellEnd"/>
            <w:r>
              <w:rPr>
                <w:rFonts w:ascii="Arial" w:eastAsia="Arial" w:hAnsi="Arial" w:cs="Arial"/>
                <w:color w:val="334155"/>
                <w:sz w:val="20"/>
                <w:szCs w:val="20"/>
              </w:rPr>
              <w:t xml:space="preserve">, </w:t>
            </w:r>
            <w:proofErr w:type="spellStart"/>
            <w:r>
              <w:rPr>
                <w:rFonts w:ascii="Arial" w:eastAsia="Arial" w:hAnsi="Arial" w:cs="Arial"/>
                <w:color w:val="334155"/>
                <w:sz w:val="20"/>
                <w:szCs w:val="20"/>
              </w:rPr>
              <w:t>npm</w:t>
            </w:r>
            <w:proofErr w:type="spellEnd"/>
            <w:r>
              <w:rPr>
                <w:rFonts w:ascii="Arial" w:eastAsia="Arial" w:hAnsi="Arial" w:cs="Arial"/>
                <w:color w:val="334155"/>
                <w:sz w:val="20"/>
                <w:szCs w:val="20"/>
              </w:rPr>
              <w:t xml:space="preserve"> run </w:t>
            </w:r>
            <w:proofErr w:type="spellStart"/>
            <w:r>
              <w:rPr>
                <w:rFonts w:ascii="Arial" w:eastAsia="Arial" w:hAnsi="Arial" w:cs="Arial"/>
                <w:color w:val="334155"/>
                <w:sz w:val="20"/>
                <w:szCs w:val="20"/>
              </w:rPr>
              <w:t>migrate:sqlite</w:t>
            </w:r>
            <w:proofErr w:type="spellEnd"/>
            <w:r>
              <w:rPr>
                <w:rFonts w:ascii="Arial" w:eastAsia="Arial" w:hAnsi="Arial" w:cs="Arial"/>
                <w:color w:val="334155"/>
                <w:sz w:val="20"/>
                <w:szCs w:val="20"/>
              </w:rPr>
              <w:t>) aceleraron las pruebas locales y la detección temprana de fallos.</w:t>
            </w:r>
          </w:p>
          <w:p w14:paraId="4B137E35" w14:textId="66ABB2CD" w:rsidR="004F2A8B" w:rsidRDefault="004002C2" w:rsidP="004002C2">
            <w:pPr>
              <w:jc w:val="both"/>
              <w:rPr>
                <w:rFonts w:ascii="Calibri" w:hAnsi="Calibri"/>
                <w:b/>
                <w:bCs/>
                <w:color w:val="1F4E79" w:themeColor="accent1" w:themeShade="80"/>
              </w:rPr>
            </w:pPr>
            <w:r w:rsidRPr="008A7D30">
              <w:rPr>
                <w:rFonts w:ascii="Arial" w:eastAsia="Arial" w:hAnsi="Arial" w:cs="Arial"/>
                <w:b/>
                <w:bCs/>
                <w:sz w:val="20"/>
                <w:szCs w:val="20"/>
              </w:rPr>
              <w:t>• Factores de Dificultad</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La alta exigencia técnica de asegurar persistencia dual híbrida en tiempo real con transacciones ACID atómicas (BEGIN/COMMIT) y conmutación transparente en 0 ms ante caídas de internet (mecanismo </w:t>
            </w:r>
            <w:proofErr w:type="spellStart"/>
            <w:r>
              <w:rPr>
                <w:rFonts w:ascii="Arial" w:eastAsia="Arial" w:hAnsi="Arial" w:cs="Arial"/>
                <w:color w:val="334155"/>
                <w:sz w:val="20"/>
                <w:szCs w:val="20"/>
              </w:rPr>
              <w:t>Circuit</w:t>
            </w:r>
            <w:proofErr w:type="spellEnd"/>
            <w:r>
              <w:rPr>
                <w:rFonts w:ascii="Arial" w:eastAsia="Arial" w:hAnsi="Arial" w:cs="Arial"/>
                <w:color w:val="334155"/>
                <w:sz w:val="20"/>
                <w:szCs w:val="20"/>
              </w:rPr>
              <w:t xml:space="preserve"> Breaker). Asimismo, modelar la normativa tributaria chilena (emisión de </w:t>
            </w:r>
            <w:proofErr w:type="spellStart"/>
            <w:r>
              <w:rPr>
                <w:rFonts w:ascii="Arial" w:eastAsia="Arial" w:hAnsi="Arial" w:cs="Arial"/>
                <w:color w:val="334155"/>
                <w:sz w:val="20"/>
                <w:szCs w:val="20"/>
              </w:rPr>
              <w:t>DTEs</w:t>
            </w:r>
            <w:proofErr w:type="spellEnd"/>
            <w:r>
              <w:rPr>
                <w:rFonts w:ascii="Arial" w:eastAsia="Arial" w:hAnsi="Arial" w:cs="Arial"/>
                <w:color w:val="334155"/>
                <w:sz w:val="20"/>
                <w:szCs w:val="20"/>
              </w:rPr>
              <w:t xml:space="preserve"> 39, 33, 52, 61 con timbre TED, reportes RCOF del SII, redondeo de efectivo según Ley </w:t>
            </w:r>
            <w:proofErr w:type="spellStart"/>
            <w:r>
              <w:rPr>
                <w:rFonts w:ascii="Arial" w:eastAsia="Arial" w:hAnsi="Arial" w:cs="Arial"/>
                <w:color w:val="334155"/>
                <w:sz w:val="20"/>
                <w:szCs w:val="20"/>
              </w:rPr>
              <w:t>N°</w:t>
            </w:r>
            <w:proofErr w:type="spellEnd"/>
            <w:r>
              <w:rPr>
                <w:rFonts w:ascii="Arial" w:eastAsia="Arial" w:hAnsi="Arial" w:cs="Arial"/>
                <w:color w:val="334155"/>
                <w:sz w:val="20"/>
                <w:szCs w:val="20"/>
              </w:rPr>
              <w:t xml:space="preserve"> 20.956 y control sanitario FEFO D.S. 977/96 MINSAL) requirió una rigurosa calibración matemática y de esquemas.</w:t>
            </w:r>
            <w:r>
              <w:rPr>
                <w:rFonts w:ascii="Arial" w:eastAsia="Arial" w:hAnsi="Arial" w:cs="Arial"/>
                <w:color w:val="334155"/>
                <w:sz w:val="20"/>
                <w:szCs w:val="20"/>
              </w:rPr>
              <w:t xml:space="preserve"> </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B437F66" w14:textId="6259BF6C" w:rsidR="008A0DAF" w:rsidRDefault="008A0DAF" w:rsidP="008A0DAF">
            <w:pPr>
              <w:spacing w:after="120" w:line="276" w:lineRule="auto"/>
            </w:pPr>
            <w:r>
              <w:rPr>
                <w:rFonts w:ascii="Arial" w:eastAsia="Arial" w:hAnsi="Arial" w:cs="Arial"/>
                <w:color w:val="334155"/>
                <w:sz w:val="21"/>
                <w:szCs w:val="21"/>
              </w:rPr>
              <w:t>He</w:t>
            </w:r>
            <w:r w:rsidR="0089244E">
              <w:rPr>
                <w:rFonts w:ascii="Arial" w:eastAsia="Arial" w:hAnsi="Arial" w:cs="Arial"/>
                <w:color w:val="334155"/>
                <w:sz w:val="21"/>
                <w:szCs w:val="21"/>
              </w:rPr>
              <w:t>mos</w:t>
            </w:r>
            <w:r>
              <w:rPr>
                <w:rFonts w:ascii="Arial" w:eastAsia="Arial" w:hAnsi="Arial" w:cs="Arial"/>
                <w:color w:val="334155"/>
                <w:sz w:val="21"/>
                <w:szCs w:val="21"/>
              </w:rPr>
              <w:t xml:space="preserve"> enfrentado las dificultades técnicas mediante una rigurosa estrategia de arquitectura desacoplada, resiliencia y mitigación proactiva de riesgos:</w:t>
            </w:r>
          </w:p>
          <w:p w14:paraId="577B3F26" w14:textId="77777777" w:rsidR="008A0DAF" w:rsidRDefault="008A0DAF" w:rsidP="008A0DAF">
            <w:pPr>
              <w:spacing w:after="100" w:line="276" w:lineRule="auto"/>
              <w:ind w:left="360"/>
            </w:pPr>
            <w:r w:rsidRPr="00942C63">
              <w:rPr>
                <w:rFonts w:ascii="Arial" w:eastAsia="Arial" w:hAnsi="Arial" w:cs="Arial"/>
                <w:b/>
                <w:bCs/>
                <w:sz w:val="20"/>
                <w:szCs w:val="20"/>
              </w:rPr>
              <w:t>• Resiliencia Offline-</w:t>
            </w:r>
            <w:proofErr w:type="spellStart"/>
            <w:r w:rsidRPr="00942C63">
              <w:rPr>
                <w:rFonts w:ascii="Arial" w:eastAsia="Arial" w:hAnsi="Arial" w:cs="Arial"/>
                <w:b/>
                <w:bCs/>
                <w:sz w:val="20"/>
                <w:szCs w:val="20"/>
              </w:rPr>
              <w:t>First</w:t>
            </w:r>
            <w:proofErr w:type="spellEnd"/>
            <w:r w:rsidRPr="00942C63">
              <w:rPr>
                <w:rFonts w:ascii="Arial" w:eastAsia="Arial" w:hAnsi="Arial" w:cs="Arial"/>
                <w:b/>
                <w:bCs/>
                <w:sz w:val="20"/>
                <w:szCs w:val="20"/>
              </w:rPr>
              <w:t xml:space="preserve"> y </w:t>
            </w:r>
            <w:proofErr w:type="spellStart"/>
            <w:r w:rsidRPr="00942C63">
              <w:rPr>
                <w:rFonts w:ascii="Arial" w:eastAsia="Arial" w:hAnsi="Arial" w:cs="Arial"/>
                <w:b/>
                <w:bCs/>
                <w:sz w:val="20"/>
                <w:szCs w:val="20"/>
              </w:rPr>
              <w:t>Mocks</w:t>
            </w:r>
            <w:proofErr w:type="spellEnd"/>
            <w:r w:rsidRPr="00942C63">
              <w:rPr>
                <w:rFonts w:ascii="Arial" w:eastAsia="Arial" w:hAnsi="Arial" w:cs="Arial"/>
                <w:b/>
                <w:bCs/>
                <w:sz w:val="20"/>
                <w:szCs w:val="20"/>
              </w:rPr>
              <w:t xml:space="preserve"> Deterministas</w:t>
            </w:r>
            <w:r>
              <w:rPr>
                <w:rFonts w:ascii="Arial" w:eastAsia="Arial" w:hAnsi="Arial" w:cs="Arial"/>
                <w:b/>
                <w:bCs/>
                <w:color w:val="1E3A8A"/>
                <w:sz w:val="20"/>
                <w:szCs w:val="20"/>
              </w:rPr>
              <w:t xml:space="preserve">: </w:t>
            </w:r>
            <w:r>
              <w:rPr>
                <w:rFonts w:ascii="Arial" w:eastAsia="Arial" w:hAnsi="Arial" w:cs="Arial"/>
                <w:color w:val="334155"/>
                <w:sz w:val="20"/>
                <w:szCs w:val="20"/>
              </w:rPr>
              <w:t>Para mitigar la inestabilidad o caída de servicios externos (API OCR de Google AI Studio, pasarelas de pago Transbank/MercadoPago/</w:t>
            </w:r>
            <w:proofErr w:type="spellStart"/>
            <w:r>
              <w:rPr>
                <w:rFonts w:ascii="Arial" w:eastAsia="Arial" w:hAnsi="Arial" w:cs="Arial"/>
                <w:color w:val="334155"/>
                <w:sz w:val="20"/>
                <w:szCs w:val="20"/>
              </w:rPr>
              <w:t>SumUp</w:t>
            </w:r>
            <w:proofErr w:type="spellEnd"/>
            <w:r>
              <w:rPr>
                <w:rFonts w:ascii="Arial" w:eastAsia="Arial" w:hAnsi="Arial" w:cs="Arial"/>
                <w:color w:val="334155"/>
                <w:sz w:val="20"/>
                <w:szCs w:val="20"/>
              </w:rPr>
              <w:t xml:space="preserve"> o pérdida de conectividad hacia PostgreSQL Cloud), implementé un </w:t>
            </w:r>
            <w:proofErr w:type="spellStart"/>
            <w:r>
              <w:rPr>
                <w:rFonts w:ascii="Arial" w:eastAsia="Arial" w:hAnsi="Arial" w:cs="Arial"/>
                <w:color w:val="334155"/>
                <w:sz w:val="20"/>
                <w:szCs w:val="20"/>
              </w:rPr>
              <w:t>Circuit</w:t>
            </w:r>
            <w:proofErr w:type="spellEnd"/>
            <w:r>
              <w:rPr>
                <w:rFonts w:ascii="Arial" w:eastAsia="Arial" w:hAnsi="Arial" w:cs="Arial"/>
                <w:color w:val="334155"/>
                <w:sz w:val="20"/>
                <w:szCs w:val="20"/>
              </w:rPr>
              <w:t xml:space="preserve"> Breaker con conmutación en 0 ms hacia </w:t>
            </w:r>
            <w:r>
              <w:rPr>
                <w:rFonts w:ascii="Arial" w:eastAsia="Arial" w:hAnsi="Arial" w:cs="Arial"/>
                <w:color w:val="334155"/>
                <w:sz w:val="20"/>
                <w:szCs w:val="20"/>
              </w:rPr>
              <w:lastRenderedPageBreak/>
              <w:t xml:space="preserve">SQLite y proveedores </w:t>
            </w:r>
            <w:proofErr w:type="spellStart"/>
            <w:r>
              <w:rPr>
                <w:rFonts w:ascii="Arial" w:eastAsia="Arial" w:hAnsi="Arial" w:cs="Arial"/>
                <w:color w:val="334155"/>
                <w:sz w:val="20"/>
                <w:szCs w:val="20"/>
              </w:rPr>
              <w:t>mock</w:t>
            </w:r>
            <w:proofErr w:type="spellEnd"/>
            <w:r>
              <w:rPr>
                <w:rFonts w:ascii="Arial" w:eastAsia="Arial" w:hAnsi="Arial" w:cs="Arial"/>
                <w:color w:val="334155"/>
                <w:sz w:val="20"/>
                <w:szCs w:val="20"/>
              </w:rPr>
              <w:t xml:space="preserve"> de contingencia. Esto garantiza que la caja registradora y el </w:t>
            </w:r>
            <w:proofErr w:type="spellStart"/>
            <w:r>
              <w:rPr>
                <w:rFonts w:ascii="Arial" w:eastAsia="Arial" w:hAnsi="Arial" w:cs="Arial"/>
                <w:color w:val="334155"/>
                <w:sz w:val="20"/>
                <w:szCs w:val="20"/>
              </w:rPr>
              <w:t>checkout</w:t>
            </w:r>
            <w:proofErr w:type="spellEnd"/>
            <w:r>
              <w:rPr>
                <w:rFonts w:ascii="Arial" w:eastAsia="Arial" w:hAnsi="Arial" w:cs="Arial"/>
                <w:color w:val="334155"/>
                <w:sz w:val="20"/>
                <w:szCs w:val="20"/>
              </w:rPr>
              <w:t xml:space="preserve"> del POS sigan operando al 100% sin importar el estado de la red.</w:t>
            </w:r>
          </w:p>
          <w:p w14:paraId="2E327F81" w14:textId="77777777" w:rsidR="008A0DAF" w:rsidRDefault="008A0DAF" w:rsidP="008A0DAF">
            <w:pPr>
              <w:spacing w:after="100" w:line="276" w:lineRule="auto"/>
              <w:ind w:left="360"/>
            </w:pPr>
            <w:r w:rsidRPr="005A4D26">
              <w:rPr>
                <w:rFonts w:ascii="Arial" w:eastAsia="Arial" w:hAnsi="Arial" w:cs="Arial"/>
                <w:b/>
                <w:bCs/>
                <w:sz w:val="20"/>
                <w:szCs w:val="20"/>
              </w:rPr>
              <w:t>• Migraciones DDL Versionadas y Blindaje de Datos</w:t>
            </w:r>
            <w:r>
              <w:rPr>
                <w:rFonts w:ascii="Arial" w:eastAsia="Arial" w:hAnsi="Arial" w:cs="Arial"/>
                <w:b/>
                <w:bCs/>
                <w:color w:val="1E3A8A"/>
                <w:sz w:val="20"/>
                <w:szCs w:val="20"/>
              </w:rPr>
              <w:t xml:space="preserve">: </w:t>
            </w:r>
            <w:r>
              <w:rPr>
                <w:rFonts w:ascii="Arial" w:eastAsia="Arial" w:hAnsi="Arial" w:cs="Arial"/>
                <w:color w:val="334155"/>
                <w:sz w:val="20"/>
                <w:szCs w:val="20"/>
              </w:rPr>
              <w:t>Para corregir discrepancias en bases de datos locales ya creadas (como restricciones CHECK que impedían registrar tipos específicos de movimiento de stock), implementé un sistema de migraciones secuenciales en SQL (migración 010), recreando tablas bajo el estándar oficial de SQLite para evolucionar el esquema sin pérdida de registros.</w:t>
            </w:r>
          </w:p>
          <w:p w14:paraId="62524483" w14:textId="77777777" w:rsidR="008A0DAF" w:rsidRDefault="008A0DAF" w:rsidP="008A0DAF">
            <w:pPr>
              <w:spacing w:after="100" w:line="276" w:lineRule="auto"/>
              <w:ind w:left="360"/>
            </w:pPr>
            <w:r w:rsidRPr="001040FB">
              <w:rPr>
                <w:rFonts w:ascii="Arial" w:eastAsia="Arial" w:hAnsi="Arial" w:cs="Arial"/>
                <w:b/>
                <w:bCs/>
                <w:sz w:val="20"/>
                <w:szCs w:val="20"/>
              </w:rPr>
              <w:t xml:space="preserve">• Certificación Continua (QA Guiado por Pruebas): </w:t>
            </w:r>
            <w:r>
              <w:rPr>
                <w:rFonts w:ascii="Arial" w:eastAsia="Arial" w:hAnsi="Arial" w:cs="Arial"/>
                <w:color w:val="334155"/>
                <w:sz w:val="20"/>
                <w:szCs w:val="20"/>
              </w:rPr>
              <w:t>Cada cálculo sensible (IVA 19%, redondeo legal a la decena, balance de caja Z y algoritmo de reposición ROP) cuenta con pruebas unitarias parametrizadas que garantizan latencias críticas inferiores a 15 ms en mostrador y previenen cualquier regresión.</w:t>
            </w:r>
          </w:p>
          <w:p w14:paraId="7BC4D618" w14:textId="091B4ED4" w:rsidR="004F2A8B" w:rsidRPr="00874D16" w:rsidRDefault="008A0DAF" w:rsidP="008A0DAF">
            <w:pPr>
              <w:jc w:val="both"/>
              <w:rPr>
                <w:rFonts w:ascii="Calibri" w:hAnsi="Calibri"/>
                <w:b/>
                <w:bCs/>
                <w:color w:val="1F4E79" w:themeColor="accent1" w:themeShade="80"/>
              </w:rPr>
            </w:pPr>
            <w:r w:rsidRPr="006E757F">
              <w:rPr>
                <w:rFonts w:ascii="Arial" w:eastAsia="Arial" w:hAnsi="Arial" w:cs="Arial"/>
                <w:b/>
                <w:bCs/>
                <w:sz w:val="20"/>
                <w:szCs w:val="20"/>
              </w:rPr>
              <w:t>• Contratos de API Estables para el Frontend</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Al proveer un catálogo completo de 57 </w:t>
            </w:r>
            <w:proofErr w:type="spellStart"/>
            <w:r>
              <w:rPr>
                <w:rFonts w:ascii="Arial" w:eastAsia="Arial" w:hAnsi="Arial" w:cs="Arial"/>
                <w:color w:val="334155"/>
                <w:sz w:val="20"/>
                <w:szCs w:val="20"/>
              </w:rPr>
              <w:t>endpoints</w:t>
            </w:r>
            <w:proofErr w:type="spellEnd"/>
            <w:r>
              <w:rPr>
                <w:rFonts w:ascii="Arial" w:eastAsia="Arial" w:hAnsi="Arial" w:cs="Arial"/>
                <w:color w:val="334155"/>
                <w:sz w:val="20"/>
                <w:szCs w:val="20"/>
              </w:rPr>
              <w:t xml:space="preserve"> probados y documentados, el desarrollo del frontend avanza sobre terreno firme, reduciendo bloqueos y simplificando la integración final.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3B791F7" w14:textId="552DA7E0" w:rsidR="00AB5CE6" w:rsidRDefault="00AB5CE6" w:rsidP="00AB5CE6">
            <w:pPr>
              <w:spacing w:after="120" w:line="276" w:lineRule="auto"/>
            </w:pPr>
            <w:r>
              <w:rPr>
                <w:rFonts w:ascii="Arial" w:eastAsia="Arial" w:hAnsi="Arial" w:cs="Arial"/>
                <w:color w:val="334155"/>
                <w:sz w:val="21"/>
                <w:szCs w:val="21"/>
              </w:rPr>
              <w:t xml:space="preserve">Evalúo </w:t>
            </w:r>
            <w:r w:rsidR="00BB7027">
              <w:rPr>
                <w:rFonts w:ascii="Arial" w:eastAsia="Arial" w:hAnsi="Arial" w:cs="Arial"/>
                <w:color w:val="334155"/>
                <w:sz w:val="21"/>
                <w:szCs w:val="21"/>
              </w:rPr>
              <w:t>nuestro</w:t>
            </w:r>
            <w:r>
              <w:rPr>
                <w:rFonts w:ascii="Arial" w:eastAsia="Arial" w:hAnsi="Arial" w:cs="Arial"/>
                <w:color w:val="334155"/>
                <w:sz w:val="21"/>
                <w:szCs w:val="21"/>
              </w:rPr>
              <w:t xml:space="preserve"> trabajo de manera sumamente positiva y con un alto estándar de ingeniería. Se ha logrado transformar la propuesta conceptual en un producto de software robusto, cloud-native y con capacidades reales de producción.</w:t>
            </w:r>
          </w:p>
          <w:p w14:paraId="4467A4A5" w14:textId="77777777" w:rsidR="00AB5CE6" w:rsidRDefault="00AB5CE6" w:rsidP="00AB5CE6">
            <w:pPr>
              <w:spacing w:after="100" w:line="276" w:lineRule="auto"/>
              <w:ind w:left="360"/>
            </w:pPr>
            <w:r w:rsidRPr="00BB7027">
              <w:rPr>
                <w:rFonts w:ascii="Arial" w:eastAsia="Arial" w:hAnsi="Arial" w:cs="Arial"/>
                <w:b/>
                <w:bCs/>
                <w:sz w:val="20"/>
                <w:szCs w:val="20"/>
              </w:rPr>
              <w:t>• Aspectos que Destaco</w:t>
            </w:r>
            <w:r>
              <w:rPr>
                <w:rFonts w:ascii="Arial" w:eastAsia="Arial" w:hAnsi="Arial" w:cs="Arial"/>
                <w:b/>
                <w:bCs/>
                <w:color w:val="1E3A8A"/>
                <w:sz w:val="20"/>
                <w:szCs w:val="20"/>
              </w:rPr>
              <w:t xml:space="preserve">: </w:t>
            </w:r>
            <w:r>
              <w:rPr>
                <w:rFonts w:ascii="Arial" w:eastAsia="Arial" w:hAnsi="Arial" w:cs="Arial"/>
                <w:color w:val="334155"/>
                <w:sz w:val="20"/>
                <w:szCs w:val="20"/>
              </w:rPr>
              <w:t>Haber culminado con éxito la totalidad del backend y su arquitectura de datos con semanas de anticipación, logrando 87 pruebas unitarias y 60 de integración pasando sin errores. Destaco la implementación de estándares de seguridad perimetral (</w:t>
            </w:r>
            <w:proofErr w:type="spellStart"/>
            <w:r>
              <w:rPr>
                <w:rFonts w:ascii="Arial" w:eastAsia="Arial" w:hAnsi="Arial" w:cs="Arial"/>
                <w:color w:val="334155"/>
                <w:sz w:val="20"/>
                <w:szCs w:val="20"/>
              </w:rPr>
              <w:t>Helmet</w:t>
            </w:r>
            <w:proofErr w:type="spellEnd"/>
            <w:r>
              <w:rPr>
                <w:rFonts w:ascii="Arial" w:eastAsia="Arial" w:hAnsi="Arial" w:cs="Arial"/>
                <w:color w:val="334155"/>
                <w:sz w:val="20"/>
                <w:szCs w:val="20"/>
              </w:rPr>
              <w:t xml:space="preserve">, CORS restrictivo, </w:t>
            </w:r>
            <w:proofErr w:type="spellStart"/>
            <w:r>
              <w:rPr>
                <w:rFonts w:ascii="Arial" w:eastAsia="Arial" w:hAnsi="Arial" w:cs="Arial"/>
                <w:color w:val="334155"/>
                <w:sz w:val="20"/>
                <w:szCs w:val="20"/>
              </w:rPr>
              <w:t>rate</w:t>
            </w:r>
            <w:proofErr w:type="spellEnd"/>
            <w:r>
              <w:rPr>
                <w:rFonts w:ascii="Arial" w:eastAsia="Arial" w:hAnsi="Arial" w:cs="Arial"/>
                <w:color w:val="334155"/>
                <w:sz w:val="20"/>
                <w:szCs w:val="20"/>
              </w:rPr>
              <w:t xml:space="preserve"> </w:t>
            </w:r>
            <w:proofErr w:type="spellStart"/>
            <w:r>
              <w:rPr>
                <w:rFonts w:ascii="Arial" w:eastAsia="Arial" w:hAnsi="Arial" w:cs="Arial"/>
                <w:color w:val="334155"/>
                <w:sz w:val="20"/>
                <w:szCs w:val="20"/>
              </w:rPr>
              <w:t>limiting</w:t>
            </w:r>
            <w:proofErr w:type="spellEnd"/>
            <w:r>
              <w:rPr>
                <w:rFonts w:ascii="Arial" w:eastAsia="Arial" w:hAnsi="Arial" w:cs="Arial"/>
                <w:color w:val="334155"/>
                <w:sz w:val="20"/>
                <w:szCs w:val="20"/>
              </w:rPr>
              <w:t xml:space="preserve"> normalizado para IPv6 con </w:t>
            </w:r>
            <w:proofErr w:type="spellStart"/>
            <w:r>
              <w:rPr>
                <w:rFonts w:ascii="Arial" w:eastAsia="Arial" w:hAnsi="Arial" w:cs="Arial"/>
                <w:color w:val="334155"/>
                <w:sz w:val="20"/>
                <w:szCs w:val="20"/>
              </w:rPr>
              <w:t>ipKeyGenerator</w:t>
            </w:r>
            <w:proofErr w:type="spellEnd"/>
            <w:r>
              <w:rPr>
                <w:rFonts w:ascii="Arial" w:eastAsia="Arial" w:hAnsi="Arial" w:cs="Arial"/>
                <w:color w:val="334155"/>
                <w:sz w:val="20"/>
                <w:szCs w:val="20"/>
              </w:rPr>
              <w:t xml:space="preserve">, sanitización </w:t>
            </w:r>
            <w:proofErr w:type="spellStart"/>
            <w:r>
              <w:rPr>
                <w:rFonts w:ascii="Arial" w:eastAsia="Arial" w:hAnsi="Arial" w:cs="Arial"/>
                <w:color w:val="334155"/>
                <w:sz w:val="20"/>
                <w:szCs w:val="20"/>
              </w:rPr>
              <w:t>anti-inyección</w:t>
            </w:r>
            <w:proofErr w:type="spellEnd"/>
            <w:r>
              <w:rPr>
                <w:rFonts w:ascii="Arial" w:eastAsia="Arial" w:hAnsi="Arial" w:cs="Arial"/>
                <w:color w:val="334155"/>
                <w:sz w:val="20"/>
                <w:szCs w:val="20"/>
              </w:rPr>
              <w:t xml:space="preserve"> SQL) y la resolución de casos de borde críticos como la ingesta transaccional atómica de facturas OCR con lote y fecha de vencimiento.</w:t>
            </w:r>
          </w:p>
          <w:p w14:paraId="70FDCD3D" w14:textId="7C838A1D" w:rsidR="00AB5CE6" w:rsidRDefault="00AB5CE6" w:rsidP="00AB5CE6">
            <w:pPr>
              <w:jc w:val="both"/>
              <w:rPr>
                <w:rFonts w:ascii="Calibri" w:hAnsi="Calibri"/>
                <w:b/>
                <w:bCs/>
                <w:color w:val="1F4E79" w:themeColor="accent1" w:themeShade="80"/>
              </w:rPr>
            </w:pPr>
            <w:r w:rsidRPr="004536EC">
              <w:rPr>
                <w:rFonts w:ascii="Arial" w:eastAsia="Arial" w:hAnsi="Arial" w:cs="Arial"/>
                <w:b/>
                <w:bCs/>
                <w:sz w:val="20"/>
                <w:szCs w:val="20"/>
              </w:rPr>
              <w:t>• Oportunidades de Mejora:</w:t>
            </w:r>
            <w:r>
              <w:rPr>
                <w:rFonts w:ascii="Arial" w:eastAsia="Arial" w:hAnsi="Arial" w:cs="Arial"/>
                <w:b/>
                <w:bCs/>
                <w:color w:val="1E3A8A"/>
                <w:sz w:val="20"/>
                <w:szCs w:val="20"/>
              </w:rPr>
              <w:t xml:space="preserve"> </w:t>
            </w:r>
            <w:r>
              <w:rPr>
                <w:rFonts w:ascii="Arial" w:eastAsia="Arial" w:hAnsi="Arial" w:cs="Arial"/>
                <w:color w:val="334155"/>
                <w:sz w:val="20"/>
                <w:szCs w:val="20"/>
              </w:rPr>
              <w:t>Profundizar las pruebas de carga y estrés concurrente (simulación de múltiples terminales POS sincronizando en simultáneo) de cara a la Fase 3, y continuar enriqueciendo la documentación técnica.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78141A69" w14:textId="101D56DD" w:rsidR="00D136D5" w:rsidRPr="00D136D5" w:rsidRDefault="00DF1966" w:rsidP="00D136D5">
            <w:pPr>
              <w:jc w:val="both"/>
              <w:rPr>
                <w:rFonts w:ascii="Calibri" w:hAnsi="Calibri"/>
                <w:b/>
                <w:bCs/>
                <w:color w:val="1F4E79" w:themeColor="accent1" w:themeShade="80"/>
              </w:rPr>
            </w:pPr>
            <w:r>
              <w:rPr>
                <w:rFonts w:ascii="Calibri" w:hAnsi="Calibri"/>
                <w:b/>
                <w:bCs/>
                <w:color w:val="1F4E79" w:themeColor="accent1" w:themeShade="80"/>
              </w:rPr>
              <w:t xml:space="preserve">Por ahora no me surgen dudas </w:t>
            </w:r>
            <w:r w:rsidR="00DF3CDE">
              <w:rPr>
                <w:rFonts w:ascii="Calibri" w:hAnsi="Calibri"/>
                <w:b/>
                <w:bCs/>
                <w:color w:val="1F4E79" w:themeColor="accent1" w:themeShade="80"/>
              </w:rPr>
              <w:t xml:space="preserve">para mi docente normalmente esas dudas se arreglan con las reuniones semanales que se tienen, por lo cual acumulo algunas dudas y cuando estamos en reunión las hago saber para ver </w:t>
            </w:r>
            <w:proofErr w:type="spellStart"/>
            <w:r w:rsidR="00DF3CDE">
              <w:rPr>
                <w:rFonts w:ascii="Calibri" w:hAnsi="Calibri"/>
                <w:b/>
                <w:bCs/>
                <w:color w:val="1F4E79" w:themeColor="accent1" w:themeShade="80"/>
              </w:rPr>
              <w:t>como</w:t>
            </w:r>
            <w:proofErr w:type="spellEnd"/>
            <w:r w:rsidR="00DF3CDE">
              <w:rPr>
                <w:rFonts w:ascii="Calibri" w:hAnsi="Calibri"/>
                <w:b/>
                <w:bCs/>
                <w:color w:val="1F4E79" w:themeColor="accent1" w:themeShade="80"/>
              </w:rPr>
              <w:t xml:space="preserve"> resolverlas.</w:t>
            </w:r>
          </w:p>
          <w:p w14:paraId="60BB41B1" w14:textId="77777777" w:rsidR="004F2A8B" w:rsidRDefault="004F2A8B" w:rsidP="3D28A338">
            <w:pPr>
              <w:jc w:val="both"/>
              <w:rPr>
                <w:rFonts w:ascii="Calibri" w:hAnsi="Calibri"/>
                <w:b/>
                <w:bCs/>
                <w:color w:val="1F4E79" w:themeColor="accent1" w:themeShade="80"/>
              </w:rPr>
            </w:pPr>
          </w:p>
          <w:p w14:paraId="31A9A277" w14:textId="77777777" w:rsidR="007C0740" w:rsidRDefault="007C0740" w:rsidP="007C0740">
            <w:pPr>
              <w:spacing w:after="120" w:line="276" w:lineRule="auto"/>
            </w:pPr>
            <w:r>
              <w:rPr>
                <w:rFonts w:ascii="Arial" w:eastAsia="Arial" w:hAnsi="Arial" w:cs="Arial"/>
                <w:color w:val="334155"/>
                <w:sz w:val="21"/>
                <w:szCs w:val="21"/>
              </w:rPr>
              <w:t>El núcleo arquitectónico y de datos se encuentra completamente estabilizado. Las inquietudes principales se orientan a la validación con el docente evaluador respecto al alcance de demostración y métricas esperadas:</w:t>
            </w:r>
          </w:p>
          <w:p w14:paraId="53CA6A59" w14:textId="77777777" w:rsidR="007C0740" w:rsidRDefault="007C0740" w:rsidP="007C0740">
            <w:pPr>
              <w:spacing w:after="100" w:line="276" w:lineRule="auto"/>
              <w:ind w:left="360"/>
            </w:pPr>
            <w:r w:rsidRPr="00472B2B">
              <w:rPr>
                <w:rFonts w:ascii="Arial" w:eastAsia="Arial" w:hAnsi="Arial" w:cs="Arial"/>
                <w:b/>
                <w:bCs/>
                <w:sz w:val="20"/>
                <w:szCs w:val="20"/>
              </w:rPr>
              <w:t>• Criterios para la Demostración Piloto en Terreno:</w:t>
            </w:r>
            <w:r>
              <w:rPr>
                <w:rFonts w:ascii="Arial" w:eastAsia="Arial" w:hAnsi="Arial" w:cs="Arial"/>
                <w:b/>
                <w:bCs/>
                <w:color w:val="1E3A8A"/>
                <w:sz w:val="20"/>
                <w:szCs w:val="20"/>
              </w:rPr>
              <w:t xml:space="preserve"> </w:t>
            </w:r>
            <w:r>
              <w:rPr>
                <w:rFonts w:ascii="Arial" w:eastAsia="Arial" w:hAnsi="Arial" w:cs="Arial"/>
                <w:color w:val="334155"/>
                <w:sz w:val="20"/>
                <w:szCs w:val="20"/>
              </w:rPr>
              <w:t>¿Cuál es el nivel de profundidad que la comisión evaluadora priorizará durante la defensa de la Fase 3 respecto al funcionamiento offline? ¿Se valorará positivamente realizar una desconexión intempestiva de cable de red en vivo para evidenciar la conmutación a SQLite en 0 ms?</w:t>
            </w:r>
          </w:p>
          <w:p w14:paraId="175EBE3D" w14:textId="77777777" w:rsidR="007C0740" w:rsidRDefault="007C0740" w:rsidP="007C0740">
            <w:pPr>
              <w:spacing w:after="100" w:line="276" w:lineRule="auto"/>
              <w:ind w:left="360"/>
            </w:pPr>
            <w:r w:rsidRPr="00A8583D">
              <w:rPr>
                <w:rFonts w:ascii="Arial" w:eastAsia="Arial" w:hAnsi="Arial" w:cs="Arial"/>
                <w:b/>
                <w:bCs/>
                <w:sz w:val="20"/>
                <w:szCs w:val="20"/>
              </w:rPr>
              <w:t>• Presentación de Métricas de Rendimiento en Informe de Fase 2:</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¿Es conveniente incluir en el informe formal de la Fase 2 las tablas comparativas de latencia (ej. </w:t>
            </w:r>
            <w:proofErr w:type="spellStart"/>
            <w:r>
              <w:rPr>
                <w:rFonts w:ascii="Arial" w:eastAsia="Arial" w:hAnsi="Arial" w:cs="Arial"/>
                <w:color w:val="334155"/>
                <w:sz w:val="20"/>
                <w:szCs w:val="20"/>
              </w:rPr>
              <w:t>checkout</w:t>
            </w:r>
            <w:proofErr w:type="spellEnd"/>
            <w:r>
              <w:rPr>
                <w:rFonts w:ascii="Arial" w:eastAsia="Arial" w:hAnsi="Arial" w:cs="Arial"/>
                <w:color w:val="334155"/>
                <w:sz w:val="20"/>
                <w:szCs w:val="20"/>
              </w:rPr>
              <w:t xml:space="preserve"> offline en SQLite &lt; 15 ms versus sincronización cloud en PostgreSQL &gt; 150 ms) como evidencia cuantitativa del cumplimiento de los requisitos no funcionales?</w:t>
            </w:r>
          </w:p>
          <w:p w14:paraId="4D9260D8" w14:textId="28B4DED6" w:rsidR="004F2A8B" w:rsidRDefault="007C0740" w:rsidP="007C0740">
            <w:pPr>
              <w:jc w:val="both"/>
              <w:rPr>
                <w:rFonts w:ascii="Calibri" w:hAnsi="Calibri"/>
                <w:b/>
                <w:bCs/>
                <w:color w:val="1F4E79" w:themeColor="accent1" w:themeShade="80"/>
              </w:rPr>
            </w:pPr>
            <w:r w:rsidRPr="00A37CE7">
              <w:rPr>
                <w:rFonts w:ascii="Arial" w:eastAsia="Arial" w:hAnsi="Arial" w:cs="Arial"/>
                <w:b/>
                <w:bCs/>
                <w:sz w:val="20"/>
                <w:szCs w:val="20"/>
              </w:rPr>
              <w:t>• Alcance de Módulos Opcionales:</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Validar si el módulo de predicción por clima e integración con </w:t>
            </w:r>
            <w:proofErr w:type="spellStart"/>
            <w:r>
              <w:rPr>
                <w:rFonts w:ascii="Arial" w:eastAsia="Arial" w:hAnsi="Arial" w:cs="Arial"/>
                <w:color w:val="334155"/>
                <w:sz w:val="20"/>
                <w:szCs w:val="20"/>
              </w:rPr>
              <w:t>webhooks</w:t>
            </w:r>
            <w:proofErr w:type="spellEnd"/>
            <w:r>
              <w:rPr>
                <w:rFonts w:ascii="Arial" w:eastAsia="Arial" w:hAnsi="Arial" w:cs="Arial"/>
                <w:color w:val="334155"/>
                <w:sz w:val="20"/>
                <w:szCs w:val="20"/>
              </w:rPr>
              <w:t xml:space="preserve"> externos de WhatsApp debe defenderse como funcionalidad troncal o mantenerse como valor agregado complementario para no sobrecargar el tiempo de exposición.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F0C2DA3" w14:textId="77777777" w:rsidR="00930FD6" w:rsidRDefault="00930FD6" w:rsidP="00930FD6">
            <w:pPr>
              <w:spacing w:after="120" w:line="276" w:lineRule="auto"/>
            </w:pPr>
            <w:r>
              <w:rPr>
                <w:rFonts w:ascii="Arial" w:eastAsia="Arial" w:hAnsi="Arial" w:cs="Arial"/>
                <w:color w:val="334155"/>
                <w:sz w:val="21"/>
                <w:szCs w:val="21"/>
              </w:rPr>
              <w:t>No consideramos necesario redistribuir las actividades principales. La división de responsabilidades ha demostrado ser altamente eficiente y está alineada a las fortalezas técnicas de cada integrante:</w:t>
            </w:r>
          </w:p>
          <w:p w14:paraId="613F703F" w14:textId="77777777" w:rsidR="00930FD6" w:rsidRDefault="00930FD6" w:rsidP="00930FD6">
            <w:pPr>
              <w:spacing w:after="100" w:line="276" w:lineRule="auto"/>
              <w:ind w:left="360"/>
            </w:pPr>
            <w:r w:rsidRPr="00075632">
              <w:rPr>
                <w:rFonts w:ascii="Arial" w:eastAsia="Arial" w:hAnsi="Arial" w:cs="Arial"/>
                <w:b/>
                <w:bCs/>
                <w:sz w:val="20"/>
                <w:szCs w:val="20"/>
              </w:rPr>
              <w:t xml:space="preserve">• Marcelo Pino (Líder Backend &amp; QA): </w:t>
            </w:r>
            <w:r>
              <w:rPr>
                <w:rFonts w:ascii="Arial" w:eastAsia="Arial" w:hAnsi="Arial" w:cs="Arial"/>
                <w:color w:val="334155"/>
                <w:sz w:val="20"/>
                <w:szCs w:val="20"/>
              </w:rPr>
              <w:t xml:space="preserve">A cargo de la arquitectura de software, persistencia dual (PostgreSQL/SQLite), lógica de negocio, facturación DTE, seguridad, contenedores Docker y certificación con pruebas automatizadas </w:t>
            </w:r>
            <w:proofErr w:type="spellStart"/>
            <w:r>
              <w:rPr>
                <w:rFonts w:ascii="Arial" w:eastAsia="Arial" w:hAnsi="Arial" w:cs="Arial"/>
                <w:color w:val="334155"/>
                <w:sz w:val="20"/>
                <w:szCs w:val="20"/>
              </w:rPr>
              <w:t>Jest</w:t>
            </w:r>
            <w:proofErr w:type="spellEnd"/>
            <w:r>
              <w:rPr>
                <w:rFonts w:ascii="Arial" w:eastAsia="Arial" w:hAnsi="Arial" w:cs="Arial"/>
                <w:color w:val="334155"/>
                <w:sz w:val="20"/>
                <w:szCs w:val="20"/>
              </w:rPr>
              <w:t>.</w:t>
            </w:r>
          </w:p>
          <w:p w14:paraId="59C21D44" w14:textId="77777777" w:rsidR="00930FD6" w:rsidRDefault="00930FD6" w:rsidP="00930FD6">
            <w:pPr>
              <w:spacing w:after="100" w:line="276" w:lineRule="auto"/>
              <w:ind w:left="360"/>
            </w:pPr>
            <w:r w:rsidRPr="000E6CBE">
              <w:rPr>
                <w:rFonts w:ascii="Arial" w:eastAsia="Arial" w:hAnsi="Arial" w:cs="Arial"/>
                <w:b/>
                <w:bCs/>
                <w:sz w:val="20"/>
                <w:szCs w:val="20"/>
              </w:rPr>
              <w:t>• David Miranda (Frontend &amp; UI/UX):</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A cargo del diseño de interfaces de usuario en Google </w:t>
            </w:r>
            <w:proofErr w:type="spellStart"/>
            <w:r>
              <w:rPr>
                <w:rFonts w:ascii="Arial" w:eastAsia="Arial" w:hAnsi="Arial" w:cs="Arial"/>
                <w:color w:val="334155"/>
                <w:sz w:val="20"/>
                <w:szCs w:val="20"/>
              </w:rPr>
              <w:t>Stitch</w:t>
            </w:r>
            <w:proofErr w:type="spellEnd"/>
            <w:r>
              <w:rPr>
                <w:rFonts w:ascii="Arial" w:eastAsia="Arial" w:hAnsi="Arial" w:cs="Arial"/>
                <w:color w:val="334155"/>
                <w:sz w:val="20"/>
                <w:szCs w:val="20"/>
              </w:rPr>
              <w:t xml:space="preserve">, maquetación del cliente web/POS en React, experiencia de usuario y consumo de los </w:t>
            </w:r>
            <w:proofErr w:type="spellStart"/>
            <w:r>
              <w:rPr>
                <w:rFonts w:ascii="Arial" w:eastAsia="Arial" w:hAnsi="Arial" w:cs="Arial"/>
                <w:color w:val="334155"/>
                <w:sz w:val="20"/>
                <w:szCs w:val="20"/>
              </w:rPr>
              <w:t>endpoints</w:t>
            </w:r>
            <w:proofErr w:type="spellEnd"/>
            <w:r>
              <w:rPr>
                <w:rFonts w:ascii="Arial" w:eastAsia="Arial" w:hAnsi="Arial" w:cs="Arial"/>
                <w:color w:val="334155"/>
                <w:sz w:val="20"/>
                <w:szCs w:val="20"/>
              </w:rPr>
              <w:t xml:space="preserve"> </w:t>
            </w:r>
            <w:proofErr w:type="spellStart"/>
            <w:r>
              <w:rPr>
                <w:rFonts w:ascii="Arial" w:eastAsia="Arial" w:hAnsi="Arial" w:cs="Arial"/>
                <w:color w:val="334155"/>
                <w:sz w:val="20"/>
                <w:szCs w:val="20"/>
              </w:rPr>
              <w:t>RESTful</w:t>
            </w:r>
            <w:proofErr w:type="spellEnd"/>
            <w:r>
              <w:rPr>
                <w:rFonts w:ascii="Arial" w:eastAsia="Arial" w:hAnsi="Arial" w:cs="Arial"/>
                <w:color w:val="334155"/>
                <w:sz w:val="20"/>
                <w:szCs w:val="20"/>
              </w:rPr>
              <w:t xml:space="preserve"> provistos por el backend.</w:t>
            </w:r>
          </w:p>
          <w:p w14:paraId="0C5F9ED3" w14:textId="06E9A7A0" w:rsidR="004F2A8B" w:rsidRDefault="00930FD6" w:rsidP="00930FD6">
            <w:pPr>
              <w:jc w:val="both"/>
              <w:rPr>
                <w:rFonts w:eastAsiaTheme="majorEastAsia"/>
                <w:color w:val="767171" w:themeColor="background2" w:themeShade="80"/>
                <w:sz w:val="24"/>
                <w:szCs w:val="24"/>
              </w:rPr>
            </w:pPr>
            <w:r>
              <w:rPr>
                <w:rFonts w:ascii="Arial" w:eastAsia="Arial" w:hAnsi="Arial" w:cs="Arial"/>
                <w:color w:val="334155"/>
                <w:sz w:val="21"/>
                <w:szCs w:val="21"/>
              </w:rPr>
              <w:t>Como nueva actividad acordada para las próximas semanas, hemos establecido jornadas conjuntas de integración y pruebas End-</w:t>
            </w:r>
            <w:proofErr w:type="spellStart"/>
            <w:r>
              <w:rPr>
                <w:rFonts w:ascii="Arial" w:eastAsia="Arial" w:hAnsi="Arial" w:cs="Arial"/>
                <w:color w:val="334155"/>
                <w:sz w:val="21"/>
                <w:szCs w:val="21"/>
              </w:rPr>
              <w:t>to</w:t>
            </w:r>
            <w:proofErr w:type="spellEnd"/>
            <w:r>
              <w:rPr>
                <w:rFonts w:ascii="Arial" w:eastAsia="Arial" w:hAnsi="Arial" w:cs="Arial"/>
                <w:color w:val="334155"/>
                <w:sz w:val="21"/>
                <w:szCs w:val="21"/>
              </w:rPr>
              <w:t>-End (E2E), donde conectaremos las pantallas de catálogo, carrito, confirmación de facturas OCR y mermas directamente a la base de datos local para validar la usabilidad en mostrador.</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43B25FF" w14:textId="77777777" w:rsidR="0070174E" w:rsidRDefault="0070174E" w:rsidP="0070174E">
            <w:pPr>
              <w:spacing w:after="120" w:line="276" w:lineRule="auto"/>
            </w:pPr>
            <w:r>
              <w:rPr>
                <w:rFonts w:ascii="Arial" w:eastAsia="Arial" w:hAnsi="Arial" w:cs="Arial"/>
                <w:color w:val="334155"/>
                <w:sz w:val="21"/>
                <w:szCs w:val="21"/>
              </w:rPr>
              <w:t>Evalúo el trabajo en grupo como excelente. La sinergia y el compromiso han permitido mantener un ritmo constante de avance sin bloqueos entre capas de software.</w:t>
            </w:r>
          </w:p>
          <w:p w14:paraId="6C2D5C4F" w14:textId="77777777" w:rsidR="0070174E" w:rsidRDefault="0070174E" w:rsidP="0070174E">
            <w:pPr>
              <w:spacing w:after="100" w:line="276" w:lineRule="auto"/>
              <w:ind w:left="360"/>
            </w:pPr>
            <w:r w:rsidRPr="009360E2">
              <w:rPr>
                <w:rFonts w:ascii="Arial" w:eastAsia="Arial" w:hAnsi="Arial" w:cs="Arial"/>
                <w:b/>
                <w:bCs/>
                <w:sz w:val="20"/>
                <w:szCs w:val="20"/>
              </w:rPr>
              <w:t>• Aspectos Positivos</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Destaco la comunicación técnica directa y la capacidad de respuesta rápida: cuando surgieron necesidades específicas del frontend (como el soporte para </w:t>
            </w:r>
            <w:proofErr w:type="spellStart"/>
            <w:r>
              <w:rPr>
                <w:rFonts w:ascii="Arial" w:eastAsia="Arial" w:hAnsi="Arial" w:cs="Arial"/>
                <w:color w:val="334155"/>
                <w:sz w:val="20"/>
                <w:szCs w:val="20"/>
              </w:rPr>
              <w:t>total_factura</w:t>
            </w:r>
            <w:proofErr w:type="spellEnd"/>
            <w:r>
              <w:rPr>
                <w:rFonts w:ascii="Arial" w:eastAsia="Arial" w:hAnsi="Arial" w:cs="Arial"/>
                <w:color w:val="334155"/>
                <w:sz w:val="20"/>
                <w:szCs w:val="20"/>
              </w:rPr>
              <w:t xml:space="preserve"> en la ingesta OCR o la solicitud de tipos explícitos en el historial de stock para filtrado directo en pantalla), los ajustes en backend y migraciones se implementaron y testearon en menos de 24 horas. Existe total transparencia y rigurosidad en los entregables.</w:t>
            </w:r>
          </w:p>
          <w:p w14:paraId="5CFD58DE" w14:textId="233B3724" w:rsidR="004F2A8B" w:rsidRDefault="0070174E" w:rsidP="0070174E">
            <w:pPr>
              <w:jc w:val="both"/>
              <w:rPr>
                <w:rFonts w:eastAsiaTheme="majorEastAsia"/>
                <w:color w:val="767171" w:themeColor="background2" w:themeShade="80"/>
                <w:sz w:val="24"/>
                <w:szCs w:val="24"/>
              </w:rPr>
            </w:pPr>
            <w:r w:rsidRPr="000E3DD0">
              <w:rPr>
                <w:rFonts w:ascii="Arial" w:eastAsia="Arial" w:hAnsi="Arial" w:cs="Arial"/>
                <w:b/>
                <w:bCs/>
                <w:sz w:val="20"/>
                <w:szCs w:val="20"/>
              </w:rPr>
              <w:t>• Aspectos a Mejorar</w:t>
            </w:r>
            <w:r>
              <w:rPr>
                <w:rFonts w:ascii="Arial" w:eastAsia="Arial" w:hAnsi="Arial" w:cs="Arial"/>
                <w:b/>
                <w:bCs/>
                <w:color w:val="1E3A8A"/>
                <w:sz w:val="20"/>
                <w:szCs w:val="20"/>
              </w:rPr>
              <w:t xml:space="preserve">: </w:t>
            </w:r>
            <w:r>
              <w:rPr>
                <w:rFonts w:ascii="Arial" w:eastAsia="Arial" w:hAnsi="Arial" w:cs="Arial"/>
                <w:color w:val="334155"/>
                <w:sz w:val="20"/>
                <w:szCs w:val="20"/>
              </w:rPr>
              <w:t xml:space="preserve">A medida que entremos en la fase más intensa de ensamblaje del frontend sobre los 57 </w:t>
            </w:r>
            <w:proofErr w:type="spellStart"/>
            <w:r>
              <w:rPr>
                <w:rFonts w:ascii="Arial" w:eastAsia="Arial" w:hAnsi="Arial" w:cs="Arial"/>
                <w:color w:val="334155"/>
                <w:sz w:val="20"/>
                <w:szCs w:val="20"/>
              </w:rPr>
              <w:t>endpoints</w:t>
            </w:r>
            <w:proofErr w:type="spellEnd"/>
            <w:r>
              <w:rPr>
                <w:rFonts w:ascii="Arial" w:eastAsia="Arial" w:hAnsi="Arial" w:cs="Arial"/>
                <w:color w:val="334155"/>
                <w:sz w:val="20"/>
                <w:szCs w:val="20"/>
              </w:rPr>
              <w:t>, convendrá formalizar reuniones de sincronización cortas (</w:t>
            </w:r>
            <w:proofErr w:type="spellStart"/>
            <w:r>
              <w:rPr>
                <w:rFonts w:ascii="Arial" w:eastAsia="Arial" w:hAnsi="Arial" w:cs="Arial"/>
                <w:color w:val="334155"/>
                <w:sz w:val="20"/>
                <w:szCs w:val="20"/>
              </w:rPr>
              <w:t>Daily</w:t>
            </w:r>
            <w:proofErr w:type="spellEnd"/>
            <w:r>
              <w:rPr>
                <w:rFonts w:ascii="Arial" w:eastAsia="Arial" w:hAnsi="Arial" w:cs="Arial"/>
                <w:color w:val="334155"/>
                <w:sz w:val="20"/>
                <w:szCs w:val="20"/>
              </w:rPr>
              <w:t xml:space="preserve"> </w:t>
            </w:r>
            <w:proofErr w:type="spellStart"/>
            <w:r>
              <w:rPr>
                <w:rFonts w:ascii="Arial" w:eastAsia="Arial" w:hAnsi="Arial" w:cs="Arial"/>
                <w:color w:val="334155"/>
                <w:sz w:val="20"/>
                <w:szCs w:val="20"/>
              </w:rPr>
              <w:t>Standups</w:t>
            </w:r>
            <w:proofErr w:type="spellEnd"/>
            <w:r>
              <w:rPr>
                <w:rFonts w:ascii="Arial" w:eastAsia="Arial" w:hAnsi="Arial" w:cs="Arial"/>
                <w:color w:val="334155"/>
                <w:sz w:val="20"/>
                <w:szCs w:val="20"/>
              </w:rPr>
              <w:t xml:space="preserve"> de 15 minutos) para coordinar ramas en GitHub y evitar discrepancias en la interpretación de los estados de carga o </w:t>
            </w:r>
            <w:proofErr w:type="spellStart"/>
            <w:r>
              <w:rPr>
                <w:rFonts w:ascii="Arial" w:eastAsia="Arial" w:hAnsi="Arial" w:cs="Arial"/>
                <w:color w:val="334155"/>
                <w:sz w:val="20"/>
                <w:szCs w:val="20"/>
              </w:rPr>
              <w:t>payloads</w:t>
            </w:r>
            <w:proofErr w:type="spellEnd"/>
            <w:r>
              <w:rPr>
                <w:rFonts w:ascii="Arial" w:eastAsia="Arial" w:hAnsi="Arial" w:cs="Arial"/>
                <w:color w:val="334155"/>
                <w:sz w:val="20"/>
                <w:szCs w:val="20"/>
              </w:rPr>
              <w:t xml:space="preserve"> de error.</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58FFA" w14:textId="77777777" w:rsidR="007D2BE4" w:rsidRDefault="007D2BE4" w:rsidP="00DF38AE">
      <w:pPr>
        <w:spacing w:after="0" w:line="240" w:lineRule="auto"/>
      </w:pPr>
      <w:r>
        <w:separator/>
      </w:r>
    </w:p>
  </w:endnote>
  <w:endnote w:type="continuationSeparator" w:id="0">
    <w:p w14:paraId="3A680D32" w14:textId="77777777" w:rsidR="007D2BE4" w:rsidRDefault="007D2BE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C56F2" w14:textId="77777777" w:rsidR="007D2BE4" w:rsidRDefault="007D2BE4" w:rsidP="00DF38AE">
      <w:pPr>
        <w:spacing w:after="0" w:line="240" w:lineRule="auto"/>
      </w:pPr>
      <w:r>
        <w:separator/>
      </w:r>
    </w:p>
  </w:footnote>
  <w:footnote w:type="continuationSeparator" w:id="0">
    <w:p w14:paraId="7B5FB10E" w14:textId="77777777" w:rsidR="007D2BE4" w:rsidRDefault="007D2BE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1BC0"/>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632"/>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3DD0"/>
    <w:rsid w:val="000E4FEC"/>
    <w:rsid w:val="000E56F6"/>
    <w:rsid w:val="000E60B3"/>
    <w:rsid w:val="000E6CBE"/>
    <w:rsid w:val="000F005B"/>
    <w:rsid w:val="000F009A"/>
    <w:rsid w:val="000F0DD9"/>
    <w:rsid w:val="000F2E97"/>
    <w:rsid w:val="000F499F"/>
    <w:rsid w:val="000F525C"/>
    <w:rsid w:val="000F54BB"/>
    <w:rsid w:val="000F7E7B"/>
    <w:rsid w:val="0010077B"/>
    <w:rsid w:val="00102E03"/>
    <w:rsid w:val="001035F0"/>
    <w:rsid w:val="001040FB"/>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5E72"/>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02C2"/>
    <w:rsid w:val="00403CC4"/>
    <w:rsid w:val="00406235"/>
    <w:rsid w:val="00411395"/>
    <w:rsid w:val="00415406"/>
    <w:rsid w:val="00415B16"/>
    <w:rsid w:val="00415F5A"/>
    <w:rsid w:val="00417630"/>
    <w:rsid w:val="004203A6"/>
    <w:rsid w:val="00420BD6"/>
    <w:rsid w:val="00421745"/>
    <w:rsid w:val="00421FF2"/>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36EC"/>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2B2B"/>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4D26"/>
    <w:rsid w:val="005A5A0D"/>
    <w:rsid w:val="005A5EA7"/>
    <w:rsid w:val="005A689C"/>
    <w:rsid w:val="005A70C1"/>
    <w:rsid w:val="005B01B3"/>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57F"/>
    <w:rsid w:val="006E763B"/>
    <w:rsid w:val="006F17FE"/>
    <w:rsid w:val="006F314B"/>
    <w:rsid w:val="006F41AE"/>
    <w:rsid w:val="0070174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740"/>
    <w:rsid w:val="007C09DA"/>
    <w:rsid w:val="007C154D"/>
    <w:rsid w:val="007C3487"/>
    <w:rsid w:val="007C40A2"/>
    <w:rsid w:val="007C54D7"/>
    <w:rsid w:val="007C65DF"/>
    <w:rsid w:val="007D1A56"/>
    <w:rsid w:val="007D2B72"/>
    <w:rsid w:val="007D2BE4"/>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44E"/>
    <w:rsid w:val="00893DF8"/>
    <w:rsid w:val="00894ABA"/>
    <w:rsid w:val="00895861"/>
    <w:rsid w:val="00897251"/>
    <w:rsid w:val="008A0DAF"/>
    <w:rsid w:val="008A1E91"/>
    <w:rsid w:val="008A1F10"/>
    <w:rsid w:val="008A30B7"/>
    <w:rsid w:val="008A36AB"/>
    <w:rsid w:val="008A3F7D"/>
    <w:rsid w:val="008A42C9"/>
    <w:rsid w:val="008A77AE"/>
    <w:rsid w:val="008A7C22"/>
    <w:rsid w:val="008A7D30"/>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080E"/>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0FD6"/>
    <w:rsid w:val="00931701"/>
    <w:rsid w:val="00931EE5"/>
    <w:rsid w:val="009322E3"/>
    <w:rsid w:val="009337FF"/>
    <w:rsid w:val="00934E1B"/>
    <w:rsid w:val="0093532E"/>
    <w:rsid w:val="00935E33"/>
    <w:rsid w:val="009360E2"/>
    <w:rsid w:val="009412A5"/>
    <w:rsid w:val="0094176D"/>
    <w:rsid w:val="00942C63"/>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37CE7"/>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83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5CE6"/>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027"/>
    <w:rsid w:val="00BB746D"/>
    <w:rsid w:val="00BC0352"/>
    <w:rsid w:val="00BC122D"/>
    <w:rsid w:val="00BC39DA"/>
    <w:rsid w:val="00BC5890"/>
    <w:rsid w:val="00BC611D"/>
    <w:rsid w:val="00BC64CC"/>
    <w:rsid w:val="00BC6504"/>
    <w:rsid w:val="00BC6826"/>
    <w:rsid w:val="00BC6831"/>
    <w:rsid w:val="00BC6D40"/>
    <w:rsid w:val="00BC7DD7"/>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6D5"/>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966"/>
    <w:rsid w:val="00DF1AD3"/>
    <w:rsid w:val="00DF1B6D"/>
    <w:rsid w:val="00DF2241"/>
    <w:rsid w:val="00DF34AD"/>
    <w:rsid w:val="00DF38AE"/>
    <w:rsid w:val="00DF3CD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BB0"/>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59A"/>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9DE"/>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1334</Words>
  <Characters>7343</Characters>
  <Application>Microsoft Office Word</Application>
  <DocSecurity>0</DocSecurity>
  <Lines>61</Lines>
  <Paragraphs>17</Paragraphs>
  <ScaleCrop>false</ScaleCrop>
  <Company>Wal-Mart Stores, Inc.</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Pino</cp:lastModifiedBy>
  <cp:revision>25</cp:revision>
  <cp:lastPrinted>2019-12-16T20:10:00Z</cp:lastPrinted>
  <dcterms:created xsi:type="dcterms:W3CDTF">2026-09-11T05:32:00Z</dcterms:created>
  <dcterms:modified xsi:type="dcterms:W3CDTF">2026-10-03T00:52:00Z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