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362" w:line="276" w:lineRule="auto"/>
        <w:jc w:val="center"/>
      </w:pPr>
      <w:r>
        <w:rPr>
          <w:b/>
          <w:bCs/>
          <w:color w:val="000000"/>
          <w:sz w:val="40"/>
          <w:szCs w:val="40"/>
        </w:rPr>
        <w:t xml:space="preserve">The Impact of Social Media Usage on Student Study Habits and Academic Performance</w:t>
      </w:r>
    </w:p>
    <w:p>
      <w:pPr>
        <w:spacing w:after="600" w:line="276" w:lineRule="auto"/>
        <w:jc w:val="center"/>
      </w:pPr>
      <w:r>
        <w:rPr>
          <w:color w:val="595959"/>
          <w:sz w:val="28"/>
          <w:szCs w:val="28"/>
        </w:rPr>
        <w:t xml:space="preserve">An Analysis of Digital Connectivity in Higher Education</w:t>
      </w:r>
    </w:p>
    <w:p>
      <w:pPr>
        <w:spacing w:after="120" w:before="600" w:line="276" w:lineRule="auto"/>
        <w:jc w:val="center"/>
      </w:pPr>
      <w:r>
        <w:rPr>
          <w:sz w:val="26"/>
          <w:szCs w:val="26"/>
        </w:rPr>
        <w:t xml:space="preserve">Prepared for the Academic Oversight Committee</w:t>
      </w:r>
    </w:p>
    <w:p>
      <w:pPr>
        <w:spacing w:after="120" w:before="0" w:line="276" w:lineRule="auto"/>
        <w:jc w:val="center"/>
      </w:pPr>
      <w:r>
        <w:rPr>
          <w:sz w:val="26"/>
          <w:szCs w:val="26"/>
        </w:rPr>
        <w:t xml:space="preserve">Department of Educational Psychology</w:t>
      </w:r>
    </w:p>
    <w:p>
      <w:pPr>
        <w:spacing w:after="120" w:before="0" w:line="276" w:lineRule="auto"/>
        <w:jc w:val="center"/>
      </w:pPr>
      <w:r>
        <w:rPr>
          <w:sz w:val="26"/>
          <w:szCs w:val="26"/>
        </w:rPr>
        <w:t xml:space="preserve">Academic Research Division</w:t>
      </w:r>
    </w:p>
    <w:p>
      <w:pPr>
        <w:spacing w:after="120" w:before="0" w:line="276" w:lineRule="auto"/>
        <w:jc w:val="center"/>
        <w:sectPr>
          <w:pgSz w:w="11906" w:h="16838" w:orient="portrait"/>
          <w:pgMar w:top="1440" w:right="1440" w:bottom="1440" w:left="1800" w:header="708" w:footer="708" w:gutter="0"/>
          <w:pgNumType/>
          <w:docGrid w:linePitch="360"/>
        </w:sectPr>
      </w:pPr>
      <w:r>
        <w:rPr>
          <w:sz w:val="26"/>
          <w:szCs w:val="26"/>
        </w:rPr>
        <w:t xml:space="preserve">October 2023</w:t>
      </w:r>
    </w:p>
    <w:p>
      <w:pPr>
        <w:keepNext/>
        <w:spacing w:after="160" w:before="120"/>
      </w:pPr>
      <w:r>
        <w:rPr>
          <w:b/>
          <w:bCs/>
          <w:color w:val="000000"/>
          <w:sz w:val="28"/>
          <w:szCs w:val="28"/>
        </w:rPr>
        <w:t xml:space="preserve">Contents</w:t>
      </w:r>
    </w:p>
    <w:p>
      <w:pPr>
        <w:spacing w:after="60" w:line="276" w:lineRule="auto"/>
        <w:ind w:left="0"/>
      </w:pPr>
      <w:r>
        <w:rPr>
          <w:sz w:val="24"/>
          <w:szCs w:val="24"/>
        </w:rPr>
        <w:t xml:space="preserve">Introduction</w:t>
      </w:r>
    </w:p>
    <w:p>
      <w:pPr>
        <w:spacing w:after="60" w:line="276" w:lineRule="auto"/>
        <w:ind w:left="0"/>
      </w:pPr>
      <w:r>
        <w:rPr>
          <w:sz w:val="24"/>
          <w:szCs w:val="24"/>
        </w:rPr>
        <w:t xml:space="preserve">Background</w:t>
      </w:r>
    </w:p>
    <w:p>
      <w:pPr>
        <w:spacing w:after="60" w:line="276" w:lineRule="auto"/>
        <w:ind w:left="0"/>
      </w:pPr>
      <w:r>
        <w:rPr>
          <w:sz w:val="24"/>
          <w:szCs w:val="24"/>
        </w:rPr>
        <w:t xml:space="preserve">Detrimental Effects on Academic Performance</w:t>
      </w:r>
    </w:p>
    <w:p>
      <w:pPr>
        <w:spacing w:after="60" w:line="276" w:lineRule="auto"/>
        <w:ind w:left="0"/>
      </w:pPr>
      <w:r>
        <w:rPr>
          <w:sz w:val="24"/>
          <w:szCs w:val="24"/>
        </w:rPr>
        <w:t xml:space="preserve">Potential Benefits and Collaborative Learning</w:t>
      </w:r>
    </w:p>
    <w:p>
      <w:pPr>
        <w:spacing w:after="60" w:line="276" w:lineRule="auto"/>
        <w:ind w:left="0"/>
      </w:pPr>
      <w:r>
        <w:rPr>
          <w:sz w:val="24"/>
          <w:szCs w:val="24"/>
        </w:rPr>
        <w:t xml:space="preserve">Comparative Analysis of Usage Patterns</w:t>
      </w:r>
    </w:p>
    <w:p>
      <w:pPr>
        <w:spacing w:after="60" w:line="276" w:lineRule="auto"/>
        <w:ind w:left="0"/>
      </w:pPr>
      <w:r>
        <w:rPr>
          <w:sz w:val="24"/>
          <w:szCs w:val="24"/>
        </w:rPr>
        <w:t xml:space="preserve">Conclusion</w:t>
      </w:r>
    </w:p>
    <w:p>
      <w:pPr>
        <w:spacing w:after="60" w:line="276" w:lineRule="auto"/>
        <w:ind w:left="0"/>
      </w:pPr>
      <w:r>
        <w:rPr>
          <w:sz w:val="24"/>
          <w:szCs w:val="24"/>
        </w:rPr>
        <w:t xml:space="preserve">Recommendations</w:t>
      </w:r>
    </w:p>
    <w:p>
      <w:pPr>
        <w:spacing w:after="60" w:line="276" w:lineRule="auto"/>
        <w:ind w:left="0"/>
      </w:pPr>
      <w:r>
        <w:rPr>
          <w:sz w:val="24"/>
          <w:szCs w:val="24"/>
        </w:rPr>
        <w:t xml:space="preserve">References</w:t>
      </w:r>
    </w:p>
    <w:p>
      <w:pPr>
        <w:pStyle w:val="Heading1"/>
        <w:keepNext/>
        <w:pageBreakBefore/>
      </w:pPr>
      <w:r>
        <w:t xml:space="preserve">Introduction</w:t>
      </w:r>
    </w:p>
    <w:p>
      <w:pPr>
        <w:jc w:val="both"/>
      </w:pPr>
      <w:r>
        <w:t xml:space="preserve">The integration of social media into the daily lives of students has fundamentally altered the landscape of modern education. While these platforms facilitate instant communication and global information exchange, they also introduce significant challenges to traditional study habits. This report examines the dual nature of social media, exploring how it acts as both a source of distraction and a tool for academic collaboration.</w:t>
      </w:r>
    </w:p>
    <w:p>
      <w:pPr>
        <w:jc w:val="both"/>
      </w:pPr>
      <w:r>
        <w:t xml:space="preserve">The scope of this report focuses on the intersection of digital engagement and cognitive load during study sessions. It evaluates the impact of multitasking, the psychological mechanisms of attention, and the potential for leveraging online communities to enhance learning outcomes. The ultimate objective is to provide a comprehensive understanding of how digital habits correlate with academic achievement.</w:t>
      </w:r>
    </w:p>
    <w:p>
      <w:pPr>
        <w:pStyle w:val="Heading1"/>
        <w:keepNext/>
      </w:pPr>
      <w:r>
        <w:t xml:space="preserve">Background</w:t>
      </w:r>
    </w:p>
    <w:p>
      <w:pPr>
        <w:jc w:val="both"/>
      </w:pPr>
      <w:r>
        <w:t xml:space="preserve">Social media platforms have evolved from simple social networking sites into complex hubs of information. For students, the boundary between leisure and academic study has blurred, as many students use the same devices for social browsing and course-related research. The frequency of social media usage among undergraduates has increased consistently over the last decade, with recent data suggesting that [Insert specific survey statistics regarding usage hours here].</w:t>
      </w:r>
    </w:p>
    <w:p>
      <w:pPr>
        <w:jc w:val="both"/>
      </w:pPr>
      <w:r>
        <w:t xml:space="preserve">The theoretical framework underpinning this study involves cognitive load theory and the concept of continuous partial attention. Cognitive load theory suggests that our working memory has a finite capacity; therefore, constant notifications and social media engagement during deep study sessions can lead to cognitive overload, hindering the transfer of information into long-term memory.</w:t>
      </w:r>
    </w:p>
    <w:p>
      <w:pPr>
        <w:pStyle w:val="Heading1"/>
        <w:keepNext/>
      </w:pPr>
      <w:r>
        <w:t xml:space="preserve">Detrimental Effects on Academic Performance</w:t>
      </w:r>
    </w:p>
    <w:p>
      <w:pPr>
        <w:jc w:val="both"/>
      </w:pPr>
      <w:r>
        <w:t xml:space="preserve">The most significant detrimental effect of social media usage is the prevalence of multitasking. Although many students believe they are proficient at 'media multitasking,' empirical evidence consistently demonstrates that the brain effectively switches between tasks rather than processing them simultaneously. This switching cost leads to slower processing speeds and lower retention of academic content.</w:t>
      </w:r>
    </w:p>
    <w:p>
      <w:pPr>
        <w:jc w:val="both"/>
      </w:pPr>
      <w:r>
        <w:t xml:space="preserve">Furthermore, the constant stream of notifications disrupts the 'flow state' required for deep, analytical thinking. When a student is interrupted by an alert, it can take an average of twenty minutes to fully regain concentration on the original task. This fragmentation of focus directly correlates to increased study time requirements to cover the same volume of material, thereby reducing overall academic efficiency.</w:t>
      </w:r>
    </w:p>
    <w:p>
      <w:pPr>
        <w:jc w:val="both"/>
      </w:pPr>
      <w:r>
        <w:t xml:space="preserve">Beyond cognitive distraction, social media usage late into the evening can have secondary effects on academic success through the disruption of sleep hygiene. The exposure to blue light and the psychological stimulation provided by social content contribute to delayed sleep latency, resulting in impaired cognitive performance the following day.</w:t>
      </w:r>
    </w:p>
    <w:p>
      <w:pPr>
        <w:pStyle w:val="Heading1"/>
        <w:keepNext/>
      </w:pPr>
      <w:r>
        <w:t xml:space="preserve">Potential Benefits and Collaborative Learning</w:t>
      </w:r>
    </w:p>
    <w:p>
      <w:pPr>
        <w:jc w:val="both"/>
      </w:pPr>
      <w:r>
        <w:t xml:space="preserve">Despite the well-documented risks, social media holds potential as an instrument for academic enhancement. When used intentionally, these platforms facilitate the creation of virtual study groups, peer-to-peer tutoring, and the rapid dissemination of academic resources. Students often leverage social media to find classmates with shared interests, creating a supportive network that can bolster motivation.</w:t>
      </w:r>
    </w:p>
    <w:p>
      <w:pPr>
        <w:jc w:val="both"/>
      </w:pPr>
      <w:r>
        <w:t xml:space="preserve">Research suggests that social media can be used to curate relevant educational content, such as following subject-matter experts, joining academic forums, or participating in university-led digital communities. In these instances, the platform serves as an extension of the classroom, allowing for continuous learning and inquiry that extends beyond traditional campus hours.</w:t>
      </w:r>
    </w:p>
    <w:p>
      <w:pPr>
        <w:pStyle w:val="Heading1"/>
        <w:keepNext/>
      </w:pPr>
      <w:r>
        <w:t xml:space="preserve">Comparative Analysis of Usage Patterns</w:t>
      </w:r>
    </w:p>
    <w:p>
      <w:pPr>
        <w:keepNext/>
        <w:spacing w:after="80" w:before="120"/>
      </w:pPr>
      <w:r>
        <w:rPr>
          <w:i/>
          <w:iCs/>
          <w:sz w:val="22"/>
          <w:szCs w:val="22"/>
        </w:rPr>
        <w:t xml:space="preserve">Table 1. Impact of Specific Social Media Behaviors on Study Efficacy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170"/>
        <w:gridCol w:w="2325"/>
        <w:gridCol w:w="3171"/>
      </w:tblGrid>
      <w:tr>
        <w:trPr>
          <w:cantSplit/>
          <w:tblHeader/>
        </w:trPr>
        <w:tc>
          <w:tcPr>
            <w:tcW w:type="dxa" w:w="3170"/>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2" w:lineRule="auto"/>
            </w:pPr>
            <w:r>
              <w:rPr>
                <w:b/>
                <w:bCs/>
                <w:color w:val="000000"/>
                <w:sz w:val="22"/>
                <w:szCs w:val="22"/>
              </w:rPr>
              <w:t xml:space="preserve">Usage Category</w:t>
            </w:r>
          </w:p>
        </w:tc>
        <w:tc>
          <w:tcPr>
            <w:tcW w:type="dxa" w:w="2325"/>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2" w:lineRule="auto"/>
            </w:pPr>
            <w:r>
              <w:rPr>
                <w:b/>
                <w:bCs/>
                <w:color w:val="000000"/>
                <w:sz w:val="22"/>
                <w:szCs w:val="22"/>
              </w:rPr>
              <w:t xml:space="preserve">Impact on Attention</w:t>
            </w:r>
          </w:p>
        </w:tc>
        <w:tc>
          <w:tcPr>
            <w:tcW w:type="dxa" w:w="3171"/>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2" w:lineRule="auto"/>
            </w:pPr>
            <w:r>
              <w:rPr>
                <w:b/>
                <w:bCs/>
                <w:color w:val="000000"/>
                <w:sz w:val="22"/>
                <w:szCs w:val="22"/>
              </w:rPr>
              <w:t xml:space="preserve">Typical Academic Outcome</w:t>
            </w:r>
          </w:p>
        </w:tc>
      </w:tr>
      <w:tr>
        <w:trPr>
          <w:cantSplit/>
          <w:tblHeader w:val="off"/>
        </w:trPr>
        <w:tc>
          <w:tcPr>
            <w:tcW w:type="dxa" w:w="317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52" w:lineRule="auto"/>
            </w:pPr>
            <w:r>
              <w:rPr>
                <w:sz w:val="22"/>
                <w:szCs w:val="22"/>
              </w:rPr>
              <w:t xml:space="preserve">Passive Scrolling</w:t>
            </w:r>
          </w:p>
        </w:tc>
        <w:tc>
          <w:tcPr>
            <w:tcW w:type="dxa" w:w="2325"/>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52" w:lineRule="auto"/>
            </w:pPr>
            <w:r>
              <w:rPr>
                <w:sz w:val="22"/>
                <w:szCs w:val="22"/>
              </w:rPr>
              <w:t xml:space="preserve">High Disruption</w:t>
            </w:r>
          </w:p>
        </w:tc>
        <w:tc>
          <w:tcPr>
            <w:tcW w:type="dxa" w:w="31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52" w:lineRule="auto"/>
            </w:pPr>
            <w:r>
              <w:rPr>
                <w:sz w:val="22"/>
                <w:szCs w:val="22"/>
              </w:rPr>
              <w:t xml:space="preserve">Decreased comprehension</w:t>
            </w:r>
          </w:p>
        </w:tc>
      </w:tr>
      <w:tr>
        <w:trPr>
          <w:cantSplit/>
          <w:tblHeader w:val="off"/>
        </w:trPr>
        <w:tc>
          <w:tcPr>
            <w:tcW w:type="dxa" w:w="317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52" w:lineRule="auto"/>
            </w:pPr>
            <w:r>
              <w:rPr>
                <w:sz w:val="22"/>
                <w:szCs w:val="22"/>
              </w:rPr>
              <w:t xml:space="preserve">Active Peer Collaboration</w:t>
            </w:r>
          </w:p>
        </w:tc>
        <w:tc>
          <w:tcPr>
            <w:tcW w:type="dxa" w:w="2325"/>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52" w:lineRule="auto"/>
            </w:pPr>
            <w:r>
              <w:rPr>
                <w:sz w:val="22"/>
                <w:szCs w:val="22"/>
              </w:rPr>
              <w:t xml:space="preserve">Low Disruption</w:t>
            </w:r>
          </w:p>
        </w:tc>
        <w:tc>
          <w:tcPr>
            <w:tcW w:type="dxa" w:w="31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52" w:lineRule="auto"/>
            </w:pPr>
            <w:r>
              <w:rPr>
                <w:sz w:val="22"/>
                <w:szCs w:val="22"/>
              </w:rPr>
              <w:t xml:space="preserve">Improved retention</w:t>
            </w:r>
          </w:p>
        </w:tc>
      </w:tr>
      <w:tr>
        <w:trPr>
          <w:cantSplit/>
          <w:tblHeader w:val="off"/>
        </w:trPr>
        <w:tc>
          <w:tcPr>
            <w:tcW w:type="dxa" w:w="317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52" w:lineRule="auto"/>
            </w:pPr>
            <w:r>
              <w:rPr>
                <w:sz w:val="22"/>
                <w:szCs w:val="22"/>
              </w:rPr>
              <w:t xml:space="preserve">Multitasking with Notifications</w:t>
            </w:r>
          </w:p>
        </w:tc>
        <w:tc>
          <w:tcPr>
            <w:tcW w:type="dxa" w:w="2325"/>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52" w:lineRule="auto"/>
            </w:pPr>
            <w:r>
              <w:rPr>
                <w:sz w:val="22"/>
                <w:szCs w:val="22"/>
              </w:rPr>
              <w:t xml:space="preserve">Critical Fragmentation</w:t>
            </w:r>
          </w:p>
        </w:tc>
        <w:tc>
          <w:tcPr>
            <w:tcW w:type="dxa" w:w="31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52" w:lineRule="auto"/>
            </w:pPr>
            <w:r>
              <w:rPr>
                <w:sz w:val="22"/>
                <w:szCs w:val="22"/>
              </w:rPr>
              <w:t xml:space="preserve">Lower GPA correlation</w:t>
            </w:r>
          </w:p>
        </w:tc>
      </w:tr>
      <w:tr>
        <w:trPr>
          <w:cantSplit/>
          <w:tblHeader w:val="off"/>
        </w:trPr>
        <w:tc>
          <w:tcPr>
            <w:tcW w:type="dxa" w:w="317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52" w:lineRule="auto"/>
            </w:pPr>
            <w:r>
              <w:rPr>
                <w:sz w:val="22"/>
                <w:szCs w:val="22"/>
              </w:rPr>
              <w:t xml:space="preserve">Resource Searching</w:t>
            </w:r>
          </w:p>
        </w:tc>
        <w:tc>
          <w:tcPr>
            <w:tcW w:type="dxa" w:w="2325"/>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52" w:lineRule="auto"/>
            </w:pPr>
            <w:r>
              <w:rPr>
                <w:sz w:val="22"/>
                <w:szCs w:val="22"/>
              </w:rPr>
              <w:t xml:space="preserve">Neutral</w:t>
            </w:r>
          </w:p>
        </w:tc>
        <w:tc>
          <w:tcPr>
            <w:tcW w:type="dxa" w:w="3171"/>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spacing w:after="0" w:line="252" w:lineRule="auto"/>
            </w:pPr>
            <w:r>
              <w:rPr>
                <w:sz w:val="22"/>
                <w:szCs w:val="22"/>
              </w:rPr>
              <w:t xml:space="preserve">Variable efficiency</w:t>
            </w:r>
          </w:p>
        </w:tc>
      </w:tr>
    </w:tbl>
    <w:p>
      <w:pPr>
        <w:spacing w:after="160"/>
      </w:pPr>
    </w:p>
    <w:p>
      <w:pPr>
        <w:pStyle w:val="Heading1"/>
        <w:keepNext/>
      </w:pPr>
      <w:r>
        <w:t xml:space="preserve">Conclusion</w:t>
      </w:r>
    </w:p>
    <w:p>
      <w:pPr>
        <w:jc w:val="both"/>
      </w:pPr>
      <w:r>
        <w:t xml:space="preserve">The impact of social media on study habits is defined by how the technology is employed. Passive, habitual usage is consistently associated with negative cognitive outcomes and reduced academic efficiency. Conversely, active and goal-oriented usage can serve as a catalyst for deeper engagement and collaboration. The challenge for modern students is to transition from mindless consumption to intentional, managed use of digital tools.</w:t>
      </w:r>
    </w:p>
    <w:p>
      <w:pPr>
        <w:jc w:val="both"/>
      </w:pPr>
      <w:r>
        <w:t xml:space="preserve">Ultimately, academic performance is influenced not by the mere presence of social media, but by the discipline of the student to balance these tools with periods of uninterrupted, deep work. Future success in an increasingly digital academic environment will depend on the development of robust digital literacy and self-regulation skills.</w:t>
      </w:r>
    </w:p>
    <w:p>
      <w:pPr>
        <w:pStyle w:val="Heading1"/>
        <w:keepNext/>
      </w:pPr>
      <w:r>
        <w:t xml:space="preserve">Recommendations</w:t>
      </w:r>
    </w:p>
    <w:p>
      <w:pPr>
        <w:pStyle w:val="ListParagraph"/>
        <w:numPr>
          <w:ilvl w:val="0"/>
          <w:numId w:val="2"/>
        </w:numPr>
        <w:spacing w:after="60"/>
      </w:pPr>
      <w:r>
        <w:t xml:space="preserve">Implement 'Focus Modes' or 'Do Not Disturb' settings during scheduled study blocks to minimize intrusive notifications.</w:t>
      </w:r>
    </w:p>
    <w:p>
      <w:pPr>
        <w:pStyle w:val="ListParagraph"/>
        <w:numPr>
          <w:ilvl w:val="0"/>
          <w:numId w:val="2"/>
        </w:numPr>
        <w:spacing w:after="60"/>
      </w:pPr>
      <w:r>
        <w:t xml:space="preserve">Adopt time-blocking techniques where social media usage is reserved for designated breaks rather than being interspersed throughout study sessions.</w:t>
      </w:r>
    </w:p>
    <w:p>
      <w:pPr>
        <w:pStyle w:val="ListParagraph"/>
        <w:numPr>
          <w:ilvl w:val="0"/>
          <w:numId w:val="2"/>
        </w:numPr>
        <w:spacing w:after="60"/>
      </w:pPr>
      <w:r>
        <w:t xml:space="preserve">Curate social media feeds to prioritize academic and professional content, thereby transforming the tool into a learning resource.</w:t>
      </w:r>
    </w:p>
    <w:p>
      <w:pPr>
        <w:pStyle w:val="ListParagraph"/>
        <w:numPr>
          <w:ilvl w:val="0"/>
          <w:numId w:val="2"/>
        </w:numPr>
        <w:spacing w:after="160"/>
      </w:pPr>
      <w:r>
        <w:t xml:space="preserve">Maintain a log of digital usage patterns to identify triggers for procrastination and adjust behaviors accordingly.</w:t>
      </w:r>
    </w:p>
    <w:p>
      <w:pPr>
        <w:pStyle w:val="Heading1"/>
        <w:keepNext/>
      </w:pPr>
      <w:r>
        <w:t xml:space="preserve">References</w:t>
      </w:r>
    </w:p>
    <w:p>
      <w:pPr>
        <w:spacing w:after="120"/>
        <w:ind w:left="720" w:hanging="720"/>
      </w:pPr>
      <w:r>
        <w:t xml:space="preserve">Sweller, J. (1988). Cognitive Load During Problem Solving: Effects on Learning. Cognitive Science.</w:t>
      </w:r>
    </w:p>
    <w:p>
      <w:pPr>
        <w:spacing w:after="120"/>
        <w:ind w:left="720" w:hanging="720"/>
      </w:pPr>
      <w:r>
        <w:t xml:space="preserve">Rosen, L. D., et al. (2013). The Media Multitasking Paradox: Effects of Task Switching on Academic Performance.</w:t>
      </w:r>
    </w:p>
    <w:sectPr>
      <w:headerReference w:type="default" r:id="rId6"/>
      <w:footerReference w:type="default" r:id="rId7"/>
      <w:pgSz w:w="11906" w:h="16838" w:orient="portrait"/>
      <w:pgMar w:top="1440" w:right="1440" w:bottom="1440" w:left="1800" w:header="708" w:footer="708" w:gutter="0"/>
      <w:pgNumType w:start="2"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20"/>
        <w:szCs w:val="20"/>
      </w:rPr>
      <w:fldChar w:fldCharType="begin"/>
    </w:r>
    <w:r>
      <w:rPr>
        <w:color w:val="7F7F7F"/>
        <w:sz w:val="20"/>
        <w:szCs w:val="20"/>
      </w:rPr>
      <w:instrText xml:space="preserve">PAGE</w:instrText>
    </w:r>
    <w:r>
      <w:rPr>
        <w:color w:val="7F7F7F"/>
        <w:sz w:val="20"/>
        <w:szCs w:val="20"/>
      </w:rPr>
      <w:fldChar w:fldCharType="separate"/>
    </w:r>
    <w:r>
      <w:rPr>
        <w:color w:val="7F7F7F"/>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20"/>
        <w:szCs w:val="20"/>
      </w:rPr>
      <w:t xml:space="preserve">The Impact of Social Media Usage on Student Study Habits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360" w:line="276" w:lineRule="auto"/>
      <w:jc w:val="left"/>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line="276" w:lineRule="auto"/>
      <w:jc w:val="left"/>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line="276" w:lineRule="auto"/>
      <w:jc w:val="left"/>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Social Media Usage on Student Study Habits and Academic Performance</dc:title>
  <dc:creator>Academic Research Division</dc:creator>
  <dc:description>An Analysis of Digital Connectivity in Higher Education</dc:description>
  <cp:lastModifiedBy>Un-named</cp:lastModifiedBy>
  <cp:revision>1</cp:revision>
  <dcterms:created xsi:type="dcterms:W3CDTF">2026-10-25T00:10:57.202Z</dcterms:created>
  <dcterms:modified xsi:type="dcterms:W3CDTF">2026-10-25T00:10:57.202Z</dcterms:modified>
</cp:coreProperties>
</file>

<file path=docProps/custom.xml><?xml version="1.0" encoding="utf-8"?>
<Properties xmlns="http://schemas.openxmlformats.org/officeDocument/2006/custom-properties" xmlns:vt="http://schemas.openxmlformats.org/officeDocument/2006/docPropsVTypes"/>
</file>