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DPI12title"/>
        <w:rPr>
          <w:sz w:val="32"/>
          <w:szCs w:val="32"/>
        </w:rPr>
      </w:pPr>
      <w:bookmarkStart w:id="0" w:name="docs-internal-guid-d985aa43-7fff-5a3c-eb"/>
      <w:bookmarkEnd w:id="0"/>
      <w:r>
        <w:rPr>
          <w:rFonts w:cs="Segoe UI" w:ascii="Google Sans;sans-serif" w:hAnsi="Google Sans;sans-serif"/>
          <w:b/>
          <w:i w:val="false"/>
          <w:caps w:val="false"/>
          <w:smallCaps w:val="false"/>
          <w:strike w:val="false"/>
          <w:dstrike w:val="false"/>
          <w:color w:val="000000"/>
          <w:sz w:val="32"/>
          <w:szCs w:val="32"/>
          <w:u w:val="none"/>
          <w:effect w:val="none"/>
          <w:shd w:fill="auto" w:val="clear"/>
        </w:rPr>
        <w:t>El</w:t>
      </w:r>
      <w:r>
        <w:rPr>
          <w:rFonts w:cs="Segoe UI" w:ascii="Google Sans;sans-serif" w:hAnsi="Google Sans;sans-serif"/>
          <w:b/>
          <w:i w:val="false"/>
          <w:caps w:val="false"/>
          <w:smallCaps w:val="false"/>
          <w:strike w:val="false"/>
          <w:dstrike w:val="false"/>
          <w:color w:val="000000"/>
          <w:sz w:val="32"/>
          <w:szCs w:val="32"/>
          <w:u w:val="none"/>
          <w:effect w:val="none"/>
          <w:shd w:fill="auto" w:val="clear"/>
        </w:rPr>
        <w:t>ucidating Cancer Mutation Algorithms: Interpreting Their Scores for Clinical Decision-Making</w:t>
      </w:r>
    </w:p>
    <w:p>
      <w:pPr>
        <w:pStyle w:val="MDPI13authornames"/>
        <w:rPr/>
      </w:pPr>
      <w:r>
        <w:rPr/>
        <w:t xml:space="preserve">Senol Dogan </w:t>
      </w:r>
      <w:r>
        <w:rPr>
          <w:vertAlign w:val="superscript"/>
        </w:rPr>
        <w:t>1,2</w:t>
      </w:r>
      <w:r>
        <w:rPr>
          <w:sz w:val="24"/>
          <w:szCs w:val="24"/>
          <w:vertAlign w:val="superscript"/>
        </w:rPr>
        <w:t>*</w:t>
      </w:r>
      <w:r>
        <w:rPr/>
        <w:t>,  Gunay Karli</w:t>
      </w:r>
      <w:r>
        <w:rPr>
          <w:vertAlign w:val="superscript"/>
        </w:rPr>
        <w:t xml:space="preserve">3 </w:t>
      </w:r>
      <w:r>
        <w:rPr/>
        <w:t>,  Anis Cilic</w:t>
      </w:r>
      <w:r>
        <w:rPr>
          <w:vertAlign w:val="superscript"/>
        </w:rPr>
        <w:t>4</w:t>
      </w:r>
      <w:r>
        <w:rPr/>
        <w:t xml:space="preserve">,  Bahriye Aktas </w:t>
      </w:r>
      <w:r>
        <w:rPr>
          <w:vertAlign w:val="superscript"/>
        </w:rPr>
        <w:t>2</w:t>
      </w:r>
      <w:r>
        <w:rPr/>
        <w:t xml:space="preserve"> , Toralf Kirsten</w:t>
      </w:r>
      <w:r>
        <w:rPr>
          <w:vertAlign w:val="superscript"/>
        </w:rPr>
        <w:t>1</w:t>
      </w:r>
    </w:p>
    <w:p>
      <w:pPr>
        <w:pStyle w:val="MDPI16affiliation"/>
        <w:rPr/>
      </w:pPr>
      <w:r>
        <w:rPr>
          <w:vertAlign w:val="superscript"/>
        </w:rPr>
        <w:t>1</w:t>
      </w:r>
      <w:r>
        <w:rPr/>
        <w:tab/>
      </w:r>
      <w:bookmarkStart w:id="1" w:name="divtagdefaultwrapper"/>
      <w:bookmarkEnd w:id="1"/>
      <w:r>
        <w:rPr>
          <w:rFonts w:ascii="Palatino Linotype" w:hAnsi="Palatino Linotype"/>
          <w:b w:val="false"/>
          <w:bCs w:val="false"/>
          <w:color w:val="000000"/>
          <w:sz w:val="16"/>
          <w:szCs w:val="16"/>
        </w:rPr>
        <w:t xml:space="preserve">Medizininformatikzentrum - Abteilung Medical Data Science </w:t>
      </w:r>
      <w:r>
        <w:rPr>
          <w:rFonts w:ascii="Palatino Linotype" w:hAnsi="Palatino Linotype"/>
          <w:b w:val="false"/>
          <w:bCs w:val="false"/>
          <w:color w:val="000000"/>
          <w:sz w:val="16"/>
          <w:szCs w:val="16"/>
        </w:rPr>
        <w:t xml:space="preserve">Universität Leipzig, Medizinische Fakultät, </w:t>
      </w:r>
      <w:r>
        <w:rPr>
          <w:rFonts w:ascii="Palatino Linotype" w:hAnsi="Palatino Linotype"/>
          <w:b w:val="false"/>
          <w:bCs w:val="false"/>
          <w:color w:val="000000"/>
          <w:szCs w:val="16"/>
        </w:rPr>
        <w:t>Leipzig, Germany</w:t>
      </w:r>
    </w:p>
    <w:p>
      <w:pPr>
        <w:pStyle w:val="MDPI16affiliation"/>
        <w:rPr>
          <w:rFonts w:ascii="Palatino Linotype" w:hAnsi="Palatino Linotype"/>
          <w:b w:val="false"/>
          <w:bCs w:val="false"/>
          <w:color w:val="000000"/>
        </w:rPr>
      </w:pPr>
      <w:r>
        <w:rPr>
          <w:rFonts w:ascii="Palatino Linotype" w:hAnsi="Palatino Linotype"/>
          <w:b w:val="false"/>
          <w:bCs w:val="false"/>
          <w:color w:val="000000"/>
          <w:szCs w:val="16"/>
          <w:vertAlign w:val="superscript"/>
        </w:rPr>
        <w:t>2</w:t>
      </w:r>
      <w:r>
        <w:rPr>
          <w:rFonts w:ascii="Palatino Linotype" w:hAnsi="Palatino Linotype"/>
          <w:b w:val="false"/>
          <w:bCs w:val="false"/>
          <w:color w:val="000000"/>
          <w:szCs w:val="16"/>
        </w:rPr>
        <w:tab/>
      </w:r>
      <w:r>
        <w:rPr>
          <w:rFonts w:ascii="Palatino Linotype" w:hAnsi="Palatino Linotype"/>
          <w:b w:val="false"/>
          <w:bCs w:val="false"/>
          <w:color w:val="000000"/>
          <w:szCs w:val="16"/>
        </w:rPr>
        <w:t>Department of Gynecology, Medical Center, University of Leipzig, 04103 Leipzig, Germany</w:t>
      </w:r>
    </w:p>
    <w:p>
      <w:pPr>
        <w:pStyle w:val="MDPI16affiliation"/>
        <w:rPr>
          <w:rFonts w:ascii="Palatino Linotype" w:hAnsi="Palatino Linotype"/>
          <w:b w:val="false"/>
          <w:bCs w:val="false"/>
          <w:color w:val="000000"/>
        </w:rPr>
      </w:pPr>
      <w:r>
        <w:rPr>
          <w:rFonts w:ascii="Palatino Linotype" w:hAnsi="Palatino Linotype"/>
          <w:b w:val="false"/>
          <w:bCs w:val="false"/>
          <w:color w:val="000000"/>
          <w:szCs w:val="16"/>
          <w:vertAlign w:val="superscript"/>
        </w:rPr>
        <w:t>3</w:t>
      </w:r>
    </w:p>
    <w:p>
      <w:pPr>
        <w:pStyle w:val="MDPI16affiliation"/>
        <w:rPr/>
      </w:pPr>
      <w:r>
        <w:rPr>
          <w:rFonts w:ascii="Palatino Linotype" w:hAnsi="Palatino Linotype"/>
          <w:b w:val="false"/>
          <w:bCs w:val="false"/>
          <w:color w:val="000000"/>
          <w:szCs w:val="16"/>
          <w:vertAlign w:val="superscript"/>
        </w:rPr>
        <w:t xml:space="preserve">4       </w:t>
      </w:r>
      <w:r>
        <w:rPr>
          <w:rFonts w:ascii="Palatino Linotype" w:hAnsi="Palatino Linotype"/>
          <w:b w:val="false"/>
          <w:bCs w:val="false"/>
          <w:caps w:val="false"/>
          <w:smallCaps w:val="false"/>
          <w:color w:val="000000"/>
          <w:position w:val="0"/>
          <w:sz w:val="16"/>
          <w:sz w:val="16"/>
          <w:szCs w:val="16"/>
          <w:vertAlign w:val="baseline"/>
        </w:rPr>
        <w:t>E</w:t>
      </w:r>
      <w:r>
        <w:rPr>
          <w:rFonts w:ascii="Palatino Linotype" w:hAnsi="Palatino Linotype"/>
          <w:b w:val="false"/>
          <w:bCs w:val="false"/>
          <w:caps w:val="false"/>
          <w:smallCaps w:val="false"/>
          <w:color w:val="000000"/>
          <w:position w:val="0"/>
          <w:sz w:val="16"/>
          <w:sz w:val="16"/>
          <w:szCs w:val="16"/>
          <w:vertAlign w:val="baseline"/>
        </w:rPr>
        <w:t>xcellence C</w:t>
      </w:r>
      <w:r>
        <w:rPr>
          <w:rFonts w:ascii="Palatino Linotype" w:hAnsi="Palatino Linotype"/>
          <w:b w:val="false"/>
          <w:bCs w:val="false"/>
          <w:caps w:val="false"/>
          <w:smallCaps w:val="false"/>
          <w:color w:val="000000"/>
          <w:position w:val="0"/>
          <w:sz w:val="16"/>
          <w:sz w:val="16"/>
          <w:szCs w:val="16"/>
          <w:vertAlign w:val="baseline"/>
        </w:rPr>
        <w:t xml:space="preserve">luster </w:t>
      </w:r>
      <w:r>
        <w:rPr>
          <w:rFonts w:ascii="Palatino Linotype" w:hAnsi="Palatino Linotype"/>
          <w:b w:val="false"/>
          <w:bCs w:val="false"/>
          <w:caps w:val="false"/>
          <w:smallCaps w:val="false"/>
          <w:color w:val="000000"/>
          <w:position w:val="0"/>
          <w:sz w:val="16"/>
          <w:sz w:val="16"/>
          <w:szCs w:val="16"/>
          <w:vertAlign w:val="baseline"/>
        </w:rPr>
        <w:t>C</w:t>
      </w:r>
      <w:r>
        <w:rPr>
          <w:rFonts w:ascii="Palatino Linotype" w:hAnsi="Palatino Linotype"/>
          <w:b w:val="false"/>
          <w:bCs w:val="false"/>
          <w:caps w:val="false"/>
          <w:smallCaps w:val="false"/>
          <w:color w:val="000000"/>
          <w:position w:val="0"/>
          <w:sz w:val="16"/>
          <w:sz w:val="16"/>
          <w:szCs w:val="16"/>
          <w:vertAlign w:val="baseline"/>
        </w:rPr>
        <w:t xml:space="preserve">ardiopulmonary </w:t>
      </w:r>
      <w:r>
        <w:rPr>
          <w:rFonts w:ascii="Palatino Linotype" w:hAnsi="Palatino Linotype"/>
          <w:b w:val="false"/>
          <w:bCs w:val="false"/>
          <w:caps w:val="false"/>
          <w:smallCaps w:val="false"/>
          <w:color w:val="000000"/>
          <w:position w:val="0"/>
          <w:sz w:val="16"/>
          <w:sz w:val="16"/>
          <w:szCs w:val="16"/>
          <w:vertAlign w:val="baseline"/>
        </w:rPr>
        <w:t>S</w:t>
      </w:r>
      <w:r>
        <w:rPr>
          <w:rFonts w:ascii="Palatino Linotype" w:hAnsi="Palatino Linotype"/>
          <w:b w:val="false"/>
          <w:bCs w:val="false"/>
          <w:caps w:val="false"/>
          <w:smallCaps w:val="false"/>
          <w:color w:val="000000"/>
          <w:position w:val="0"/>
          <w:sz w:val="16"/>
          <w:sz w:val="16"/>
          <w:szCs w:val="16"/>
          <w:vertAlign w:val="baseline"/>
        </w:rPr>
        <w:t xml:space="preserve">ystem, </w:t>
      </w:r>
      <w:r>
        <w:rPr>
          <w:rFonts w:ascii="Palatino Linotype" w:hAnsi="Palatino Linotype"/>
          <w:b w:val="false"/>
          <w:bCs w:val="false"/>
          <w:caps w:val="false"/>
          <w:smallCaps w:val="false"/>
          <w:color w:val="000000"/>
          <w:position w:val="0"/>
          <w:sz w:val="16"/>
          <w:sz w:val="16"/>
          <w:szCs w:val="16"/>
          <w:vertAlign w:val="baseline"/>
        </w:rPr>
        <w:t>U</w:t>
      </w:r>
      <w:r>
        <w:rPr>
          <w:rFonts w:ascii="Palatino Linotype" w:hAnsi="Palatino Linotype"/>
          <w:b w:val="false"/>
          <w:bCs w:val="false"/>
          <w:caps w:val="false"/>
          <w:smallCaps w:val="false"/>
          <w:color w:val="000000"/>
          <w:position w:val="0"/>
          <w:sz w:val="16"/>
          <w:sz w:val="16"/>
          <w:szCs w:val="16"/>
          <w:vertAlign w:val="baseline"/>
        </w:rPr>
        <w:t xml:space="preserve">niversity of </w:t>
      </w:r>
      <w:r>
        <w:rPr>
          <w:rFonts w:ascii="Palatino Linotype" w:hAnsi="Palatino Linotype"/>
          <w:b w:val="false"/>
          <w:bCs w:val="false"/>
          <w:caps w:val="false"/>
          <w:smallCaps w:val="false"/>
          <w:color w:val="000000"/>
          <w:position w:val="0"/>
          <w:sz w:val="16"/>
          <w:sz w:val="16"/>
          <w:szCs w:val="16"/>
          <w:vertAlign w:val="baseline"/>
        </w:rPr>
        <w:t>G</w:t>
      </w:r>
      <w:r>
        <w:rPr>
          <w:rFonts w:ascii="Palatino Linotype" w:hAnsi="Palatino Linotype"/>
          <w:b w:val="false"/>
          <w:bCs w:val="false"/>
          <w:caps w:val="false"/>
          <w:smallCaps w:val="false"/>
          <w:color w:val="000000"/>
          <w:position w:val="0"/>
          <w:sz w:val="16"/>
          <w:sz w:val="16"/>
          <w:szCs w:val="16"/>
          <w:vertAlign w:val="baseline"/>
        </w:rPr>
        <w:t xml:space="preserve">iessen and </w:t>
      </w:r>
      <w:r>
        <w:rPr>
          <w:rFonts w:ascii="Palatino Linotype" w:hAnsi="Palatino Linotype"/>
          <w:b w:val="false"/>
          <w:bCs w:val="false"/>
          <w:caps w:val="false"/>
          <w:smallCaps w:val="false"/>
          <w:color w:val="000000"/>
          <w:position w:val="0"/>
          <w:sz w:val="16"/>
          <w:sz w:val="16"/>
          <w:szCs w:val="16"/>
          <w:vertAlign w:val="baseline"/>
        </w:rPr>
        <w:t>M</w:t>
      </w:r>
      <w:r>
        <w:rPr>
          <w:rFonts w:ascii="Palatino Linotype" w:hAnsi="Palatino Linotype"/>
          <w:b w:val="false"/>
          <w:bCs w:val="false"/>
          <w:caps w:val="false"/>
          <w:smallCaps w:val="false"/>
          <w:color w:val="000000"/>
          <w:position w:val="0"/>
          <w:sz w:val="16"/>
          <w:sz w:val="16"/>
          <w:szCs w:val="16"/>
          <w:vertAlign w:val="baseline"/>
        </w:rPr>
        <w:t xml:space="preserve">arburg </w:t>
      </w:r>
      <w:r>
        <w:rPr>
          <w:rFonts w:ascii="Palatino Linotype" w:hAnsi="Palatino Linotype"/>
          <w:b w:val="false"/>
          <w:bCs w:val="false"/>
          <w:caps w:val="false"/>
          <w:smallCaps w:val="false"/>
          <w:color w:val="000000"/>
          <w:position w:val="0"/>
          <w:sz w:val="16"/>
          <w:sz w:val="16"/>
          <w:szCs w:val="16"/>
          <w:vertAlign w:val="baseline"/>
        </w:rPr>
        <w:t>L</w:t>
      </w:r>
      <w:r>
        <w:rPr>
          <w:rFonts w:ascii="Palatino Linotype" w:hAnsi="Palatino Linotype"/>
          <w:b w:val="false"/>
          <w:bCs w:val="false"/>
          <w:caps w:val="false"/>
          <w:smallCaps w:val="false"/>
          <w:color w:val="000000"/>
          <w:position w:val="0"/>
          <w:sz w:val="16"/>
          <w:sz w:val="16"/>
          <w:szCs w:val="16"/>
          <w:vertAlign w:val="baseline"/>
        </w:rPr>
        <w:t xml:space="preserve">ung </w:t>
      </w:r>
      <w:r>
        <w:rPr>
          <w:rFonts w:ascii="Palatino Linotype" w:hAnsi="Palatino Linotype"/>
          <w:b w:val="false"/>
          <w:bCs w:val="false"/>
          <w:caps w:val="false"/>
          <w:smallCaps w:val="false"/>
          <w:color w:val="000000"/>
          <w:position w:val="0"/>
          <w:sz w:val="16"/>
          <w:sz w:val="16"/>
          <w:szCs w:val="16"/>
          <w:vertAlign w:val="baseline"/>
        </w:rPr>
        <w:t>C</w:t>
      </w:r>
      <w:r>
        <w:rPr>
          <w:rFonts w:ascii="Palatino Linotype" w:hAnsi="Palatino Linotype"/>
          <w:b w:val="false"/>
          <w:bCs w:val="false"/>
          <w:caps w:val="false"/>
          <w:smallCaps w:val="false"/>
          <w:color w:val="000000"/>
          <w:position w:val="0"/>
          <w:sz w:val="16"/>
          <w:sz w:val="16"/>
          <w:szCs w:val="16"/>
          <w:vertAlign w:val="baseline"/>
        </w:rPr>
        <w:t xml:space="preserve">enter (ugmlc), </w:t>
      </w:r>
      <w:r>
        <w:rPr>
          <w:rFonts w:ascii="Palatino Linotype" w:hAnsi="Palatino Linotype"/>
          <w:b w:val="false"/>
          <w:bCs w:val="false"/>
          <w:caps w:val="false"/>
          <w:smallCaps w:val="false"/>
          <w:color w:val="000000"/>
          <w:position w:val="0"/>
          <w:sz w:val="16"/>
          <w:sz w:val="16"/>
          <w:szCs w:val="16"/>
          <w:vertAlign w:val="baseline"/>
        </w:rPr>
        <w:t>J</w:t>
      </w:r>
      <w:r>
        <w:rPr>
          <w:rFonts w:ascii="Palatino Linotype" w:hAnsi="Palatino Linotype"/>
          <w:b w:val="false"/>
          <w:bCs w:val="false"/>
          <w:caps w:val="false"/>
          <w:smallCaps w:val="false"/>
          <w:color w:val="000000"/>
          <w:position w:val="0"/>
          <w:sz w:val="16"/>
          <w:sz w:val="16"/>
          <w:szCs w:val="16"/>
          <w:vertAlign w:val="baseline"/>
        </w:rPr>
        <w:t>ustus-</w:t>
      </w:r>
      <w:r>
        <w:rPr>
          <w:rFonts w:ascii="Palatino Linotype" w:hAnsi="Palatino Linotype"/>
          <w:b w:val="false"/>
          <w:bCs w:val="false"/>
          <w:caps w:val="false"/>
          <w:smallCaps w:val="false"/>
          <w:color w:val="000000"/>
          <w:position w:val="0"/>
          <w:sz w:val="16"/>
          <w:sz w:val="16"/>
          <w:szCs w:val="16"/>
          <w:vertAlign w:val="baseline"/>
        </w:rPr>
        <w:t>L</w:t>
      </w:r>
      <w:r>
        <w:rPr>
          <w:rFonts w:ascii="Palatino Linotype" w:hAnsi="Palatino Linotype"/>
          <w:b w:val="false"/>
          <w:bCs w:val="false"/>
          <w:caps w:val="false"/>
          <w:smallCaps w:val="false"/>
          <w:color w:val="000000"/>
          <w:position w:val="0"/>
          <w:sz w:val="16"/>
          <w:sz w:val="16"/>
          <w:szCs w:val="16"/>
          <w:vertAlign w:val="baseline"/>
        </w:rPr>
        <w:t>iebig-</w:t>
      </w:r>
      <w:r>
        <w:rPr>
          <w:rFonts w:ascii="Palatino Linotype" w:hAnsi="Palatino Linotype"/>
          <w:b w:val="false"/>
          <w:bCs w:val="false"/>
          <w:caps w:val="false"/>
          <w:smallCaps w:val="false"/>
          <w:color w:val="000000"/>
          <w:position w:val="0"/>
          <w:sz w:val="16"/>
          <w:sz w:val="16"/>
          <w:szCs w:val="16"/>
          <w:vertAlign w:val="baseline"/>
        </w:rPr>
        <w:t>U</w:t>
      </w:r>
      <w:r>
        <w:rPr>
          <w:rFonts w:ascii="Palatino Linotype" w:hAnsi="Palatino Linotype"/>
          <w:b w:val="false"/>
          <w:bCs w:val="false"/>
          <w:caps w:val="false"/>
          <w:smallCaps w:val="false"/>
          <w:color w:val="000000"/>
          <w:position w:val="0"/>
          <w:sz w:val="16"/>
          <w:sz w:val="16"/>
          <w:szCs w:val="16"/>
          <w:vertAlign w:val="baseline"/>
        </w:rPr>
        <w:t xml:space="preserve">niversity, 35392 </w:t>
      </w:r>
      <w:r>
        <w:rPr>
          <w:rFonts w:ascii="Palatino Linotype" w:hAnsi="Palatino Linotype"/>
          <w:b w:val="false"/>
          <w:bCs w:val="false"/>
          <w:caps w:val="false"/>
          <w:smallCaps w:val="false"/>
          <w:color w:val="000000"/>
          <w:position w:val="0"/>
          <w:sz w:val="16"/>
          <w:sz w:val="16"/>
          <w:szCs w:val="16"/>
          <w:vertAlign w:val="baseline"/>
        </w:rPr>
        <w:t>G</w:t>
      </w:r>
      <w:r>
        <w:rPr>
          <w:rFonts w:ascii="Palatino Linotype" w:hAnsi="Palatino Linotype"/>
          <w:b w:val="false"/>
          <w:bCs w:val="false"/>
          <w:caps w:val="false"/>
          <w:smallCaps w:val="false"/>
          <w:color w:val="000000"/>
          <w:position w:val="0"/>
          <w:sz w:val="16"/>
          <w:sz w:val="16"/>
          <w:szCs w:val="16"/>
          <w:vertAlign w:val="baseline"/>
        </w:rPr>
        <w:t xml:space="preserve">iessen, </w:t>
      </w:r>
      <w:r>
        <w:rPr>
          <w:rFonts w:ascii="Palatino Linotype" w:hAnsi="Palatino Linotype"/>
          <w:b w:val="false"/>
          <w:bCs w:val="false"/>
          <w:caps w:val="false"/>
          <w:smallCaps w:val="false"/>
          <w:color w:val="000000"/>
          <w:position w:val="0"/>
          <w:sz w:val="16"/>
          <w:sz w:val="16"/>
          <w:szCs w:val="16"/>
          <w:vertAlign w:val="baseline"/>
        </w:rPr>
        <w:t>G</w:t>
      </w:r>
      <w:r>
        <w:rPr>
          <w:rFonts w:ascii="Palatino Linotype" w:hAnsi="Palatino Linotype"/>
          <w:b w:val="false"/>
          <w:bCs w:val="false"/>
          <w:caps w:val="false"/>
          <w:smallCaps w:val="false"/>
          <w:color w:val="000000"/>
          <w:position w:val="0"/>
          <w:sz w:val="16"/>
          <w:sz w:val="16"/>
          <w:szCs w:val="16"/>
          <w:vertAlign w:val="baseline"/>
        </w:rPr>
        <w:t>erma</w:t>
      </w:r>
      <w:r>
        <w:rPr>
          <w:rFonts w:ascii="Palatino Linotype" w:hAnsi="Palatino Linotype"/>
          <w:b w:val="false"/>
          <w:bCs w:val="false"/>
          <w:caps w:val="false"/>
          <w:smallCaps w:val="false"/>
          <w:color w:val="000000"/>
          <w:position w:val="0"/>
          <w:sz w:val="16"/>
          <w:sz w:val="16"/>
          <w:szCs w:val="16"/>
          <w:vertAlign w:val="baseline"/>
        </w:rPr>
        <w:t>ny</w:t>
      </w:r>
    </w:p>
    <w:p>
      <w:pPr>
        <w:pStyle w:val="MDPI16affiliation"/>
        <w:rPr/>
      </w:pPr>
      <w:r>
        <w:rPr>
          <w:rFonts w:ascii="Palatino Linotype" w:hAnsi="Palatino Linotype"/>
          <w:b w:val="false"/>
          <w:bCs w:val="false"/>
          <w:color w:val="000000"/>
          <w:szCs w:val="16"/>
        </w:rPr>
        <w:t>*</w:t>
        <w:tab/>
        <w:t>Correspondence: Senol.Dogan@medizin.uni-leipzig.de; Tel.: +4917668709821</w:t>
      </w:r>
    </w:p>
    <w:p>
      <w:pPr>
        <w:pStyle w:val="Normal"/>
        <w:rPr>
          <w:rFonts w:ascii="Palatino Linotype" w:hAnsi="Palatino Linotype"/>
          <w:b w:val="false"/>
          <w:bCs w:val="false"/>
          <w:color w:val="000000"/>
        </w:rPr>
      </w:pPr>
      <w:r>
        <w:rPr>
          <w:rFonts w:ascii="Palatino Linotype" w:hAnsi="Palatino Linotype"/>
          <w:b w:val="false"/>
          <w:bCs w:val="false"/>
          <w:color w:val="000000"/>
        </w:rPr>
      </w:r>
    </w:p>
    <w:p>
      <w:pPr>
        <w:pStyle w:val="Normal"/>
        <w:ind w:firstLine="708" w:left="2608"/>
        <w:rPr>
          <w:rFonts w:ascii="Palatino" w:hAnsi="Palatino"/>
          <w:sz w:val="18"/>
          <w:szCs w:val="18"/>
        </w:rPr>
      </w:pPr>
      <w:r>
        <w:rPr>
          <w:rFonts w:cs="Segoe UI" w:ascii="Palatino" w:hAnsi="Palatino"/>
          <w:b/>
          <w:bCs/>
          <w:color w:val="0D0D0D"/>
          <w:sz w:val="18"/>
          <w:szCs w:val="18"/>
          <w:shd w:fill="FFFFFF" w:val="clear"/>
        </w:rPr>
        <w:t>Abstract</w:t>
      </w:r>
      <w:r>
        <w:rPr>
          <w:rFonts w:cs="Segoe UI" w:ascii="Palatino" w:hAnsi="Palatino"/>
          <w:color w:val="0D0D0D"/>
          <w:sz w:val="18"/>
          <w:szCs w:val="18"/>
          <w:shd w:fill="FFFFFF" w:val="clear"/>
        </w:rPr>
        <w:t xml:space="preserve">: </w:t>
      </w:r>
      <w:r>
        <w:rPr>
          <w:rFonts w:cs="Segoe UI" w:ascii="Palatino" w:hAnsi="Palatino"/>
          <w:b w:val="false"/>
          <w:i w:val="false"/>
          <w:caps w:val="false"/>
          <w:smallCaps w:val="false"/>
          <w:strike w:val="false"/>
          <w:dstrike w:val="false"/>
          <w:color w:val="0D0D0D"/>
          <w:sz w:val="18"/>
          <w:szCs w:val="18"/>
          <w:u w:val="none"/>
          <w:effect w:val="none"/>
          <w:shd w:fill="FFFFFF" w:val="clear"/>
        </w:rPr>
        <w:t>Even within a single oncological subtype, cancer exhibits significant molecular heterogeneity, presenting with varied mutational profiles</w:t>
      </w:r>
      <w:r>
        <w:rPr>
          <w:rFonts w:cs="Segoe UI"/>
          <w:b w:val="false"/>
          <w:i w:val="false"/>
          <w:caps w:val="false"/>
          <w:smallCaps w:val="false"/>
          <w:strike w:val="false"/>
          <w:dstrike w:val="false"/>
          <w:color w:val="000000"/>
          <w:sz w:val="16"/>
          <w:szCs w:val="16"/>
          <w:u w:val="none"/>
          <w:effect w:val="none"/>
          <w:shd w:fill="auto" w:val="clear"/>
        </w:rPr>
        <w:t>.</w:t>
      </w:r>
      <w:r>
        <w:rPr>
          <w:rFonts w:cs="Segoe UI"/>
          <w:caps w:val="false"/>
          <w:smallCaps w:val="false"/>
          <w:strike w:val="false"/>
          <w:dstrike w:val="false"/>
          <w:color w:val="000000"/>
          <w:sz w:val="16"/>
          <w:szCs w:val="16"/>
          <w:u w:val="none"/>
          <w:effect w:val="none"/>
          <w:shd w:fill="auto" w:val="clear"/>
        </w:rPr>
        <w:t xml:space="preserve"> </w:t>
      </w:r>
      <w:r>
        <w:rPr>
          <w:rFonts w:cs="Segoe UI"/>
          <w:b w:val="false"/>
          <w:i w:val="false"/>
          <w:caps w:val="false"/>
          <w:smallCaps w:val="false"/>
          <w:strike w:val="false"/>
          <w:dstrike w:val="false"/>
          <w:color w:val="000000"/>
          <w:sz w:val="16"/>
          <w:szCs w:val="16"/>
          <w:u w:val="none"/>
          <w:effect w:val="none"/>
          <w:shd w:fill="auto" w:val="clear"/>
        </w:rPr>
        <w:t>This inherent variability critically influences differential therapeutic responses among patients. Consequently, the development of efficacious personalized therapies necessitates a comprehensive understanding of individual patient mutation profiles. Mutation profiling, derived from solid tumor biopsies or circulating cell-free DNA (cfDNA) samples, provides detailed data on mutations in selected target genes.</w:t>
      </w:r>
      <w:r>
        <w:rPr>
          <w:rFonts w:cs="Segoe UI"/>
          <w:caps w:val="false"/>
          <w:smallCaps w:val="false"/>
          <w:strike w:val="false"/>
          <w:dstrike w:val="false"/>
          <w:color w:val="000000"/>
          <w:sz w:val="16"/>
          <w:szCs w:val="16"/>
          <w:u w:val="none"/>
          <w:effect w:val="none"/>
          <w:shd w:fill="auto" w:val="clear"/>
        </w:rPr>
        <w:t xml:space="preserve"> </w:t>
      </w:r>
      <w:r>
        <w:rPr>
          <w:rFonts w:cs="Segoe UI"/>
          <w:b w:val="false"/>
          <w:i w:val="false"/>
          <w:caps w:val="false"/>
          <w:smallCaps w:val="false"/>
          <w:strike w:val="false"/>
          <w:dstrike w:val="false"/>
          <w:color w:val="000000"/>
          <w:sz w:val="16"/>
          <w:szCs w:val="16"/>
          <w:u w:val="none"/>
          <w:effect w:val="none"/>
          <w:shd w:fill="auto" w:val="clear"/>
        </w:rPr>
        <w:t>However, the complexity of raw data and the multitude of associated algorithmic scores present significant challenges for clinical application.</w:t>
      </w:r>
      <w:r>
        <w:rPr>
          <w:rFonts w:cs="Segoe UI"/>
          <w:caps w:val="false"/>
          <w:smallCaps w:val="false"/>
          <w:strike w:val="false"/>
          <w:dstrike w:val="false"/>
          <w:color w:val="000000"/>
          <w:sz w:val="16"/>
          <w:szCs w:val="16"/>
          <w:u w:val="none"/>
          <w:effect w:val="none"/>
          <w:shd w:fill="auto" w:val="clear"/>
        </w:rPr>
        <w:t xml:space="preserve"> </w:t>
      </w:r>
      <w:r>
        <w:rPr>
          <w:rFonts w:cs="Segoe UI"/>
          <w:b w:val="false"/>
          <w:i w:val="false"/>
          <w:caps w:val="false"/>
          <w:smallCaps w:val="false"/>
          <w:strike w:val="false"/>
          <w:dstrike w:val="false"/>
          <w:color w:val="000000"/>
          <w:sz w:val="16"/>
          <w:szCs w:val="16"/>
          <w:u w:val="none"/>
          <w:effect w:val="none"/>
          <w:shd w:fill="auto" w:val="clear"/>
        </w:rPr>
        <w:t>Overcoming these challenges and simplifying the interpretation of mutation algorithm scores is vital for medical professionals to make informed treatment decisions.</w:t>
      </w:r>
      <w:r>
        <w:rPr>
          <w:rFonts w:cs="Segoe UI"/>
          <w:caps w:val="false"/>
          <w:smallCaps w:val="false"/>
          <w:strike w:val="false"/>
          <w:dstrike w:val="false"/>
          <w:color w:val="000000"/>
          <w:sz w:val="16"/>
          <w:szCs w:val="16"/>
          <w:u w:val="none"/>
          <w:effect w:val="none"/>
          <w:shd w:fill="auto" w:val="clear"/>
        </w:rPr>
        <w:t xml:space="preserve"> </w:t>
      </w:r>
      <w:r>
        <w:rPr>
          <w:rFonts w:cs="Segoe UI"/>
          <w:b w:val="false"/>
          <w:i w:val="false"/>
          <w:caps w:val="false"/>
          <w:smallCaps w:val="false"/>
          <w:strike w:val="false"/>
          <w:dstrike w:val="false"/>
          <w:color w:val="000000"/>
          <w:sz w:val="16"/>
          <w:szCs w:val="16"/>
          <w:u w:val="none"/>
          <w:effect w:val="none"/>
          <w:shd w:fill="auto" w:val="clear"/>
        </w:rPr>
        <w:t>This review aims to demystify the intricacies of mutation algorithm scores, thereby assisting medical practitioners in their treatment decision-making processes</w:t>
      </w:r>
      <w:r>
        <w:rPr>
          <w:rFonts w:cs="Segoe UI" w:ascii="Google Sans Text;sans-serif" w:hAnsi="Google Sans Text;sans-serif"/>
          <w:b w:val="false"/>
          <w:i w:val="false"/>
          <w:caps w:val="false"/>
          <w:smallCaps w:val="false"/>
          <w:strike w:val="false"/>
          <w:dstrike w:val="false"/>
          <w:color w:val="000000"/>
          <w:sz w:val="16"/>
          <w:szCs w:val="16"/>
          <w:u w:val="none"/>
          <w:effect w:val="none"/>
          <w:shd w:fill="auto" w:val="clear"/>
        </w:rPr>
        <w:t>.</w:t>
      </w:r>
    </w:p>
    <w:p>
      <w:pPr>
        <w:pStyle w:val="MDPI17abstract"/>
        <w:rPr>
          <w:rFonts w:ascii="Palatino" w:hAnsi="Palatino"/>
          <w:sz w:val="18"/>
          <w:szCs w:val="18"/>
        </w:rPr>
      </w:pPr>
      <w:r>
        <w:rPr>
          <w:rFonts w:ascii="Palatino" w:hAnsi="Palatino"/>
          <w:b/>
          <w:sz w:val="18"/>
          <w:szCs w:val="18"/>
        </w:rPr>
        <w:t xml:space="preserve">Keywords: </w:t>
      </w:r>
      <w:r>
        <w:rPr>
          <w:rFonts w:ascii="Palatino" w:hAnsi="Palatino"/>
          <w:sz w:val="18"/>
          <w:szCs w:val="18"/>
        </w:rPr>
        <w:t>Mutation algorithm; Algorithm scores; Targeted therapies, Mutation types, Driver mutation, Passenger mutation</w:t>
      </w:r>
      <w:r>
        <w:rPr>
          <w:rFonts w:ascii="Palatino" w:hAnsi="Palatino"/>
          <w:b/>
          <w:bCs/>
          <w:sz w:val="18"/>
          <w:szCs w:val="18"/>
        </w:rPr>
        <w:t>.</w:t>
      </w:r>
      <w:r>
        <w:rPr>
          <w:rFonts w:ascii="Palatino" w:hAnsi="Palatino"/>
          <w:sz w:val="18"/>
          <w:szCs w:val="18"/>
        </w:rPr>
        <w:t xml:space="preserve"> </w:t>
      </w:r>
    </w:p>
    <w:p>
      <w:pPr>
        <w:pStyle w:val="MDPI19line"/>
        <w:rPr/>
      </w:pPr>
      <w:r>
        <w:rPr/>
      </w:r>
    </w:p>
    <w:p>
      <w:pPr>
        <w:pStyle w:val="MDPI21heading1"/>
        <w:ind w:hanging="0" w:left="2608"/>
        <w:rPr>
          <w:sz w:val="24"/>
          <w:szCs w:val="24"/>
        </w:rPr>
      </w:pPr>
      <w:r>
        <w:rPr>
          <w:rFonts w:ascii="Palatino" w:hAnsi="Palatino"/>
          <w:sz w:val="24"/>
          <w:szCs w:val="24"/>
          <w:lang w:eastAsia="zh-CN"/>
        </w:rPr>
        <w:t>1. Introduction</w:t>
      </w:r>
    </w:p>
    <w:p>
      <w:pPr>
        <w:pStyle w:val="MDPI21heading1"/>
        <w:ind w:hanging="0" w:left="2608"/>
        <w:rPr>
          <w:sz w:val="24"/>
          <w:szCs w:val="24"/>
        </w:rPr>
      </w:pPr>
      <w:r>
        <w:rPr>
          <w:rFonts w:ascii="Palatino" w:hAnsi="Palatino"/>
          <w:b/>
          <w:bCs/>
          <w:color w:val="000000"/>
          <w:sz w:val="24"/>
          <w:szCs w:val="24"/>
        </w:rPr>
        <w:t>A quick look at mutation</w:t>
      </w:r>
    </w:p>
    <w:p>
      <w:pPr>
        <w:pStyle w:val="MDPI21heading1"/>
        <w:ind w:hanging="0" w:left="2608"/>
        <w:jc w:val="both"/>
        <w:rPr/>
      </w:pPr>
      <w:r>
        <w:rPr>
          <w:rFonts w:ascii="Palatino" w:hAnsi="Palatino"/>
          <w:b w:val="false"/>
          <w:bCs w:val="false"/>
          <w:color w:val="000000"/>
          <w:sz w:val="24"/>
          <w:szCs w:val="24"/>
          <w:lang w:val="en-US"/>
        </w:rPr>
        <w:t xml:space="preserve">Mutation, a spontaneous nucleotide aberration occurring in DNA, remains a subject of intrigue due to the absence of a precise biophysical explanation. While common mutagenic exposures or defects in DNA repair mechanisms can instigate mutations, the full spectrum of mutation diversity eludes complete comprehension. Understanding the nucleotides, amino acids, proteins, genes, and their respective mutation locations offers </w:t>
        <w:tab/>
        <w:t xml:space="preserve">critical insights into mutation types, mechanisms, and impacts. However, it is essential to recognize that each cancer patient harbors a unique mutation profile. Certain genomic sequences, such as TpC/GpA, characterized by the transversion of C:G &gt; G:C polymorphisms in protein kinases, exhibit high prevalence across breast, lung, and ovarian cancers </w:t>
        <w:tab/>
        <w:t>(Greenman et al., 2007). Notably, mutations occurring in purine and pyrimidine bases often exert detrimental effects on proteins depending on their positions within the amino acid sequence. Amino acid substitutions resulting from nucleotide alterations at codon positions 1, 2, or 3 yield distinct outcomes, with mutations at the first nucleotide typically encoding different amino acids, while those at nucleotides 2 and 3 often retain the same amino acid type. Single point mutations, contingent upon their genomic locales, may induce conformational changes in neighboring residues and codons, thereby altering the bending of the main chain and the three-dimensional conformation of proteins (Anishetty, Anishetty, and Pennathur, 2006). Mutations, diverse in their effects on proteins, are categorized based on their impacts. Mutations that preserve similar physiochemical properties are deemed conservative, while those leading to radically different amino acids are termed radical, with semi-conservative mutations falling in between (Graur, 2003). The repercussions of mutations on protein structure, dynamics, and energy landscape, as well as their propensity to cause diseases, are intricately linked to changes in folding and binding free energies (Petukh, Kucukkal, and Alexov, 2015; Kucukkal et al., 2015). Understanding these intricate relationships is crucial for unraveling the complex interplay between mutations and disease manifestation.</w:t>
      </w:r>
    </w:p>
    <w:p>
      <w:pPr>
        <w:pStyle w:val="NormalWeb"/>
        <w:jc w:val="both"/>
        <w:rPr>
          <w:sz w:val="24"/>
          <w:szCs w:val="24"/>
        </w:rPr>
      </w:pPr>
      <w:r>
        <w:rPr>
          <w:sz w:val="24"/>
          <w:szCs w:val="24"/>
          <w:lang w:val="en-US"/>
        </w:rPr>
        <w:tab/>
        <w:tab/>
        <w:tab/>
        <w:tab/>
        <w:tab/>
      </w:r>
      <w:r>
        <w:rPr>
          <w:sz w:val="24"/>
          <w:szCs w:val="24"/>
          <w:lang w:val="en-US" w:eastAsia="zh-CN" w:bidi="hi-IN"/>
        </w:rPr>
        <w:t>Types of Mutation</w:t>
      </w:r>
    </w:p>
    <w:p>
      <w:pPr>
        <w:pStyle w:val="NormalWeb"/>
        <w:jc w:val="both"/>
        <w:rPr>
          <w:lang w:val="en-US" w:eastAsia="zh-CN" w:bidi="hi-IN"/>
        </w:rPr>
      </w:pPr>
      <w:r>
        <w:rPr>
          <w:lang w:val="en-US" w:eastAsia="zh-CN" w:bidi="hi-IN"/>
        </w:rPr>
        <w:drawing>
          <wp:anchor behindDoc="0" distT="0" distB="0" distL="0" distR="0" simplePos="0" locked="0" layoutInCell="0" allowOverlap="1" relativeHeight="2">
            <wp:simplePos x="0" y="0"/>
            <wp:positionH relativeFrom="column">
              <wp:posOffset>1674495</wp:posOffset>
            </wp:positionH>
            <wp:positionV relativeFrom="paragraph">
              <wp:posOffset>30480</wp:posOffset>
            </wp:positionV>
            <wp:extent cx="2653030" cy="194437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rcRect l="-157" t="-214" r="-157" b="-214"/>
                    <a:stretch>
                      <a:fillRect/>
                    </a:stretch>
                  </pic:blipFill>
                  <pic:spPr bwMode="auto">
                    <a:xfrm>
                      <a:off x="0" y="0"/>
                      <a:ext cx="2653030" cy="1944370"/>
                    </a:xfrm>
                    <a:prstGeom prst="rect">
                      <a:avLst/>
                    </a:prstGeom>
                    <a:ln w="6350">
                      <a:solidFill>
                        <a:srgbClr val="000000"/>
                      </a:solidFill>
                    </a:ln>
                  </pic:spPr>
                </pic:pic>
              </a:graphicData>
            </a:graphic>
          </wp:anchor>
        </w:drawing>
      </w:r>
    </w:p>
    <w:p>
      <w:pPr>
        <w:pStyle w:val="NormalWeb"/>
        <w:jc w:val="both"/>
        <w:rPr>
          <w:lang w:val="en-US" w:eastAsia="zh-CN" w:bidi="hi-IN"/>
        </w:rPr>
      </w:pPr>
      <w:r>
        <w:rPr>
          <w:lang w:val="en-US" w:eastAsia="zh-CN" w:bidi="hi-IN"/>
        </w:rPr>
      </w:r>
    </w:p>
    <w:p>
      <w:pPr>
        <w:pStyle w:val="MDPI31text"/>
        <w:ind w:hanging="0" w:left="2608"/>
        <w:jc w:val="both"/>
        <w:rPr>
          <w:lang w:eastAsia="zh-CN" w:bidi="hi-IN"/>
        </w:rPr>
      </w:pPr>
      <w:r>
        <w:rPr>
          <w:lang w:eastAsia="zh-CN" w:bidi="hi-IN"/>
        </w:rPr>
      </w:r>
    </w:p>
    <w:p>
      <w:pPr>
        <w:pStyle w:val="MDPI31text"/>
        <w:ind w:hanging="0" w:left="2608"/>
        <w:jc w:val="both"/>
        <w:rPr>
          <w:lang w:eastAsia="zh-CN" w:bidi="hi-IN"/>
        </w:rPr>
      </w:pPr>
      <w:r>
        <w:rPr>
          <w:lang w:eastAsia="zh-CN" w:bidi="hi-IN"/>
        </w:rPr>
      </w:r>
    </w:p>
    <w:p>
      <w:pPr>
        <w:pStyle w:val="MDPI31text"/>
        <w:ind w:hanging="0" w:left="2608"/>
        <w:jc w:val="both"/>
        <w:rPr>
          <w:lang w:eastAsia="zh-CN" w:bidi="hi-IN"/>
        </w:rPr>
      </w:pPr>
      <w:r>
        <w:rPr>
          <w:lang w:eastAsia="zh-CN" w:bidi="hi-IN"/>
        </w:rPr>
      </w:r>
    </w:p>
    <w:p>
      <w:pPr>
        <w:pStyle w:val="MDPI31text"/>
        <w:ind w:hanging="0" w:left="2608"/>
        <w:jc w:val="both"/>
        <w:rPr>
          <w:lang w:eastAsia="zh-CN" w:bidi="hi-IN"/>
        </w:rPr>
      </w:pPr>
      <w:r>
        <w:rPr>
          <w:lang w:eastAsia="zh-CN" w:bidi="hi-IN"/>
        </w:rPr>
      </w:r>
    </w:p>
    <w:p>
      <w:pPr>
        <w:pStyle w:val="MDPI31text"/>
        <w:ind w:hanging="0" w:left="2608"/>
        <w:jc w:val="both"/>
        <w:rPr>
          <w:lang w:eastAsia="zh-CN" w:bidi="hi-IN"/>
        </w:rPr>
      </w:pPr>
      <w:r>
        <w:rPr>
          <w:lang w:eastAsia="zh-CN" w:bidi="hi-IN"/>
        </w:rPr>
      </w:r>
    </w:p>
    <w:p>
      <w:pPr>
        <w:pStyle w:val="MDPI31text"/>
        <w:ind w:hanging="0" w:left="2608"/>
        <w:jc w:val="both"/>
        <w:rPr>
          <w:lang w:eastAsia="zh-CN" w:bidi="hi-IN"/>
        </w:rPr>
      </w:pPr>
      <w:r>
        <w:rPr>
          <w:lang w:eastAsia="zh-CN" w:bidi="hi-IN"/>
        </w:rPr>
      </w:r>
    </w:p>
    <w:p>
      <w:pPr>
        <w:pStyle w:val="MDPI31text"/>
        <w:ind w:hanging="0" w:left="2608"/>
        <w:jc w:val="both"/>
        <w:rPr>
          <w:lang w:eastAsia="zh-CN" w:bidi="hi-IN"/>
        </w:rPr>
      </w:pPr>
      <w:r>
        <w:rPr>
          <w:lang w:eastAsia="zh-CN" w:bidi="hi-IN"/>
        </w:rPr>
      </w:r>
    </w:p>
    <w:p>
      <w:pPr>
        <w:pStyle w:val="MDPI31text"/>
        <w:ind w:hanging="0" w:left="2608"/>
        <w:jc w:val="both"/>
        <w:rPr/>
      </w:pPr>
      <w:r>
        <w:rPr>
          <w:lang w:eastAsia="zh-CN" w:bidi="hi-IN"/>
        </w:rPr>
        <w:t>Figure 1. Mutation Types.</w:t>
      </w:r>
    </w:p>
    <w:p>
      <w:pPr>
        <w:pStyle w:val="MDPI31text"/>
        <w:ind w:hanging="0" w:left="2608"/>
        <w:jc w:val="both"/>
        <w:rPr>
          <w:b/>
          <w:bCs/>
          <w:sz w:val="24"/>
          <w:szCs w:val="24"/>
          <w:lang w:val="en-US" w:eastAsia="zh-CN" w:bidi="hi-IN"/>
        </w:rPr>
      </w:pPr>
      <w:r>
        <w:rPr/>
      </w:r>
    </w:p>
    <w:p>
      <w:pPr>
        <w:pStyle w:val="MDPI31text"/>
        <w:ind w:hanging="0" w:left="2608"/>
        <w:jc w:val="both"/>
        <w:rPr/>
      </w:pPr>
      <w:r>
        <w:rPr>
          <w:b/>
          <w:bCs/>
          <w:sz w:val="24"/>
          <w:szCs w:val="24"/>
          <w:lang w:val="en-US"/>
        </w:rPr>
        <w:t>Synonymous Mutation</w:t>
      </w:r>
    </w:p>
    <w:p>
      <w:pPr>
        <w:pStyle w:val="NormalWeb"/>
        <w:jc w:val="both"/>
        <w:rPr>
          <w:sz w:val="24"/>
          <w:szCs w:val="24"/>
        </w:rPr>
      </w:pPr>
      <w:r>
        <w:rPr>
          <w:b w:val="false"/>
          <w:i w:val="false"/>
          <w:caps w:val="false"/>
          <w:smallCaps w:val="false"/>
          <w:strike w:val="false"/>
          <w:dstrike w:val="false"/>
          <w:color w:val="000000"/>
          <w:sz w:val="24"/>
          <w:szCs w:val="24"/>
          <w:u w:val="none"/>
          <w:effect w:val="none"/>
          <w:shd w:fill="auto" w:val="clear"/>
          <w:lang w:val="en-US"/>
        </w:rPr>
        <w:t>A synonymous substitution, often referred to as a "silent mutation," occurs within the exon, the protein-coding region of a gene, without altering the amino acid sequence.</w:t>
      </w:r>
      <w:r>
        <w:rPr>
          <w:caps w:val="false"/>
          <w:smallCaps w:val="false"/>
          <w:strike w:val="false"/>
          <w:dstrike w:val="false"/>
          <w:color w:val="000000"/>
          <w:sz w:val="24"/>
          <w:szCs w:val="24"/>
          <w:u w:val="none"/>
          <w:effect w:val="none"/>
          <w:shd w:fill="auto" w:val="clear"/>
          <w:lang w:val="en-US"/>
        </w:rPr>
        <w:t xml:space="preserve"> </w:t>
      </w:r>
      <w:r>
        <w:rPr>
          <w:b w:val="false"/>
          <w:i w:val="false"/>
          <w:caps w:val="false"/>
          <w:smallCaps w:val="false"/>
          <w:strike w:val="false"/>
          <w:dstrike w:val="false"/>
          <w:color w:val="000000"/>
          <w:sz w:val="24"/>
          <w:szCs w:val="24"/>
          <w:u w:val="none"/>
          <w:effect w:val="none"/>
          <w:shd w:fill="auto" w:val="clear"/>
          <w:lang w:val="en-US"/>
        </w:rPr>
        <w:t>However, if such a substitution impacts transcription, splicing, mRNA transport, or translation mechanisms, it is classified as "non-silent"</w:t>
      </w:r>
      <w:r>
        <w:rPr>
          <w:sz w:val="24"/>
          <w:szCs w:val="24"/>
          <w:lang w:val="en-US"/>
        </w:rPr>
        <w:t xml:space="preserve"> (Goymer, 2007).  </w:t>
      </w:r>
      <w:r>
        <w:rPr>
          <w:b w:val="false"/>
          <w:i w:val="false"/>
          <w:caps w:val="false"/>
          <w:smallCaps w:val="false"/>
          <w:strike w:val="false"/>
          <w:dstrike w:val="false"/>
          <w:color w:val="000000"/>
          <w:sz w:val="24"/>
          <w:szCs w:val="24"/>
          <w:u w:val="none"/>
          <w:effect w:val="none"/>
          <w:shd w:fill="auto" w:val="clear"/>
          <w:lang w:val="en-US"/>
        </w:rPr>
        <w:t>Mutations occurring in the third nucleotide of a codon that still encode the same amino acid are considered silent mutations</w:t>
      </w:r>
      <w:r>
        <w:rPr>
          <w:sz w:val="24"/>
          <w:szCs w:val="24"/>
          <w:lang w:val="en-US"/>
        </w:rPr>
        <w:t xml:space="preserve">.  </w:t>
      </w:r>
      <w:r>
        <w:rPr>
          <w:b w:val="false"/>
          <w:i w:val="false"/>
          <w:caps w:val="false"/>
          <w:smallCaps w:val="false"/>
          <w:strike w:val="false"/>
          <w:dstrike w:val="false"/>
          <w:color w:val="000000"/>
          <w:sz w:val="24"/>
          <w:szCs w:val="24"/>
          <w:u w:val="none"/>
          <w:effect w:val="none"/>
          <w:shd w:fill="auto" w:val="clear"/>
          <w:lang w:val="en-US"/>
        </w:rPr>
        <w:t>Most synonymous codons differ by a base at the 3rd position, with Leucine and Arginine being exceptions that differ by a base at the 1st position.</w:t>
      </w:r>
      <w:r>
        <w:rPr>
          <w:sz w:val="24"/>
          <w:szCs w:val="24"/>
          <w:lang w:val="en-US"/>
        </w:rPr>
        <w:t xml:space="preserve">  </w:t>
      </w:r>
      <w:r>
        <w:rPr>
          <w:b w:val="false"/>
          <w:i w:val="false"/>
          <w:caps w:val="false"/>
          <w:smallCaps w:val="false"/>
          <w:strike w:val="false"/>
          <w:dstrike w:val="false"/>
          <w:color w:val="000000"/>
          <w:sz w:val="24"/>
          <w:szCs w:val="24"/>
          <w:u w:val="none"/>
          <w:effect w:val="none"/>
          <w:shd w:fill="auto" w:val="clear"/>
          <w:lang w:val="en-US"/>
        </w:rPr>
        <w:t>Most synonymous codons differ by a base at the 3rd position, with Leucine and Arginine being exceptions that differ by a base at the 1st position</w:t>
      </w:r>
      <w:r>
        <w:rPr>
          <w:sz w:val="24"/>
          <w:szCs w:val="24"/>
          <w:lang w:val="en-US"/>
        </w:rPr>
        <w:t xml:space="preserve">. </w:t>
      </w:r>
      <w:r>
        <w:rPr>
          <w:b w:val="false"/>
          <w:i w:val="false"/>
          <w:caps w:val="false"/>
          <w:smallCaps w:val="false"/>
          <w:strike w:val="false"/>
          <w:dstrike w:val="false"/>
          <w:color w:val="000000"/>
          <w:sz w:val="24"/>
          <w:szCs w:val="24"/>
          <w:u w:val="none"/>
          <w:effect w:val="none"/>
          <w:shd w:fill="auto" w:val="clear"/>
          <w:lang w:val="en-US"/>
        </w:rPr>
        <w:t xml:space="preserve">Traditionally considered "silent," synonymous mutations have been shown to have significant physiological consequences due to their effects on translational efficiency and protein folding. A seminal study by Carlini and Stephan (2003) experimentally demonstrated that the </w:t>
      </w:r>
      <w:r>
        <w:rPr>
          <w:b w:val="false"/>
          <w:i/>
          <w:caps w:val="false"/>
          <w:smallCaps w:val="false"/>
          <w:strike w:val="false"/>
          <w:dstrike w:val="false"/>
          <w:color w:val="000000"/>
          <w:sz w:val="24"/>
          <w:szCs w:val="24"/>
          <w:u w:val="none"/>
          <w:effect w:val="none"/>
          <w:shd w:fill="auto" w:val="clear"/>
          <w:lang w:val="en-US"/>
        </w:rPr>
        <w:t>in vivo</w:t>
      </w:r>
      <w:r>
        <w:rPr>
          <w:caps w:val="false"/>
          <w:smallCaps w:val="false"/>
          <w:strike w:val="false"/>
          <w:dstrike w:val="false"/>
          <w:color w:val="000000"/>
          <w:sz w:val="24"/>
          <w:szCs w:val="24"/>
          <w:u w:val="none"/>
          <w:effect w:val="none"/>
          <w:shd w:fill="auto" w:val="clear"/>
          <w:lang w:val="en-US"/>
        </w:rPr>
        <w:t xml:space="preserve"> </w:t>
      </w:r>
      <w:r>
        <w:rPr>
          <w:b w:val="false"/>
          <w:i w:val="false"/>
          <w:caps w:val="false"/>
          <w:smallCaps w:val="false"/>
          <w:strike w:val="false"/>
          <w:dstrike w:val="false"/>
          <w:color w:val="000000"/>
          <w:sz w:val="24"/>
          <w:szCs w:val="24"/>
          <w:u w:val="none"/>
          <w:effect w:val="none"/>
          <w:shd w:fill="auto" w:val="clear"/>
          <w:lang w:val="en-US"/>
        </w:rPr>
        <w:t xml:space="preserve">introduction of unpreferred synonymous codons into the </w:t>
      </w:r>
      <w:r>
        <w:rPr>
          <w:b w:val="false"/>
          <w:i/>
          <w:caps w:val="false"/>
          <w:smallCaps w:val="false"/>
          <w:strike w:val="false"/>
          <w:dstrike w:val="false"/>
          <w:color w:val="000000"/>
          <w:sz w:val="24"/>
          <w:szCs w:val="24"/>
          <w:u w:val="none"/>
          <w:effect w:val="none"/>
          <w:shd w:fill="auto" w:val="clear"/>
          <w:lang w:val="en-US"/>
        </w:rPr>
        <w:t>Drosophila Adh</w:t>
      </w:r>
      <w:r>
        <w:rPr>
          <w:caps w:val="false"/>
          <w:smallCaps w:val="false"/>
          <w:strike w:val="false"/>
          <w:dstrike w:val="false"/>
          <w:color w:val="000000"/>
          <w:sz w:val="24"/>
          <w:szCs w:val="24"/>
          <w:u w:val="none"/>
          <w:effect w:val="none"/>
          <w:shd w:fill="auto" w:val="clear"/>
          <w:lang w:val="en-US"/>
        </w:rPr>
        <w:t xml:space="preserve"> </w:t>
      </w:r>
      <w:r>
        <w:rPr>
          <w:b w:val="false"/>
          <w:i w:val="false"/>
          <w:caps w:val="false"/>
          <w:smallCaps w:val="false"/>
          <w:strike w:val="false"/>
          <w:dstrike w:val="false"/>
          <w:color w:val="000000"/>
          <w:sz w:val="24"/>
          <w:szCs w:val="24"/>
          <w:u w:val="none"/>
          <w:effect w:val="none"/>
          <w:shd w:fill="auto" w:val="clear"/>
          <w:lang w:val="en-US"/>
        </w:rPr>
        <w:t>gene led to a significant reduction in ADH protein production.</w:t>
      </w:r>
      <w:r>
        <w:rPr>
          <w:caps w:val="false"/>
          <w:smallCaps w:val="false"/>
          <w:strike w:val="false"/>
          <w:dstrike w:val="false"/>
          <w:color w:val="000000"/>
          <w:sz w:val="24"/>
          <w:szCs w:val="24"/>
          <w:u w:val="none"/>
          <w:effect w:val="none"/>
          <w:shd w:fill="auto" w:val="clear"/>
          <w:lang w:val="en-US"/>
        </w:rPr>
        <w:t xml:space="preserve"> </w:t>
      </w:r>
      <w:r>
        <w:rPr>
          <w:b w:val="false"/>
          <w:i w:val="false"/>
          <w:caps w:val="false"/>
          <w:smallCaps w:val="false"/>
          <w:strike w:val="false"/>
          <w:dstrike w:val="false"/>
          <w:color w:val="000000"/>
          <w:sz w:val="24"/>
          <w:szCs w:val="24"/>
          <w:u w:val="none"/>
          <w:effect w:val="none"/>
          <w:shd w:fill="auto" w:val="clear"/>
          <w:lang w:val="en-US"/>
        </w:rPr>
        <w:t>These findings indicate that synonymous changes can indirectly alter cellular function by affecting mRNA secondary structure, codon usage bias, and translation speed.</w:t>
      </w:r>
      <w:r>
        <w:rPr>
          <w:caps w:val="false"/>
          <w:smallCaps w:val="false"/>
          <w:strike w:val="false"/>
          <w:dstrike w:val="false"/>
          <w:color w:val="000000"/>
          <w:sz w:val="24"/>
          <w:szCs w:val="24"/>
          <w:u w:val="none"/>
          <w:effect w:val="none"/>
          <w:shd w:fill="auto" w:val="clear"/>
          <w:lang w:val="en-US"/>
        </w:rPr>
        <w:t xml:space="preserve"> </w:t>
      </w:r>
      <w:r>
        <w:rPr>
          <w:b w:val="false"/>
          <w:i w:val="false"/>
          <w:caps w:val="false"/>
          <w:smallCaps w:val="false"/>
          <w:strike w:val="false"/>
          <w:dstrike w:val="false"/>
          <w:color w:val="000000"/>
          <w:sz w:val="24"/>
          <w:szCs w:val="24"/>
          <w:u w:val="none"/>
          <w:effect w:val="none"/>
          <w:shd w:fill="auto" w:val="clear"/>
          <w:lang w:val="en-US"/>
        </w:rPr>
        <w:t>This suggests that even seemingly innocuous genomic changes can contribute to cellular dysfunction or adaptive advantages in cancer, broadening the spectrum of relevant mutations for research and therapeutic considerations</w:t>
      </w:r>
      <w:r>
        <w:rPr>
          <w:sz w:val="24"/>
          <w:szCs w:val="24"/>
          <w:lang w:val="en-US"/>
        </w:rPr>
        <w:t xml:space="preserve"> (Carlini and Stephan, 2003). </w:t>
      </w:r>
    </w:p>
    <w:p>
      <w:pPr>
        <w:pStyle w:val="NormalWeb"/>
        <w:jc w:val="both"/>
        <w:rPr>
          <w:sz w:val="24"/>
          <w:szCs w:val="24"/>
        </w:rPr>
      </w:pPr>
      <w:r>
        <w:rPr>
          <w:sz w:val="24"/>
          <w:szCs w:val="24"/>
          <w:lang w:val="en-US"/>
        </w:rPr>
        <w:tab/>
        <w:tab/>
        <w:tab/>
        <w:tab/>
        <w:tab/>
      </w:r>
    </w:p>
    <w:p>
      <w:pPr>
        <w:pStyle w:val="NormalWeb"/>
        <w:jc w:val="both"/>
        <w:rPr>
          <w:sz w:val="24"/>
          <w:szCs w:val="24"/>
        </w:rPr>
      </w:pPr>
      <w:r>
        <w:rPr>
          <w:b/>
          <w:bCs/>
          <w:sz w:val="24"/>
          <w:szCs w:val="24"/>
          <w:lang w:val="en-US"/>
        </w:rPr>
        <w:t>Nonsynonymous Mutation (Missense Mutation)</w:t>
      </w:r>
    </w:p>
    <w:p>
      <w:pPr>
        <w:pStyle w:val="NormalWeb"/>
        <w:jc w:val="both"/>
        <w:rPr>
          <w:rFonts w:ascii="Palatino Linotype" w:hAnsi="Palatino Linotype"/>
          <w:sz w:val="24"/>
          <w:szCs w:val="24"/>
        </w:rPr>
      </w:pPr>
      <w:r>
        <w:rPr>
          <w:b w:val="false"/>
          <w:i w:val="false"/>
          <w:caps w:val="false"/>
          <w:smallCaps w:val="false"/>
          <w:strike w:val="false"/>
          <w:dstrike w:val="false"/>
          <w:color w:val="000000"/>
          <w:sz w:val="24"/>
          <w:szCs w:val="24"/>
          <w:u w:val="none"/>
          <w:effect w:val="none"/>
          <w:shd w:fill="auto" w:val="clear"/>
          <w:lang w:val="en-US"/>
        </w:rPr>
        <w:t>A nonsynonymous mutation, also known as a missense mutation, is a type of mutation that affects the first nucleotides in the codon, potentially leading to a significant alteration in the entire protein sequence, sometimes resulting in a lethal mutation</w:t>
      </w:r>
      <w:r>
        <w:rPr>
          <w:sz w:val="24"/>
          <w:szCs w:val="24"/>
          <w:lang w:val="en-US"/>
        </w:rPr>
        <w:t xml:space="preserve"> (Balasubramanian et al., 2017). </w:t>
      </w:r>
      <w:r>
        <w:rPr>
          <w:b w:val="false"/>
          <w:i w:val="false"/>
          <w:caps w:val="false"/>
          <w:smallCaps w:val="false"/>
          <w:strike w:val="false"/>
          <w:dstrike w:val="false"/>
          <w:color w:val="000000"/>
          <w:sz w:val="24"/>
          <w:szCs w:val="24"/>
          <w:u w:val="none"/>
          <w:effect w:val="none"/>
          <w:shd w:fill="auto" w:val="clear"/>
          <w:lang w:val="en-US"/>
        </w:rPr>
        <w:t>Such substitutions can modify the amino acid sequence of a protein, causing biological changes in the organism</w:t>
      </w:r>
      <w:r>
        <w:rPr>
          <w:sz w:val="24"/>
          <w:szCs w:val="24"/>
          <w:lang w:val="en-US"/>
        </w:rPr>
        <w:t xml:space="preserve">. </w:t>
      </w:r>
      <w:r>
        <w:rPr>
          <w:b w:val="false"/>
          <w:i w:val="false"/>
          <w:caps w:val="false"/>
          <w:smallCaps w:val="false"/>
          <w:strike w:val="false"/>
          <w:dstrike w:val="false"/>
          <w:color w:val="000000"/>
          <w:sz w:val="24"/>
          <w:szCs w:val="24"/>
          <w:u w:val="none"/>
          <w:effect w:val="none"/>
          <w:shd w:fill="auto" w:val="clear"/>
          <w:lang w:val="en-US"/>
        </w:rPr>
        <w:t>These mutations are distinguished by their frequency of occurrence at specific loci; genes exhibit lower nonsynonymous levels than synonymous nucleotide substitutions</w:t>
      </w:r>
      <w:r>
        <w:rPr>
          <w:sz w:val="24"/>
          <w:szCs w:val="24"/>
          <w:lang w:val="en-US"/>
        </w:rPr>
        <w:t xml:space="preserve">. </w:t>
      </w:r>
      <w:r>
        <w:rPr>
          <w:b w:val="false"/>
          <w:i w:val="false"/>
          <w:caps w:val="false"/>
          <w:smallCaps w:val="false"/>
          <w:strike w:val="false"/>
          <w:dstrike w:val="false"/>
          <w:color w:val="000000"/>
          <w:sz w:val="24"/>
          <w:szCs w:val="24"/>
          <w:u w:val="none"/>
          <w:effect w:val="none"/>
          <w:shd w:fill="auto" w:val="clear"/>
          <w:lang w:val="en-US"/>
        </w:rPr>
        <w:t>A Ka (Nonsynonymous)/Ks (Synonymous) ratio &lt; 1 is indicative of sequences that can alter protein functionality, suggesting their functional significance</w:t>
      </w:r>
      <w:r>
        <w:rPr>
          <w:sz w:val="24"/>
          <w:szCs w:val="24"/>
          <w:lang w:val="en-US"/>
        </w:rPr>
        <w:t xml:space="preserve"> (Hu and Banzhaf, 2008).</w:t>
      </w:r>
    </w:p>
    <w:p>
      <w:pPr>
        <w:pStyle w:val="NormalWeb"/>
        <w:jc w:val="both"/>
        <w:rPr>
          <w:sz w:val="24"/>
          <w:szCs w:val="24"/>
        </w:rPr>
      </w:pPr>
      <w:r>
        <w:rPr>
          <w:sz w:val="24"/>
          <w:szCs w:val="24"/>
          <w:lang w:val="en-US"/>
        </w:rPr>
        <w:tab/>
        <w:tab/>
        <w:tab/>
        <w:tab/>
      </w:r>
    </w:p>
    <w:p>
      <w:pPr>
        <w:pStyle w:val="NormalWeb"/>
        <w:jc w:val="both"/>
        <w:rPr>
          <w:sz w:val="24"/>
          <w:szCs w:val="24"/>
        </w:rPr>
      </w:pPr>
      <w:r>
        <w:rPr>
          <w:b/>
          <w:bCs/>
          <w:sz w:val="24"/>
          <w:szCs w:val="24"/>
          <w:lang w:val="en-US"/>
        </w:rPr>
        <w:t>Frameshift Mutation</w:t>
      </w:r>
    </w:p>
    <w:p>
      <w:pPr>
        <w:pStyle w:val="NormalWeb"/>
        <w:jc w:val="both"/>
        <w:rPr>
          <w:rFonts w:ascii="Palatino Linotype" w:hAnsi="Palatino Linotype"/>
          <w:sz w:val="24"/>
          <w:szCs w:val="24"/>
        </w:rPr>
      </w:pPr>
      <w:r>
        <w:rPr>
          <w:b w:val="false"/>
          <w:i w:val="false"/>
          <w:caps w:val="false"/>
          <w:smallCaps w:val="false"/>
          <w:strike w:val="false"/>
          <w:dstrike w:val="false"/>
          <w:color w:val="000000"/>
          <w:sz w:val="24"/>
          <w:szCs w:val="24"/>
          <w:u w:val="none"/>
          <w:effect w:val="none"/>
          <w:shd w:fill="auto" w:val="clear"/>
          <w:lang w:val="en-US"/>
        </w:rPr>
        <w:t>Frameshift mutations represent one of the most disruptive types of mutations within the protein coding region.</w:t>
      </w:r>
      <w:r>
        <w:rPr>
          <w:sz w:val="24"/>
          <w:szCs w:val="24"/>
          <w:lang w:val="en-US"/>
        </w:rPr>
        <w:t xml:space="preserve"> </w:t>
      </w:r>
      <w:r>
        <w:rPr>
          <w:b w:val="false"/>
          <w:i w:val="false"/>
          <w:caps w:val="false"/>
          <w:smallCaps w:val="false"/>
          <w:strike w:val="false"/>
          <w:dstrike w:val="false"/>
          <w:color w:val="000000"/>
          <w:sz w:val="24"/>
          <w:szCs w:val="24"/>
          <w:u w:val="none"/>
          <w:effect w:val="none"/>
          <w:shd w:fill="auto" w:val="clear"/>
          <w:lang w:val="en-US"/>
        </w:rPr>
        <w:t>Resulting from the insertion or deletion of nucleotides not divisible by three, these mutations profoundly alter the translational reading frame, typically leading to premature stop codons, truncated proteins, or entirely non-functional gene products.</w:t>
      </w:r>
      <w:r>
        <w:rPr>
          <w:caps w:val="false"/>
          <w:smallCaps w:val="false"/>
          <w:strike w:val="false"/>
          <w:dstrike w:val="false"/>
          <w:color w:val="000000"/>
          <w:sz w:val="24"/>
          <w:szCs w:val="24"/>
          <w:u w:val="none"/>
          <w:effect w:val="none"/>
          <w:shd w:fill="auto" w:val="clear"/>
          <w:lang w:val="en-US"/>
        </w:rPr>
        <w:t xml:space="preserve"> </w:t>
      </w:r>
      <w:r>
        <w:rPr>
          <w:b w:val="false"/>
          <w:i w:val="false"/>
          <w:caps w:val="false"/>
          <w:smallCaps w:val="false"/>
          <w:strike w:val="false"/>
          <w:dstrike w:val="false"/>
          <w:color w:val="000000"/>
          <w:sz w:val="24"/>
          <w:szCs w:val="24"/>
          <w:u w:val="none"/>
          <w:effect w:val="none"/>
          <w:shd w:fill="auto" w:val="clear"/>
          <w:lang w:val="en-US"/>
        </w:rPr>
        <w:t>This places them among the most severe classes of genetic alterations.</w:t>
      </w:r>
      <w:r>
        <w:rPr>
          <w:sz w:val="24"/>
          <w:szCs w:val="24"/>
          <w:lang w:val="en-US"/>
        </w:rPr>
        <w:t xml:space="preserve"> </w:t>
      </w:r>
      <w:r>
        <w:rPr>
          <w:b w:val="false"/>
          <w:i w:val="false"/>
          <w:caps w:val="false"/>
          <w:smallCaps w:val="false"/>
          <w:strike w:val="false"/>
          <w:dstrike w:val="false"/>
          <w:color w:val="000000"/>
          <w:sz w:val="24"/>
          <w:szCs w:val="24"/>
          <w:u w:val="none"/>
          <w:effect w:val="none"/>
          <w:shd w:fill="auto" w:val="clear"/>
          <w:lang w:val="en-US"/>
        </w:rPr>
        <w:t>This change in the reading frame causes the entire triplet amino acid sequence to undergo sequential alterations, resulting in a completely non-functional protein.</w:t>
      </w:r>
      <w:r>
        <w:rPr>
          <w:sz w:val="24"/>
          <w:szCs w:val="24"/>
          <w:lang w:val="en-US"/>
        </w:rPr>
        <w:t xml:space="preserve"> (Losick et al., 2008). </w:t>
      </w:r>
      <w:r>
        <w:rPr>
          <w:b w:val="false"/>
          <w:i w:val="false"/>
          <w:caps w:val="false"/>
          <w:smallCaps w:val="false"/>
          <w:strike w:val="false"/>
          <w:dstrike w:val="false"/>
          <w:color w:val="000000"/>
          <w:sz w:val="24"/>
          <w:szCs w:val="24"/>
          <w:u w:val="none"/>
          <w:effect w:val="none"/>
          <w:shd w:fill="auto" w:val="clear"/>
          <w:lang w:val="en-US"/>
        </w:rPr>
        <w:t>Furthermore, frameshift mutations introduce stop codons into the sequence, further hindering protein functionality, leading to either shortened or excessively elongated polypeptide chains.</w:t>
      </w:r>
      <w:r>
        <w:rPr>
          <w:sz w:val="24"/>
          <w:szCs w:val="24"/>
          <w:lang w:val="en-US"/>
        </w:rPr>
        <w:t xml:space="preserve"> (Nature Publishing Group, 2022).  </w:t>
      </w:r>
      <w:r>
        <w:rPr>
          <w:b w:val="false"/>
          <w:i w:val="false"/>
          <w:caps w:val="false"/>
          <w:smallCaps w:val="false"/>
          <w:strike w:val="false"/>
          <w:dstrike w:val="false"/>
          <w:color w:val="000000"/>
          <w:sz w:val="24"/>
          <w:szCs w:val="24"/>
          <w:u w:val="none"/>
          <w:effect w:val="none"/>
          <w:shd w:fill="auto" w:val="clear"/>
          <w:lang w:val="en-US"/>
        </w:rPr>
        <w:t>Conversely, non-frameshift insertions/deletions, which involve the addition of one or more amino acid groups to the reading frame, typically do not pose issues for mRNA</w:t>
      </w:r>
      <w:r>
        <w:rPr>
          <w:sz w:val="24"/>
          <w:szCs w:val="24"/>
          <w:lang w:val="en-US"/>
        </w:rPr>
        <w:t xml:space="preserve"> (Pagel et al., 2019). </w:t>
      </w:r>
      <w:r>
        <w:rPr>
          <w:b w:val="false"/>
          <w:i w:val="false"/>
          <w:caps w:val="false"/>
          <w:smallCaps w:val="false"/>
          <w:strike w:val="false"/>
          <w:dstrike w:val="false"/>
          <w:color w:val="000000"/>
          <w:sz w:val="24"/>
          <w:szCs w:val="24"/>
          <w:u w:val="none"/>
          <w:effect w:val="none"/>
          <w:shd w:fill="auto" w:val="clear"/>
          <w:lang w:val="en-US"/>
        </w:rPr>
        <w:t>The pronounced and often completely inactivating effect of these mutations on proteins makes them strong candidates for critical driver mutations or highly disruptive events in oncogenesis. Their clear loss-of-function phenotype makes them distinct targets for therapeutic strategies aimed at restoring protein function or inducing degradation.</w:t>
      </w:r>
    </w:p>
    <w:p>
      <w:pPr>
        <w:pStyle w:val="NormalWeb"/>
        <w:jc w:val="both"/>
        <w:rPr>
          <w:sz w:val="24"/>
          <w:szCs w:val="24"/>
        </w:rPr>
      </w:pPr>
      <w:r>
        <w:rPr>
          <w:sz w:val="24"/>
          <w:szCs w:val="24"/>
          <w:lang w:val="en-US"/>
        </w:rPr>
        <w:tab/>
        <w:tab/>
        <w:tab/>
        <w:tab/>
        <w:tab/>
      </w:r>
    </w:p>
    <w:p>
      <w:pPr>
        <w:pStyle w:val="NormalWeb"/>
        <w:jc w:val="both"/>
        <w:rPr>
          <w:sz w:val="24"/>
          <w:szCs w:val="24"/>
        </w:rPr>
      </w:pPr>
      <w:r>
        <w:rPr>
          <w:b/>
          <w:bCs/>
          <w:sz w:val="24"/>
          <w:szCs w:val="24"/>
          <w:lang w:val="en-US"/>
        </w:rPr>
        <w:t>Nonsense Mutation</w:t>
      </w:r>
    </w:p>
    <w:p>
      <w:pPr>
        <w:pStyle w:val="NormalWeb"/>
        <w:jc w:val="both"/>
        <w:rPr>
          <w:rFonts w:ascii="Palatino Linotype" w:hAnsi="Palatino Linotype"/>
          <w:sz w:val="24"/>
          <w:szCs w:val="24"/>
        </w:rPr>
      </w:pPr>
      <w:r>
        <w:rPr>
          <w:b w:val="false"/>
          <w:i w:val="false"/>
          <w:caps w:val="false"/>
          <w:smallCaps w:val="false"/>
          <w:strike w:val="false"/>
          <w:dstrike w:val="false"/>
          <w:color w:val="000000"/>
          <w:sz w:val="24"/>
          <w:szCs w:val="24"/>
          <w:u w:val="none"/>
          <w:effect w:val="none"/>
          <w:shd w:fill="auto" w:val="clear"/>
          <w:lang w:val="en-US"/>
        </w:rPr>
        <w:t>A nonsense point mutation targets stop codons ("UAA", "UGA", or "UAG"), resulting in mutations that fail to encode an amino acid.</w:t>
      </w:r>
      <w:r>
        <w:rPr>
          <w:caps w:val="false"/>
          <w:smallCaps w:val="false"/>
          <w:strike w:val="false"/>
          <w:dstrike w:val="false"/>
          <w:color w:val="000000"/>
          <w:sz w:val="24"/>
          <w:szCs w:val="24"/>
          <w:u w:val="none"/>
          <w:effect w:val="none"/>
          <w:shd w:fill="auto" w:val="clear"/>
          <w:lang w:val="en-US"/>
        </w:rPr>
        <w:t xml:space="preserve"> </w:t>
      </w:r>
      <w:r>
        <w:rPr>
          <w:b w:val="false"/>
          <w:i w:val="false"/>
          <w:caps w:val="false"/>
          <w:smallCaps w:val="false"/>
          <w:strike w:val="false"/>
          <w:dstrike w:val="false"/>
          <w:color w:val="000000"/>
          <w:sz w:val="24"/>
          <w:szCs w:val="24"/>
          <w:u w:val="none"/>
          <w:effect w:val="none"/>
          <w:shd w:fill="auto" w:val="clear"/>
          <w:lang w:val="en-US"/>
        </w:rPr>
        <w:t>Such mutations can lead to the production of an unfinished protein product due to the presence of an incomplete or premature stop codon, potentially yielding a non-functional protein product and prematurely terminating protein synthesis.</w:t>
      </w:r>
      <w:r>
        <w:rPr>
          <w:sz w:val="24"/>
          <w:szCs w:val="24"/>
          <w:lang w:val="en-US"/>
        </w:rPr>
        <w:t xml:space="preserve"> (Sharma, Keeling, and Rowe, 2020). </w:t>
      </w:r>
      <w:r>
        <w:rPr>
          <w:b w:val="false"/>
          <w:i w:val="false"/>
          <w:caps w:val="false"/>
          <w:smallCaps w:val="false"/>
          <w:strike w:val="false"/>
          <w:dstrike w:val="false"/>
          <w:color w:val="000000"/>
          <w:sz w:val="24"/>
          <w:szCs w:val="24"/>
          <w:u w:val="none"/>
          <w:effect w:val="none"/>
          <w:shd w:fill="auto" w:val="clear"/>
          <w:lang w:val="en-US"/>
        </w:rPr>
        <w:t>Certain amino acids have a higher probability of mutating into stop codons than others.</w:t>
      </w:r>
      <w:r>
        <w:rPr>
          <w:caps w:val="false"/>
          <w:smallCaps w:val="false"/>
          <w:strike w:val="false"/>
          <w:dstrike w:val="false"/>
          <w:color w:val="000000"/>
          <w:sz w:val="24"/>
          <w:szCs w:val="24"/>
          <w:u w:val="none"/>
          <w:effect w:val="none"/>
          <w:shd w:fill="auto" w:val="clear"/>
          <w:lang w:val="en-US"/>
        </w:rPr>
        <w:t xml:space="preserve"> </w:t>
      </w:r>
      <w:r>
        <w:rPr>
          <w:b w:val="false"/>
          <w:i w:val="false"/>
          <w:caps w:val="false"/>
          <w:smallCaps w:val="false"/>
          <w:strike w:val="false"/>
          <w:dstrike w:val="false"/>
          <w:color w:val="000000"/>
          <w:sz w:val="24"/>
          <w:szCs w:val="24"/>
          <w:u w:val="none"/>
          <w:effect w:val="none"/>
          <w:shd w:fill="auto" w:val="clear"/>
          <w:lang w:val="en-US"/>
        </w:rPr>
        <w:t>For instance, according to the codon table, 9 codons of Glutamine, Lysine, Glutamic Acid, Arginine, and Glycine, as well as 4 codons of Leucine and Serine, and 5 codons of Tyrosine, Cysteine, and Tryptophan, can change to stop codons by altering base position 3</w:t>
      </w:r>
      <w:r>
        <w:rPr>
          <w:sz w:val="24"/>
          <w:szCs w:val="24"/>
          <w:lang w:val="en-US"/>
        </w:rPr>
        <w:t xml:space="preserve"> Tryptophan, can change to stop codons by altering base position 3. </w:t>
      </w:r>
      <w:r>
        <w:rPr>
          <w:b w:val="false"/>
          <w:i w:val="false"/>
          <w:caps w:val="false"/>
          <w:smallCaps w:val="false"/>
          <w:strike w:val="false"/>
          <w:dstrike w:val="false"/>
          <w:color w:val="000000"/>
          <w:sz w:val="24"/>
          <w:szCs w:val="24"/>
          <w:u w:val="none"/>
          <w:effect w:val="none"/>
          <w:shd w:fill="auto" w:val="clear"/>
          <w:lang w:val="en-US"/>
        </w:rPr>
        <w:t>However, mutations generally occur more frequently at position 1</w:t>
      </w:r>
      <w:r>
        <w:rPr>
          <w:sz w:val="24"/>
          <w:szCs w:val="24"/>
          <w:lang w:val="en-US"/>
        </w:rPr>
        <w:t xml:space="preserve"> (Iengar, 2012).</w:t>
      </w:r>
    </w:p>
    <w:p>
      <w:pPr>
        <w:pStyle w:val="NormalWeb"/>
        <w:jc w:val="both"/>
        <w:rPr>
          <w:lang w:val="en-US"/>
        </w:rPr>
      </w:pPr>
      <w:r>
        <w:rPr>
          <w:lang w:val="en-US"/>
        </w:rPr>
      </w:r>
    </w:p>
    <w:p>
      <w:pPr>
        <w:pStyle w:val="Normal"/>
        <w:jc w:val="both"/>
        <w:rPr>
          <w:b/>
          <w:bCs/>
          <w:sz w:val="24"/>
          <w:szCs w:val="24"/>
        </w:rPr>
      </w:pPr>
      <w:r>
        <w:rPr>
          <w:b/>
          <w:bCs/>
          <w:sz w:val="24"/>
          <w:szCs w:val="24"/>
          <w:lang w:eastAsia="de-DE"/>
        </w:rPr>
        <w:t>Insertion and Deletion (INDEL)</w:t>
      </w:r>
    </w:p>
    <w:p>
      <w:pPr>
        <w:pStyle w:val="Normal"/>
        <w:jc w:val="both"/>
        <w:rPr>
          <w:rFonts w:ascii="Palatino Linotype" w:hAnsi="Palatino Linotype"/>
          <w:sz w:val="24"/>
          <w:szCs w:val="24"/>
        </w:rPr>
      </w:pPr>
      <w:r>
        <w:rPr>
          <w:b w:val="false"/>
          <w:i w:val="false"/>
          <w:caps w:val="false"/>
          <w:smallCaps w:val="false"/>
          <w:strike w:val="false"/>
          <w:dstrike w:val="false"/>
          <w:color w:val="000000"/>
          <w:sz w:val="24"/>
          <w:szCs w:val="24"/>
          <w:u w:val="none"/>
          <w:effect w:val="none"/>
          <w:shd w:fill="auto" w:val="clear"/>
          <w:lang w:eastAsia="de-DE"/>
        </w:rPr>
        <w:t>INDELs refer to the insertion and/or deletion of nucleotides into genomic DNA, encompassing sequences less than 1kb in length.</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These mutations hold exceptional significance in clinical settings and play a pivotal role in driving the mechanisms of many oncologic diseases.</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They are crucial in the common mechanism of kinase activation in cancers and are often targeted by kinase inhibitors in targeted therapy</w:t>
      </w:r>
      <w:r>
        <w:rPr>
          <w:sz w:val="24"/>
          <w:szCs w:val="24"/>
          <w:lang w:eastAsia="de-DE"/>
        </w:rPr>
        <w:t xml:space="preserve"> (Sehn, 2015). </w:t>
      </w:r>
      <w:r>
        <w:rPr>
          <w:b w:val="false"/>
          <w:i w:val="false"/>
          <w:caps w:val="false"/>
          <w:smallCaps w:val="false"/>
          <w:strike w:val="false"/>
          <w:dstrike w:val="false"/>
          <w:color w:val="000000"/>
          <w:sz w:val="24"/>
          <w:szCs w:val="24"/>
          <w:u w:val="none"/>
          <w:effect w:val="none"/>
          <w:shd w:fill="auto" w:val="clear"/>
          <w:lang w:eastAsia="de-DE"/>
        </w:rPr>
        <w:t>Comparatively, deletions occur more frequently than insertions, with single residue INDELs being the most commonly observed in genomic sequences.</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For instance, glutamic acid stands as one of the primary targets in both driver deletions and insertions</w:t>
      </w:r>
      <w:r>
        <w:rPr>
          <w:sz w:val="24"/>
          <w:szCs w:val="24"/>
          <w:lang w:eastAsia="de-DE"/>
        </w:rPr>
        <w:t xml:space="preserve"> (Szpiech et al., 2017).</w:t>
      </w:r>
    </w:p>
    <w:p>
      <w:pPr>
        <w:pStyle w:val="Normal"/>
        <w:jc w:val="both"/>
        <w:rPr>
          <w:lang w:eastAsia="de-DE"/>
        </w:rPr>
      </w:pPr>
      <w:r>
        <w:rPr>
          <w:lang w:eastAsia="de-DE"/>
        </w:rPr>
      </w:r>
    </w:p>
    <w:p>
      <w:pPr>
        <w:pStyle w:val="Normal"/>
        <w:jc w:val="both"/>
        <w:rPr>
          <w:b/>
          <w:bCs/>
          <w:sz w:val="24"/>
          <w:szCs w:val="24"/>
        </w:rPr>
      </w:pPr>
      <w:r>
        <w:rPr>
          <w:b/>
          <w:bCs/>
          <w:sz w:val="24"/>
          <w:szCs w:val="24"/>
          <w:lang w:eastAsia="de-DE"/>
        </w:rPr>
        <w:t>Protein Kinases: The Most Frequently Mutated Protein in Cancer</w:t>
      </w:r>
    </w:p>
    <w:p>
      <w:pPr>
        <w:pStyle w:val="Normal"/>
        <w:jc w:val="both"/>
        <w:rPr>
          <w:rFonts w:ascii="Palatino Linotype" w:hAnsi="Palatino Linotype"/>
          <w:sz w:val="24"/>
          <w:szCs w:val="24"/>
        </w:rPr>
      </w:pPr>
      <w:r>
        <w:rPr>
          <w:b w:val="false"/>
          <w:i w:val="false"/>
          <w:caps w:val="false"/>
          <w:smallCaps w:val="false"/>
          <w:strike w:val="false"/>
          <w:dstrike w:val="false"/>
          <w:color w:val="000000"/>
          <w:sz w:val="24"/>
          <w:szCs w:val="24"/>
          <w:u w:val="none"/>
          <w:effect w:val="none"/>
          <w:shd w:fill="auto" w:val="clear"/>
          <w:lang w:eastAsia="de-DE"/>
        </w:rPr>
        <w:t>Protein kinases constitute the most commonly mutated protein family in cancer, being fundamental for various cellular functions and essential for eukaryotic cell survival.</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Mutations in protein kinases have demonstrated significant efficacy in cancer treatment through the use of mutated protein kinase inhibitors</w:t>
      </w:r>
      <w:r>
        <w:rPr>
          <w:sz w:val="24"/>
          <w:szCs w:val="24"/>
          <w:lang w:eastAsia="de-DE"/>
        </w:rPr>
        <w:t xml:space="preserve"> (Futreal et al., 2004a; Stephens et al., 2005). </w:t>
      </w:r>
      <w:r>
        <w:rPr>
          <w:b w:val="false"/>
          <w:i w:val="false"/>
          <w:caps w:val="false"/>
          <w:smallCaps w:val="false"/>
          <w:strike w:val="false"/>
          <w:dstrike w:val="false"/>
          <w:color w:val="000000"/>
          <w:sz w:val="24"/>
          <w:szCs w:val="24"/>
          <w:u w:val="none"/>
          <w:effect w:val="none"/>
          <w:shd w:fill="auto" w:val="clear"/>
          <w:lang w:eastAsia="de-DE"/>
        </w:rPr>
        <w:t>A "census of human cancer genes" by  identified that mutations in more than 1% of genes contribute to human cancer (Futreal et al., 2004a). A seminal study by Greenman et al. (2007) highlighted the detection of approximately 1,000 somatic mutations across 274 megabases (Mb) of DNA within 478 classical protein kinase family members and 40 atypical protein kinases in 210 diverse human cancers.</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This finding clearly underscores the significant mutational burden within this critical gene family</w:t>
      </w:r>
      <w:r>
        <w:rPr>
          <w:sz w:val="24"/>
          <w:szCs w:val="24"/>
          <w:lang w:eastAsia="de-DE"/>
        </w:rPr>
        <w:t xml:space="preserve"> (Greenman et al., 2007).  This underscores the significant impact of protein kinases on the mutation patterns observed in individual cancers, reflecting various exposures, DNA repair defects, and cellular origins (Hunter and Cooper, 1985; Hanks and Hunter, 1995; Hunter and Plowman, 1997).  </w:t>
      </w:r>
      <w:r>
        <w:rPr>
          <w:b w:val="false"/>
          <w:i w:val="false"/>
          <w:caps w:val="false"/>
          <w:smallCaps w:val="false"/>
          <w:strike w:val="false"/>
          <w:dstrike w:val="false"/>
          <w:color w:val="000000"/>
          <w:sz w:val="24"/>
          <w:szCs w:val="24"/>
          <w:u w:val="none"/>
          <w:effect w:val="none"/>
          <w:shd w:fill="auto" w:val="clear"/>
          <w:lang w:eastAsia="de-DE"/>
        </w:rPr>
        <w:t>Mutations affecting kinase activity are frequently observed to be oncogenic, playing a central role in cancer cell survival and metastasis</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 xml:space="preserve">Cicenas et al. (2018) emphasize that deregulated kinases are frequently oncogenic and can be central for the survival and spread of cancer cells </w:t>
      </w:r>
      <w:r>
        <w:rPr>
          <w:sz w:val="24"/>
          <w:szCs w:val="24"/>
          <w:lang w:eastAsia="de-DE"/>
        </w:rPr>
        <w:t>(Cicenas et al., 2018). V</w:t>
      </w:r>
      <w:r>
        <w:rPr>
          <w:b w:val="false"/>
          <w:i w:val="false"/>
          <w:caps w:val="false"/>
          <w:smallCaps w:val="false"/>
          <w:strike w:val="false"/>
          <w:dstrike w:val="false"/>
          <w:color w:val="000000"/>
          <w:sz w:val="24"/>
          <w:szCs w:val="24"/>
          <w:u w:val="none"/>
          <w:effect w:val="none"/>
          <w:shd w:fill="auto" w:val="clear"/>
          <w:lang w:eastAsia="de-DE"/>
        </w:rPr>
        <w:t>arious ways for kinases to become involved in cancers include mis-regulated expression and/or amplification, aberrant phosphorylation, mutation, chromosomal translocation, and epigenetic regulation. This multi-modal deregulation explains why understanding their complex mutational landscapes is critical for kinase inhibitors to be a cornerstone of targeted cancer therapy and for the development of next-generation therapeutics that overcome resistance. Kinases and Ras proteins are frequently mutated in cancer; KRas Gly12 mutations (89%), Gly13 (9%), and Gln61 (1%) exhibit different catalytic activities.</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These mutations can significantly alter the protein landscape and are referred to as HRas, KRas, and Nras mutations.</w:t>
      </w:r>
    </w:p>
    <w:p>
      <w:pPr>
        <w:pStyle w:val="Normal"/>
        <w:jc w:val="both"/>
        <w:rPr>
          <w:rFonts w:ascii="Palatino Linotype" w:hAnsi="Palatino Linotype"/>
          <w:sz w:val="24"/>
          <w:szCs w:val="24"/>
        </w:rPr>
      </w:pPr>
      <w:r>
        <w:rPr>
          <w:b/>
          <w:bCs/>
          <w:i w:val="false"/>
          <w:caps w:val="false"/>
          <w:smallCaps w:val="false"/>
          <w:strike w:val="false"/>
          <w:dstrike w:val="false"/>
          <w:color w:val="000000"/>
          <w:sz w:val="24"/>
          <w:szCs w:val="24"/>
          <w:u w:val="none"/>
          <w:effect w:val="none"/>
          <w:shd w:fill="auto" w:val="clear"/>
          <w:lang w:eastAsia="de-DE"/>
        </w:rPr>
        <w:t>Identifying and Distinguishing Driver and Passenger Mutations</w:t>
      </w:r>
    </w:p>
    <w:p>
      <w:pPr>
        <w:pStyle w:val="Heading3"/>
        <w:bidi w:val="0"/>
        <w:spacing w:lineRule="auto" w:line="326" w:before="0" w:after="240"/>
        <w:ind w:hanging="0" w:left="0" w:right="0"/>
        <w:rPr>
          <w:rFonts w:ascii="Palatino Linotype" w:hAnsi="Palatino Linotype"/>
          <w:b/>
          <w:i w:val="false"/>
          <w:i w:val="false"/>
          <w:caps w:val="false"/>
          <w:smallCaps w:val="false"/>
          <w:strike w:val="false"/>
          <w:dstrike w:val="false"/>
          <w:color w:val="000000"/>
          <w:sz w:val="28"/>
          <w:u w:val="none"/>
          <w:effect w:val="none"/>
          <w:shd w:fill="auto" w:val="clear"/>
        </w:rPr>
      </w:pPr>
      <w:r>
        <w:rPr>
          <w:rFonts w:ascii="Palatino" w:hAnsi="Palatino"/>
          <w:b w:val="false"/>
          <w:i w:val="false"/>
          <w:caps w:val="false"/>
          <w:smallCaps w:val="false"/>
          <w:strike w:val="false"/>
          <w:dstrike w:val="false"/>
          <w:color w:val="000000"/>
          <w:sz w:val="24"/>
          <w:szCs w:val="24"/>
          <w:u w:val="none"/>
          <w:effect w:val="none"/>
          <w:shd w:fill="auto" w:val="clear"/>
          <w:lang w:eastAsia="de-DE"/>
        </w:rPr>
        <w:t>Mutations are categorized as drivers or passengers based on their effect, frequency, and impact on protein changes within the genomic code</w:t>
      </w:r>
      <w:r>
        <w:rPr>
          <w:rFonts w:ascii="Palatino" w:hAnsi="Palatino"/>
          <w:sz w:val="24"/>
          <w:szCs w:val="24"/>
          <w:lang w:eastAsia="de-DE"/>
        </w:rPr>
        <w:t xml:space="preserve">. </w:t>
      </w:r>
      <w:r>
        <w:rPr>
          <w:rFonts w:ascii="Palatino" w:hAnsi="Palatino"/>
          <w:b w:val="false"/>
          <w:i w:val="false"/>
          <w:caps w:val="false"/>
          <w:smallCaps w:val="false"/>
          <w:strike w:val="false"/>
          <w:dstrike w:val="false"/>
          <w:color w:val="000000"/>
          <w:sz w:val="24"/>
          <w:szCs w:val="24"/>
          <w:u w:val="none"/>
          <w:effect w:val="none"/>
          <w:shd w:fill="auto" w:val="clear"/>
          <w:lang w:eastAsia="de-DE"/>
        </w:rPr>
        <w:t>Driver mutations are implicated in cancer development and progression, while passenger mutations are functionally neutral.</w:t>
      </w:r>
      <w:r>
        <w:rPr>
          <w:rFonts w:ascii="Palatino" w:hAnsi="Palatino"/>
          <w:caps w:val="false"/>
          <w:smallCaps w:val="false"/>
          <w:strike w:val="false"/>
          <w:dstrike w:val="false"/>
          <w:color w:val="000000"/>
          <w:sz w:val="24"/>
          <w:szCs w:val="24"/>
          <w:u w:val="none"/>
          <w:effect w:val="none"/>
          <w:shd w:fill="auto" w:val="clear"/>
          <w:lang w:eastAsia="de-DE"/>
        </w:rPr>
        <w:t xml:space="preserve"> </w:t>
      </w:r>
      <w:r>
        <w:rPr>
          <w:rFonts w:ascii="Palatino" w:hAnsi="Palatino"/>
          <w:b w:val="false"/>
          <w:i w:val="false"/>
          <w:caps w:val="false"/>
          <w:smallCaps w:val="false"/>
          <w:strike w:val="false"/>
          <w:dstrike w:val="false"/>
          <w:color w:val="000000"/>
          <w:sz w:val="24"/>
          <w:szCs w:val="24"/>
          <w:u w:val="none"/>
          <w:effect w:val="none"/>
          <w:shd w:fill="auto" w:val="clear"/>
          <w:lang w:eastAsia="de-DE"/>
        </w:rPr>
        <w:t>Driver mutations are frequently observed in individual cancer genes and are reported across different databases.</w:t>
      </w:r>
      <w:r>
        <w:rPr>
          <w:rFonts w:ascii="Palatino" w:hAnsi="Palatino"/>
          <w:sz w:val="24"/>
          <w:szCs w:val="24"/>
          <w:lang w:eastAsia="de-DE"/>
        </w:rPr>
        <w:t xml:space="preserve">(Gnad et al., 2013). </w:t>
      </w:r>
      <w:r>
        <w:rPr>
          <w:rFonts w:ascii="Palatino" w:hAnsi="Palatino"/>
          <w:b w:val="false"/>
          <w:i w:val="false"/>
          <w:caps w:val="false"/>
          <w:smallCaps w:val="false"/>
          <w:strike w:val="false"/>
          <w:dstrike w:val="false"/>
          <w:color w:val="000000"/>
          <w:sz w:val="24"/>
          <w:szCs w:val="24"/>
          <w:u w:val="none"/>
          <w:effect w:val="none"/>
          <w:shd w:fill="auto" w:val="clear"/>
          <w:lang w:eastAsia="de-DE"/>
        </w:rPr>
        <w:t>Identifying driver mutations is challenging but crucial for personalized cancer therapy. These mutations are often found at active sites and confer a growth advantage to cells when mutated, promoting tumorigenesis</w:t>
      </w:r>
      <w:r>
        <w:rPr>
          <w:rFonts w:ascii="Palatino" w:hAnsi="Palatino"/>
          <w:sz w:val="24"/>
          <w:szCs w:val="24"/>
          <w:lang w:eastAsia="de-DE"/>
        </w:rPr>
        <w:t xml:space="preserve"> (Helleday, Eshtad, and Nik-Zainal, 2014).  </w:t>
      </w:r>
      <w:r>
        <w:rPr>
          <w:rFonts w:ascii="Palatino" w:hAnsi="Palatino"/>
          <w:b w:val="false"/>
          <w:i w:val="false"/>
          <w:caps w:val="false"/>
          <w:smallCaps w:val="false"/>
          <w:strike w:val="false"/>
          <w:dstrike w:val="false"/>
          <w:color w:val="000000"/>
          <w:sz w:val="24"/>
          <w:szCs w:val="24"/>
          <w:u w:val="none"/>
          <w:effect w:val="none"/>
          <w:shd w:fill="auto" w:val="clear"/>
          <w:lang w:eastAsia="de-DE"/>
        </w:rPr>
        <w:t>In contrast, passenger mutations are more prevalent but do not contribute significantly to tumor development.</w:t>
      </w:r>
      <w:r>
        <w:rPr>
          <w:rFonts w:ascii="Palatino" w:hAnsi="Palatino"/>
          <w:caps w:val="false"/>
          <w:smallCaps w:val="false"/>
          <w:strike w:val="false"/>
          <w:dstrike w:val="false"/>
          <w:color w:val="000000"/>
          <w:sz w:val="24"/>
          <w:szCs w:val="24"/>
          <w:u w:val="none"/>
          <w:effect w:val="none"/>
          <w:shd w:fill="auto" w:val="clear"/>
          <w:lang w:eastAsia="de-DE"/>
        </w:rPr>
        <w:t xml:space="preserve"> </w:t>
      </w:r>
      <w:r>
        <w:rPr>
          <w:rFonts w:ascii="Palatino" w:hAnsi="Palatino"/>
          <w:b w:val="false"/>
          <w:i w:val="false"/>
          <w:caps w:val="false"/>
          <w:smallCaps w:val="false"/>
          <w:strike w:val="false"/>
          <w:dstrike w:val="false"/>
          <w:color w:val="000000"/>
          <w:sz w:val="24"/>
          <w:szCs w:val="24"/>
          <w:u w:val="none"/>
          <w:effect w:val="none"/>
          <w:shd w:fill="auto" w:val="clear"/>
          <w:lang w:eastAsia="de-DE"/>
        </w:rPr>
        <w:t>Nevertheless, they may affect various mechanisms, such as mRNA translation speed or accuracy, without altering protein sequence or structure</w:t>
      </w:r>
      <w:r>
        <w:rPr>
          <w:rFonts w:ascii="Palatino" w:hAnsi="Palatino"/>
          <w:sz w:val="24"/>
          <w:szCs w:val="24"/>
          <w:lang w:eastAsia="de-DE"/>
        </w:rPr>
        <w:t xml:space="preserve"> (Parmley, Chamary, and Hurst, 2006; Drummond and Wilke, 2008; Goodman, Church, and Kosuri, 2013).  </w:t>
      </w:r>
      <w:r>
        <w:rPr>
          <w:rFonts w:ascii="Palatino" w:hAnsi="Palatino"/>
          <w:b w:val="false"/>
          <w:i w:val="false"/>
          <w:caps w:val="false"/>
          <w:smallCaps w:val="false"/>
          <w:strike w:val="false"/>
          <w:dstrike w:val="false"/>
          <w:color w:val="000000"/>
          <w:sz w:val="24"/>
          <w:szCs w:val="24"/>
          <w:u w:val="none"/>
          <w:effect w:val="none"/>
          <w:shd w:fill="auto" w:val="clear"/>
        </w:rPr>
        <w:t>The precise identification of driver mutations remains a critical bottleneck in realizing personalized cancer therapy. An "actionable" mutation is defined as a genetic aberration potentially responsive to targeted therapy, whereas a "driver" mutation refers to variants that</w:t>
      </w:r>
      <w:r>
        <w:rPr>
          <w:rFonts w:ascii="Palatino Linotype" w:hAnsi="Palatino Linotype"/>
          <w:b w:val="false"/>
          <w:i w:val="false"/>
          <w:caps w:val="false"/>
          <w:smallCaps w:val="false"/>
          <w:strike w:val="false"/>
          <w:dstrike w:val="false"/>
          <w:color w:val="000000"/>
          <w:sz w:val="24"/>
          <w:szCs w:val="24"/>
          <w:u w:val="none"/>
          <w:effect w:val="none"/>
          <w:shd w:fill="auto" w:val="clear"/>
        </w:rPr>
        <w:t xml:space="preserve"> confer a growth advantage to cancer cells but may not yet be targetable with a specific treatment.</w:t>
      </w:r>
      <w:r>
        <w:rPr>
          <w:rFonts w:ascii="Palatino Linotype" w:hAnsi="Palatino Linotype"/>
          <w:caps w:val="false"/>
          <w:smallCaps w:val="false"/>
          <w:strike w:val="false"/>
          <w:dstrike w:val="false"/>
          <w:color w:val="000000"/>
          <w:sz w:val="24"/>
          <w:szCs w:val="24"/>
          <w:u w:val="none"/>
          <w:effect w:val="none"/>
          <w:shd w:fill="auto" w:val="clear"/>
        </w:rPr>
        <w:t xml:space="preserve"> </w:t>
      </w:r>
      <w:r>
        <w:rPr>
          <w:rFonts w:ascii="Palatino Linotype" w:hAnsi="Palatino Linotype"/>
          <w:b w:val="false"/>
          <w:i w:val="false"/>
          <w:caps w:val="false"/>
          <w:smallCaps w:val="false"/>
          <w:strike w:val="false"/>
          <w:dstrike w:val="false"/>
          <w:color w:val="000000"/>
          <w:sz w:val="24"/>
          <w:szCs w:val="24"/>
          <w:u w:val="none"/>
          <w:effect w:val="none"/>
          <w:shd w:fill="auto" w:val="clear"/>
        </w:rPr>
        <w:t xml:space="preserve">This distinction highlights the gap between biological understanding and current clinical utility. </w:t>
      </w:r>
      <w:r>
        <w:rPr>
          <w:rFonts w:ascii="Palatino Linotype" w:hAnsi="Palatino Linotype"/>
          <w:b w:val="false"/>
          <w:i w:val="false"/>
          <w:caps w:val="false"/>
          <w:smallCaps w:val="false"/>
          <w:strike w:val="false"/>
          <w:dstrike w:val="false"/>
          <w:color w:val="C9211E"/>
          <w:sz w:val="24"/>
          <w:szCs w:val="24"/>
          <w:u w:val="none"/>
          <w:effect w:val="none"/>
          <w:shd w:fill="FFFF00" w:val="clear"/>
        </w:rPr>
        <w:t xml:space="preserve"> Kumar et al. (2016)</w:t>
      </w:r>
      <w:r>
        <w:rPr>
          <w:rFonts w:ascii="Palatino Linotype" w:hAnsi="Palatino Linotype"/>
          <w:b w:val="false"/>
          <w:i w:val="false"/>
          <w:caps w:val="false"/>
          <w:smallCaps w:val="false"/>
          <w:strike w:val="false"/>
          <w:dstrike w:val="false"/>
          <w:color w:val="000000"/>
          <w:sz w:val="24"/>
          <w:szCs w:val="24"/>
          <w:u w:val="none"/>
          <w:effect w:val="none"/>
          <w:shd w:fill="auto" w:val="clear"/>
        </w:rPr>
        <w:t xml:space="preserve"> introduced ParsSNP, an unsupervised method that effectively distinguishes driver mutations from passengers. ParsSNP uses an expectation-maximization framework to find mutations that broadly explain tumor incidence, avoiding biases that could be introduced by predefined training labels.</w:t>
      </w:r>
      <w:r>
        <w:rPr>
          <w:rFonts w:ascii="Palatino Linotype" w:hAnsi="Palatino Linotype"/>
          <w:caps w:val="false"/>
          <w:smallCaps w:val="false"/>
          <w:strike w:val="false"/>
          <w:dstrike w:val="false"/>
          <w:color w:val="000000"/>
          <w:sz w:val="24"/>
          <w:szCs w:val="24"/>
          <w:u w:val="none"/>
          <w:effect w:val="none"/>
          <w:shd w:fill="auto" w:val="clear"/>
        </w:rPr>
        <w:t xml:space="preserve"> </w:t>
      </w:r>
      <w:r>
        <w:rPr>
          <w:rFonts w:ascii="Palatino Linotype" w:hAnsi="Palatino Linotype"/>
          <w:b w:val="false"/>
          <w:i w:val="false"/>
          <w:caps w:val="false"/>
          <w:smallCaps w:val="false"/>
          <w:strike w:val="false"/>
          <w:dstrike w:val="false"/>
          <w:color w:val="000000"/>
          <w:sz w:val="24"/>
          <w:szCs w:val="24"/>
          <w:u w:val="none"/>
          <w:effect w:val="none"/>
          <w:shd w:fill="auto" w:val="clear"/>
        </w:rPr>
        <w:t>ParsSNP outperformed five existing tools in 24 out of 25 comparisons.</w:t>
      </w:r>
      <w:r>
        <w:rPr>
          <w:rFonts w:ascii="Palatino Linotype" w:hAnsi="Palatino Linotype"/>
          <w:caps w:val="false"/>
          <w:smallCaps w:val="false"/>
          <w:strike w:val="false"/>
          <w:dstrike w:val="false"/>
          <w:color w:val="000000"/>
          <w:sz w:val="24"/>
          <w:szCs w:val="24"/>
          <w:u w:val="none"/>
          <w:effect w:val="none"/>
          <w:shd w:fill="auto" w:val="clear"/>
        </w:rPr>
        <w:t xml:space="preserve"> </w:t>
      </w:r>
      <w:r>
        <w:rPr>
          <w:rFonts w:ascii="Palatino Linotype" w:hAnsi="Palatino Linotype"/>
          <w:b w:val="false"/>
          <w:i w:val="false"/>
          <w:caps w:val="false"/>
          <w:smallCaps w:val="false"/>
          <w:strike w:val="false"/>
          <w:dstrike w:val="false"/>
          <w:color w:val="000000"/>
          <w:sz w:val="24"/>
          <w:szCs w:val="24"/>
          <w:u w:val="none"/>
          <w:effect w:val="none"/>
          <w:shd w:fill="auto" w:val="clear"/>
        </w:rPr>
        <w:t>This is a concrete example of how computational tools address the challenge of driver identification. This underscores the need for continuous drug discovery alongside improved mutation prediction.</w:t>
      </w:r>
    </w:p>
    <w:p>
      <w:pPr>
        <w:pStyle w:val="Normal"/>
        <w:jc w:val="both"/>
        <w:rPr>
          <w:rFonts w:ascii="Palatino Linotype" w:hAnsi="Palatino Linotype"/>
          <w:sz w:val="24"/>
          <w:szCs w:val="24"/>
        </w:rPr>
      </w:pPr>
      <w:r>
        <w:rPr>
          <w:sz w:val="24"/>
          <w:szCs w:val="24"/>
        </w:rPr>
      </w:r>
    </w:p>
    <w:p>
      <w:pPr>
        <w:pStyle w:val="Normal"/>
        <w:jc w:val="both"/>
        <w:rPr>
          <w:sz w:val="24"/>
          <w:szCs w:val="24"/>
        </w:rPr>
      </w:pPr>
      <w:r>
        <w:rPr>
          <w:sz w:val="24"/>
          <w:szCs w:val="24"/>
        </w:rPr>
      </w:r>
    </w:p>
    <w:p>
      <w:pPr>
        <w:pStyle w:val="Normal"/>
        <w:jc w:val="both"/>
        <w:rPr>
          <w:b/>
          <w:bCs/>
          <w:sz w:val="24"/>
          <w:szCs w:val="24"/>
        </w:rPr>
      </w:pPr>
      <w:r>
        <w:rPr>
          <w:b/>
          <w:bCs/>
          <w:sz w:val="24"/>
          <w:szCs w:val="24"/>
        </w:rPr>
        <w:t>Determining for the driver the mutations</w:t>
      </w:r>
    </w:p>
    <w:p>
      <w:pPr>
        <w:pStyle w:val="Normal"/>
        <w:jc w:val="both"/>
        <w:rPr>
          <w:sz w:val="24"/>
          <w:szCs w:val="24"/>
        </w:rPr>
      </w:pPr>
      <w:r>
        <w:rPr>
          <w:sz w:val="24"/>
          <w:szCs w:val="24"/>
        </w:rPr>
      </w:r>
    </w:p>
    <w:p>
      <w:pPr>
        <w:pStyle w:val="Normal"/>
        <w:jc w:val="both"/>
        <w:rPr>
          <w:sz w:val="24"/>
          <w:szCs w:val="24"/>
        </w:rPr>
      </w:pPr>
      <w:r>
        <w:rPr>
          <w:sz w:val="24"/>
          <w:szCs w:val="24"/>
          <w:lang w:eastAsia="de-DE"/>
        </w:rPr>
        <w:t>These mutations play a significant role in driving the development and progression of diseases, particularly cancer. Determining whether a mutation is a driver mutation involves a combination of experimental and computational approaches. Here are some common methods and considerations used in the identification of driver mutations:</w:t>
      </w:r>
    </w:p>
    <w:p>
      <w:pPr>
        <w:pStyle w:val="Normal"/>
        <w:numPr>
          <w:ilvl w:val="0"/>
          <w:numId w:val="1"/>
        </w:numPr>
        <w:jc w:val="both"/>
        <w:rPr>
          <w:sz w:val="24"/>
          <w:szCs w:val="24"/>
        </w:rPr>
      </w:pPr>
      <w:r>
        <w:rPr>
          <w:sz w:val="24"/>
          <w:szCs w:val="24"/>
          <w:lang w:eastAsia="de-DE"/>
        </w:rPr>
        <w:t>Frequency and recurrence: Driver mutations are often observed at a higher frequency and recurrence than would be expected by chance alone. Analyzing large datasets of genetic information from affected individuals can help identify mutations that occur more frequently in the affected population.</w:t>
      </w:r>
    </w:p>
    <w:p>
      <w:pPr>
        <w:pStyle w:val="Normal"/>
        <w:numPr>
          <w:ilvl w:val="0"/>
          <w:numId w:val="1"/>
        </w:numPr>
        <w:jc w:val="both"/>
        <w:rPr>
          <w:sz w:val="24"/>
          <w:szCs w:val="24"/>
        </w:rPr>
      </w:pPr>
      <w:r>
        <w:rPr>
          <w:sz w:val="24"/>
          <w:szCs w:val="24"/>
          <w:lang w:eastAsia="de-DE"/>
        </w:rPr>
        <w:t>Functional impact: Driver mutations usually have a functional impact on the protein they affect. They may result in the activation of oncogenes (genes that promote cell growth) or the inactivation of tumor suppressor genes (genes that inhibit cell growth). Experimental techniques, such as functional assays or expression studies, can help determine the functional consequences of a mutation.</w:t>
      </w:r>
    </w:p>
    <w:p>
      <w:pPr>
        <w:pStyle w:val="Normal"/>
        <w:numPr>
          <w:ilvl w:val="0"/>
          <w:numId w:val="1"/>
        </w:numPr>
        <w:jc w:val="both"/>
        <w:rPr>
          <w:sz w:val="24"/>
          <w:szCs w:val="24"/>
        </w:rPr>
      </w:pPr>
      <w:r>
        <w:rPr>
          <w:sz w:val="24"/>
          <w:szCs w:val="24"/>
          <w:lang w:eastAsia="de-DE"/>
        </w:rPr>
        <w:t>In silico prediction: Computational algorithms are used to predict the potential impact of mutations on protein structure and function. These algorithms analyze various factors such as conservation across species, protein stability, and potential disruption of functional domains to assess the likelihood of a mutation being driver or passenger (non-functional) in nature.</w:t>
      </w:r>
    </w:p>
    <w:p>
      <w:pPr>
        <w:pStyle w:val="Normal"/>
        <w:numPr>
          <w:ilvl w:val="0"/>
          <w:numId w:val="1"/>
        </w:numPr>
        <w:jc w:val="both"/>
        <w:rPr>
          <w:sz w:val="24"/>
          <w:szCs w:val="24"/>
        </w:rPr>
      </w:pPr>
      <w:r>
        <w:rPr>
          <w:sz w:val="24"/>
          <w:szCs w:val="24"/>
          <w:lang w:eastAsia="de-DE"/>
        </w:rPr>
        <w:t>Co-occurrence and mutual exclusivity: Driver mutations often co-occur with specific sets of other mutations within a given cancer type. Conversely, they may be mutually exclusive with certain other mutations, indicating functional redundancy or an alternative mechanism of action. Analyzing the patterns of mutation co-occurrence or mutual exclusivity can help identify driver mutations.</w:t>
      </w:r>
    </w:p>
    <w:p>
      <w:pPr>
        <w:pStyle w:val="Normal"/>
        <w:numPr>
          <w:ilvl w:val="0"/>
          <w:numId w:val="1"/>
        </w:numPr>
        <w:jc w:val="both"/>
        <w:rPr>
          <w:sz w:val="24"/>
          <w:szCs w:val="24"/>
        </w:rPr>
      </w:pPr>
      <w:r>
        <w:rPr>
          <w:sz w:val="24"/>
          <w:szCs w:val="24"/>
          <w:lang w:eastAsia="de-DE"/>
        </w:rPr>
        <w:t>Experimental validation: Once potential driver mutations are identified through computational and statistical analyses, experimental validation is crucial. Functional studies using cell culture models, animal models, or patient-derived samples can help confirm the functional impact and relevance of a mutation in driving disease progression.</w:t>
      </w:r>
    </w:p>
    <w:p>
      <w:pPr>
        <w:pStyle w:val="Normal"/>
        <w:jc w:val="both"/>
        <w:rPr>
          <w:sz w:val="24"/>
          <w:szCs w:val="24"/>
        </w:rPr>
      </w:pPr>
      <w:r>
        <w:rPr>
          <w:sz w:val="24"/>
          <w:szCs w:val="24"/>
          <w:lang w:eastAsia="de-DE"/>
        </w:rPr>
        <w:t>It's important to note that the identification of driver mutations is an ongoing and evolving field of research. New techniques and technologies are continually being developed to improve our understanding of the genetic basis of diseases, including cancer. Driver mutations refer to genetic alterations in a cell's DNA that confer a selective growth advantage to the cell, leading to the development or progression of cancer. In contrast, passenger mutations are random genetic alterations that do not provide a growth advantage to the cell and are merely carried along as a result of the genomic instability common in cancer cells. The criteria for identifying driver mutations include:</w:t>
      </w:r>
    </w:p>
    <w:p>
      <w:pPr>
        <w:pStyle w:val="Normal"/>
        <w:jc w:val="both"/>
        <w:rPr>
          <w:sz w:val="24"/>
          <w:szCs w:val="24"/>
          <w:lang w:eastAsia="de-DE"/>
        </w:rPr>
      </w:pPr>
      <w:r>
        <w:rPr>
          <w:sz w:val="24"/>
          <w:szCs w:val="24"/>
          <w:lang w:eastAsia="de-DE"/>
        </w:rPr>
      </w:r>
    </w:p>
    <w:p>
      <w:pPr>
        <w:pStyle w:val="Normal"/>
        <w:jc w:val="both"/>
        <w:rPr>
          <w:b/>
          <w:bCs/>
          <w:sz w:val="24"/>
          <w:szCs w:val="24"/>
        </w:rPr>
      </w:pPr>
      <w:r>
        <w:rPr>
          <w:b/>
          <w:bCs/>
          <w:sz w:val="24"/>
          <w:szCs w:val="24"/>
        </w:rPr>
        <w:t>Criteria for identifying driver mutations</w:t>
      </w:r>
    </w:p>
    <w:p>
      <w:pPr>
        <w:pStyle w:val="Normal"/>
        <w:jc w:val="both"/>
        <w:rPr>
          <w:sz w:val="24"/>
          <w:szCs w:val="24"/>
        </w:rPr>
      </w:pPr>
      <w:r>
        <w:rPr>
          <w:sz w:val="24"/>
          <w:szCs w:val="24"/>
        </w:rPr>
      </w:r>
    </w:p>
    <w:p>
      <w:pPr>
        <w:pStyle w:val="Normal"/>
        <w:jc w:val="both"/>
        <w:rPr>
          <w:sz w:val="24"/>
          <w:szCs w:val="24"/>
        </w:rPr>
      </w:pPr>
      <w:r>
        <w:rPr>
          <w:b/>
          <w:bCs/>
          <w:sz w:val="24"/>
          <w:szCs w:val="24"/>
          <w:lang w:eastAsia="de-DE"/>
        </w:rPr>
        <w:t>Frequency</w:t>
      </w:r>
      <w:r>
        <w:rPr>
          <w:sz w:val="24"/>
          <w:szCs w:val="24"/>
          <w:lang w:eastAsia="de-DE"/>
        </w:rPr>
        <w:t>: Driver mutations are typically recurrently observed in multiple patients with the same type of cancer. The significance of a specific mutation in driving cancer is suggested if it is found in a substantial portion of cases.</w:t>
      </w:r>
    </w:p>
    <w:p>
      <w:pPr>
        <w:pStyle w:val="Normal"/>
        <w:jc w:val="both"/>
        <w:rPr>
          <w:sz w:val="24"/>
          <w:szCs w:val="24"/>
        </w:rPr>
      </w:pPr>
      <w:r>
        <w:rPr>
          <w:b/>
          <w:bCs/>
          <w:sz w:val="24"/>
          <w:szCs w:val="24"/>
          <w:lang w:eastAsia="de-DE"/>
        </w:rPr>
        <w:t>Mutation Type</w:t>
      </w:r>
      <w:r>
        <w:rPr>
          <w:sz w:val="24"/>
          <w:szCs w:val="24"/>
          <w:lang w:eastAsia="de-DE"/>
        </w:rPr>
        <w:t>: Certain types of mutations, such as missense mutations leading to amino acid changes in critical protein regions, are more likely to be drivers than silent mutations or mutations in non-coding regions.</w:t>
      </w:r>
    </w:p>
    <w:p>
      <w:pPr>
        <w:pStyle w:val="Normal"/>
        <w:jc w:val="both"/>
        <w:rPr>
          <w:sz w:val="24"/>
          <w:szCs w:val="24"/>
        </w:rPr>
      </w:pPr>
      <w:r>
        <w:rPr>
          <w:b/>
          <w:bCs/>
          <w:sz w:val="24"/>
          <w:szCs w:val="24"/>
          <w:lang w:eastAsia="de-DE"/>
        </w:rPr>
        <w:t>Functional Impact</w:t>
      </w:r>
      <w:r>
        <w:rPr>
          <w:sz w:val="24"/>
          <w:szCs w:val="24"/>
          <w:lang w:eastAsia="de-DE"/>
        </w:rPr>
        <w:t>: Driver mutations often result in changes in protein function, such as constitutive activation of growth-promoting pathways or inactivation of tumor suppressors, thereby altering essential cellular processes.</w:t>
      </w:r>
    </w:p>
    <w:p>
      <w:pPr>
        <w:pStyle w:val="Normal"/>
        <w:jc w:val="both"/>
        <w:rPr>
          <w:sz w:val="24"/>
          <w:szCs w:val="24"/>
        </w:rPr>
      </w:pPr>
      <w:r>
        <w:rPr>
          <w:b/>
          <w:bCs/>
          <w:sz w:val="24"/>
          <w:szCs w:val="24"/>
          <w:lang w:eastAsia="de-DE"/>
        </w:rPr>
        <w:t>Pathway Involvement</w:t>
      </w:r>
      <w:r>
        <w:rPr>
          <w:sz w:val="24"/>
          <w:szCs w:val="24"/>
          <w:lang w:eastAsia="de-DE"/>
        </w:rPr>
        <w:t>: Driver mutations frequently affect key cellular pathways involved in cell growth, differentiation, apoptosis, and DNA repair. These mutated genes are often part of interconnected networks controlling these processes.</w:t>
      </w:r>
    </w:p>
    <w:p>
      <w:pPr>
        <w:pStyle w:val="Normal"/>
        <w:jc w:val="both"/>
        <w:rPr>
          <w:sz w:val="24"/>
          <w:szCs w:val="24"/>
        </w:rPr>
      </w:pPr>
      <w:r>
        <w:rPr>
          <w:b/>
          <w:bCs/>
          <w:sz w:val="24"/>
          <w:szCs w:val="24"/>
          <w:lang w:eastAsia="de-DE"/>
        </w:rPr>
        <w:t>Biological Relevance:</w:t>
      </w:r>
      <w:r>
        <w:rPr>
          <w:sz w:val="24"/>
          <w:szCs w:val="24"/>
          <w:lang w:eastAsia="de-DE"/>
        </w:rPr>
        <w:t xml:space="preserve"> Driver mutations tend to occur in genes with known or suspected roles in cancer-related processes, including well-known oncogenes (e.g., RAS, MYC) or tumor suppressor genes (e.g., TP53, PTEN).</w:t>
      </w:r>
    </w:p>
    <w:p>
      <w:pPr>
        <w:pStyle w:val="Normal"/>
        <w:jc w:val="both"/>
        <w:rPr>
          <w:sz w:val="24"/>
          <w:szCs w:val="24"/>
        </w:rPr>
      </w:pPr>
      <w:r>
        <w:rPr>
          <w:b/>
          <w:bCs/>
          <w:sz w:val="24"/>
          <w:szCs w:val="24"/>
          <w:lang w:eastAsia="de-DE"/>
        </w:rPr>
        <w:t>Functional Studies:</w:t>
      </w:r>
      <w:r>
        <w:rPr>
          <w:sz w:val="24"/>
          <w:szCs w:val="24"/>
          <w:lang w:eastAsia="de-DE"/>
        </w:rPr>
        <w:t xml:space="preserve"> In vitro and in vivo experiments can demonstrate the impact of a mutation on cellular behavior. Introducing a mutation into a normal cell and observing its transformation into a cancerous state provides evidence of its driver status.</w:t>
      </w:r>
    </w:p>
    <w:p>
      <w:pPr>
        <w:pStyle w:val="Normal"/>
        <w:jc w:val="both"/>
        <w:rPr>
          <w:sz w:val="24"/>
          <w:szCs w:val="24"/>
        </w:rPr>
      </w:pPr>
      <w:r>
        <w:rPr>
          <w:b/>
          <w:bCs/>
          <w:sz w:val="24"/>
          <w:szCs w:val="24"/>
          <w:lang w:eastAsia="de-DE"/>
        </w:rPr>
        <w:t>Comparative Analysis:</w:t>
      </w:r>
      <w:r>
        <w:rPr>
          <w:sz w:val="24"/>
          <w:szCs w:val="24"/>
          <w:lang w:eastAsia="de-DE"/>
        </w:rPr>
        <w:t xml:space="preserve"> Comparing the genomic landscape of cancer cells to normal cells from the same individual can reveal mutations specific to cancer and likely driving its growth.</w:t>
      </w:r>
    </w:p>
    <w:p>
      <w:pPr>
        <w:pStyle w:val="Normal"/>
        <w:jc w:val="both"/>
        <w:rPr>
          <w:sz w:val="24"/>
          <w:szCs w:val="24"/>
        </w:rPr>
      </w:pPr>
      <w:r>
        <w:rPr>
          <w:b/>
          <w:bCs/>
          <w:sz w:val="24"/>
          <w:szCs w:val="24"/>
          <w:lang w:eastAsia="de-DE"/>
        </w:rPr>
        <w:t>Evolutionary Conservation:</w:t>
      </w:r>
      <w:r>
        <w:rPr>
          <w:sz w:val="24"/>
          <w:szCs w:val="24"/>
          <w:lang w:eastAsia="de-DE"/>
        </w:rPr>
        <w:t xml:space="preserve"> Mutations in genes highly conserved across species are more likely to be drivers, indicating their importance in fundamental cellular functions.</w:t>
      </w:r>
    </w:p>
    <w:p>
      <w:pPr>
        <w:pStyle w:val="Normal"/>
        <w:jc w:val="both"/>
        <w:rPr>
          <w:sz w:val="24"/>
          <w:szCs w:val="24"/>
        </w:rPr>
      </w:pPr>
      <w:r>
        <w:rPr>
          <w:b/>
          <w:bCs/>
          <w:sz w:val="24"/>
          <w:szCs w:val="24"/>
          <w:lang w:eastAsia="de-DE"/>
        </w:rPr>
        <w:t>Mutational Burden:</w:t>
      </w:r>
      <w:r>
        <w:rPr>
          <w:sz w:val="24"/>
          <w:szCs w:val="24"/>
          <w:lang w:eastAsia="de-DE"/>
        </w:rPr>
        <w:t xml:space="preserve"> High mutational burden in a cancer genome may indicate genomic instability, although not all mutations resulting from such instability are drivers; some are passengers.</w:t>
      </w:r>
    </w:p>
    <w:p>
      <w:pPr>
        <w:pStyle w:val="Normal"/>
        <w:jc w:val="both"/>
        <w:rPr>
          <w:sz w:val="24"/>
          <w:szCs w:val="24"/>
        </w:rPr>
      </w:pPr>
      <w:r>
        <w:rPr>
          <w:b/>
          <w:bCs/>
          <w:sz w:val="24"/>
          <w:szCs w:val="24"/>
          <w:lang w:eastAsia="de-DE"/>
        </w:rPr>
        <w:t>Expression Patterns:</w:t>
      </w:r>
      <w:r>
        <w:rPr>
          <w:sz w:val="24"/>
          <w:szCs w:val="24"/>
          <w:lang w:eastAsia="de-DE"/>
        </w:rPr>
        <w:t xml:space="preserve"> Changes in gene expression patterns due to mutations can indicate driver status, such as the overexpression of oncogenes or loss of expression of tumor suppressor genes.</w:t>
      </w:r>
    </w:p>
    <w:p>
      <w:pPr>
        <w:pStyle w:val="Normal"/>
        <w:jc w:val="both"/>
        <w:rPr>
          <w:sz w:val="24"/>
          <w:szCs w:val="24"/>
        </w:rPr>
      </w:pPr>
      <w:r>
        <w:rPr>
          <w:sz w:val="24"/>
          <w:szCs w:val="24"/>
          <w:lang w:eastAsia="de-DE"/>
        </w:rPr>
        <w:t>Identifying driver mutations can be complex, often requiring multiple criteria to be considered. Advances in genomic sequencing technologies, as well as computational and experimental techniques, have significantly enhanced our ability to distinguish driver mutations from passenger mutations in cancer genomes.</w:t>
      </w:r>
    </w:p>
    <w:p>
      <w:pPr>
        <w:pStyle w:val="Normal"/>
        <w:jc w:val="both"/>
        <w:rPr>
          <w:sz w:val="24"/>
          <w:szCs w:val="24"/>
        </w:rPr>
      </w:pPr>
      <w:r>
        <w:rPr>
          <w:sz w:val="24"/>
          <w:szCs w:val="24"/>
        </w:rPr>
      </w:r>
    </w:p>
    <w:p>
      <w:pPr>
        <w:pStyle w:val="Normal"/>
        <w:jc w:val="both"/>
        <w:rPr>
          <w:b/>
          <w:bCs/>
          <w:sz w:val="24"/>
          <w:szCs w:val="24"/>
        </w:rPr>
      </w:pPr>
      <w:r>
        <w:rPr>
          <w:b/>
          <w:bCs/>
          <w:sz w:val="24"/>
          <w:szCs w:val="24"/>
        </w:rPr>
        <w:t>Potential Mutations</w:t>
      </w:r>
    </w:p>
    <w:p>
      <w:pPr>
        <w:pStyle w:val="Normal"/>
        <w:jc w:val="both"/>
        <w:rPr>
          <w:sz w:val="24"/>
          <w:szCs w:val="24"/>
        </w:rPr>
      </w:pPr>
      <w:r>
        <w:rPr>
          <w:sz w:val="24"/>
          <w:szCs w:val="24"/>
          <w:lang w:eastAsia="de-DE"/>
        </w:rPr>
        <w:t>Distinguishing between passenger and driver mutations remains a major challenge in cancer research. Some previous studies and experiences offer novel methods to identify mutations in cancer development. Questions arise regarding the effectiveness of only driver mutations or if passenger mutations can enhance their effectiveness over time. Additionally, simultaneous occurrence of driver mutations with passenger mutations and their impact on clinical outcomes pose challenges due to the heterogeneity of somatic mutations across normal and tumor cell populations (Ding et al., 2013). Strategies have been developed to understand the significance of driver mutations in genomic data, including analyzing mutation detection frequency, predicting functional influences on protein structure and function, and identifying correlations between mutations and signaling pathways. More strategies are expected to emerge as our understanding of mutations and their effects grows. For instance, ParsSNP is an unsupervised functional impact predictor that has identified many known and likely driver mutations missed by other methods (Kumar, Swamidass, and Bose, 2016). Cluster analysis is another effective method for identifying rare missense driver mutations in tumor suppressors such as PTEN, CDH1, and KEAP1, which may deactivate these proteins. Proteogenomic analysis is considered the strongest method for identifying driver genes, offering a comprehensive approach compared to sequencing alone (the NCI CPTAC et al., 2014). Genomic alterations, even single point mutations, have the potential to disrupt cellular networks, protein interactions, and biological processes, highlighting the importance of technologies like CRISPR-Cas9 for editing single point mutations without inducing double-stranded DNA breaks (Gaudelli et al., 2017).</w:t>
      </w:r>
    </w:p>
    <w:p>
      <w:pPr>
        <w:pStyle w:val="Normal"/>
        <w:jc w:val="both"/>
        <w:rPr>
          <w:lang w:eastAsia="de-DE"/>
        </w:rPr>
      </w:pPr>
      <w:r>
        <w:rPr>
          <w:lang w:eastAsia="de-DE"/>
        </w:rPr>
      </w:r>
    </w:p>
    <w:p>
      <w:pPr>
        <w:pStyle w:val="Normal"/>
        <w:jc w:val="both"/>
        <w:rPr>
          <w:b/>
          <w:bCs/>
          <w:sz w:val="24"/>
          <w:szCs w:val="24"/>
        </w:rPr>
      </w:pPr>
      <w:r>
        <w:rPr>
          <w:b/>
          <w:bCs/>
          <w:sz w:val="24"/>
          <w:szCs w:val="24"/>
          <w:lang w:eastAsia="de-DE"/>
        </w:rPr>
        <w:t>Allosteric Mutations</w:t>
      </w:r>
    </w:p>
    <w:p>
      <w:pPr>
        <w:pStyle w:val="Normal"/>
        <w:jc w:val="both"/>
        <w:rPr>
          <w:rFonts w:ascii="Palatino Linotype" w:hAnsi="Palatino Linotype"/>
          <w:sz w:val="24"/>
          <w:szCs w:val="24"/>
        </w:rPr>
      </w:pPr>
      <w:r>
        <w:rPr>
          <w:b w:val="false"/>
          <w:i w:val="false"/>
          <w:caps w:val="false"/>
          <w:smallCaps w:val="false"/>
          <w:strike w:val="false"/>
          <w:dstrike w:val="false"/>
          <w:color w:val="000000"/>
          <w:sz w:val="24"/>
          <w:szCs w:val="24"/>
          <w:u w:val="none"/>
          <w:effect w:val="none"/>
          <w:shd w:fill="auto" w:val="clear"/>
          <w:lang w:eastAsia="de-DE"/>
        </w:rPr>
        <w:t>Allosteric driver mutations are often detected in pathways linked to a protein's active site</w:t>
      </w:r>
      <w:r>
        <w:rPr>
          <w:sz w:val="24"/>
          <w:szCs w:val="24"/>
          <w:lang w:eastAsia="de-DE"/>
        </w:rPr>
        <w:t xml:space="preserve"> (Collier and Ortiz, 2013).  </w:t>
      </w:r>
      <w:r>
        <w:rPr>
          <w:b w:val="false"/>
          <w:i w:val="false"/>
          <w:caps w:val="false"/>
          <w:smallCaps w:val="false"/>
          <w:strike w:val="false"/>
          <w:dstrike w:val="false"/>
          <w:color w:val="000000"/>
          <w:sz w:val="24"/>
          <w:szCs w:val="24"/>
          <w:u w:val="none"/>
          <w:effect w:val="none"/>
          <w:shd w:fill="auto" w:val="clear"/>
          <w:lang w:eastAsia="de-DE"/>
        </w:rPr>
        <w:t>Understanding the binding process through conformational selection and population shift can elucidate how allosteric driver mutations alter signaling in cancer, integrating physicochemical principles and biological processes</w:t>
      </w:r>
      <w:r>
        <w:rPr>
          <w:sz w:val="24"/>
          <w:szCs w:val="24"/>
          <w:lang w:eastAsia="de-DE"/>
        </w:rPr>
        <w:t xml:space="preserve"> (Ma et al., 1999; Ma et al., 2009).  </w:t>
      </w:r>
      <w:r>
        <w:rPr>
          <w:b w:val="false"/>
          <w:i w:val="false"/>
          <w:caps w:val="false"/>
          <w:smallCaps w:val="false"/>
          <w:strike w:val="false"/>
          <w:dstrike w:val="false"/>
          <w:color w:val="000000"/>
          <w:sz w:val="24"/>
          <w:szCs w:val="24"/>
          <w:u w:val="none"/>
          <w:effect w:val="none"/>
          <w:shd w:fill="auto" w:val="clear"/>
          <w:lang w:eastAsia="de-DE"/>
        </w:rPr>
        <w:t>Identifying hidden driver mutations among passenger mutations is crucial for developing effective therapies.</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 xml:space="preserve">Integrating multi-omics data, including proteogenomics, offers novel tools for understanding cancer biology </w:t>
      </w:r>
      <w:r>
        <w:rPr>
          <w:sz w:val="24"/>
          <w:szCs w:val="24"/>
          <w:lang w:eastAsia="de-DE"/>
        </w:rPr>
        <w:t xml:space="preserve">(the NCI CPTAC et al., 2014; Nesvizhskii, 2014).  </w:t>
      </w:r>
      <w:r>
        <w:rPr>
          <w:b w:val="false"/>
          <w:i w:val="false"/>
          <w:caps w:val="false"/>
          <w:smallCaps w:val="false"/>
          <w:strike w:val="false"/>
          <w:dstrike w:val="false"/>
          <w:color w:val="000000"/>
          <w:sz w:val="24"/>
          <w:szCs w:val="24"/>
          <w:u w:val="none"/>
          <w:effect w:val="none"/>
          <w:shd w:fill="auto" w:val="clear"/>
          <w:lang w:eastAsia="de-DE"/>
        </w:rPr>
        <w:t>The increasing focus on allosteric mutations represents a sophisticated evolution in cancer biology, moving beyond direct active site disruption to understanding subtle conformational changes that can profoundly alter protein function and signaling. This opens a promising avenue for drug design, as allosteric modulators offer the potential for greater specificity and fewer off-target effects compared to traditional orthosteric inhibitors, addressing a significant challenge in targeted therapy. The call to investigate all mutations, including those in non-coding regions and "weak" drivers, underscores the growing appreciation for the complex, interconnected nature of cancer's mutational landscape.</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This implies that effective therapeutic strategies must consider not only individual driver mutations but also the broader mutational context and the potential for emergent resistance mechanisms arising from subtle, cooperative genetic changes.</w:t>
      </w:r>
    </w:p>
    <w:p>
      <w:pPr>
        <w:pStyle w:val="Normal"/>
        <w:jc w:val="both"/>
        <w:rPr>
          <w:sz w:val="24"/>
          <w:szCs w:val="24"/>
          <w:lang w:eastAsia="de-DE"/>
        </w:rPr>
      </w:pPr>
      <w:r>
        <w:rPr>
          <w:sz w:val="24"/>
          <w:szCs w:val="24"/>
          <w:lang w:eastAsia="de-DE"/>
        </w:rPr>
      </w:r>
    </w:p>
    <w:p>
      <w:pPr>
        <w:pStyle w:val="Normal"/>
        <w:jc w:val="both"/>
        <w:rPr>
          <w:b/>
          <w:bCs/>
          <w:sz w:val="24"/>
          <w:szCs w:val="24"/>
        </w:rPr>
      </w:pPr>
      <w:r>
        <w:rPr>
          <w:b/>
          <w:bCs/>
          <w:sz w:val="24"/>
          <w:szCs w:val="24"/>
          <w:lang w:eastAsia="de-DE"/>
        </w:rPr>
        <w:t>The Most Observed Amino Acid and Gene Mutations in Cancer</w:t>
      </w:r>
    </w:p>
    <w:p>
      <w:pPr>
        <w:pStyle w:val="Normal"/>
        <w:jc w:val="both"/>
        <w:rPr>
          <w:sz w:val="24"/>
          <w:szCs w:val="24"/>
        </w:rPr>
      </w:pPr>
      <w:r>
        <w:rPr>
          <w:sz w:val="24"/>
          <w:szCs w:val="24"/>
          <w:lang w:eastAsia="de-DE"/>
        </w:rPr>
        <w:t xml:space="preserve">Mutations in DNA vary in type and location among patients with different cancer types, even within the same cancer type. These mutations influence protein structure, function, and patient survival rates. However, the reasons why certain mutations are more prevalent in cancer remain unclear. Analysis has shown that Arginine-Histidine mutations are highly prevalent in most cancer types, occurring as both driver and passenger substitutions (White et al., 2017). Specific amino acid substitutions, such as R→Y, W→A, and V→R, are commonly observed in driver missense mutation matrices (Raphael et al., 2014). Another significant characteristic is the clustering of silent mutations around missense mutations, indicating that driver missense mutations are often surrounded by silent driver and passenger mutations. The most frequent driver mutations involve R→H amino acid substitutions, followed by R→C and R→Q substitutions. Conversely, the most common passenger mutation is E→K substitution. Some mutations are neither classified as driver nor passenger, suggesting potential roles in cancer development and progression (Anoosha, Sakthivel, and Michael Gromiha, 2016). Arginine is the most highly mutated amino acid in cancer, followed by Alanine and Glycine. Silent driver mutations are predominantly represented by Serine, followed by Threonine, Leucine, Proline, and Alanine. In contrast, silent passenger mutations are primarily dominated by Leucine. Due to the absence of synonymous codons, Methionine and Tryptophan mutations are not observed as silent mutations. Notably, 41% of EGFR driver mutations involving Leu858 show oncogenic activity (Shan et al., 2012). Additionally, mutations such as T790M in EGFR, T315I in Bcr-abl, T341I in Src, T670I in c-Kit, T334I in c-Abl, and T674I in platelet-derived growth factor receptor </w:t>
      </w:r>
      <w:r>
        <w:rPr>
          <w:sz w:val="24"/>
          <w:szCs w:val="24"/>
          <w:lang w:val="de-DE" w:eastAsia="de-DE"/>
        </w:rPr>
        <w:t>α</w:t>
      </w:r>
      <w:r>
        <w:rPr>
          <w:sz w:val="24"/>
          <w:szCs w:val="24"/>
          <w:lang w:eastAsia="de-DE"/>
        </w:rPr>
        <w:t xml:space="preserve"> stabilize the hydrophobic R-spine, leading to tumorigenesis. Kinases and Ras proteins are frequently mutated in cancer, with KRas Gly12 mutations (89%), Gly13 (9%), and Gln61 (1%) exhibiting different catalytic activities (Parker and Mattos, 2018). These mutations can significantly alter the protein landscape and are referred to as HRas, KRas, and Nras mutations. While amino acid mutations vary across cancer types, identifying similar mutations can enhance our understanding of cancer's molecular makeup. Although exact mutations may not be replicated, finding common mutations or those serving a common purpose aids in deciphering cancer's behavior. Cancer, akin to an illicit organization at the cellular level, operates according to its own rules, albeit differing between types and individuals. A thorough analysis of mutation profiles is crucial for understanding cancer's dynamics.</w:t>
      </w:r>
    </w:p>
    <w:p>
      <w:pPr>
        <w:pStyle w:val="Normal"/>
        <w:jc w:val="both"/>
        <w:rPr>
          <w:sz w:val="24"/>
          <w:szCs w:val="24"/>
          <w:lang w:eastAsia="de-DE"/>
        </w:rPr>
      </w:pPr>
      <w:r>
        <w:rPr>
          <w:sz w:val="24"/>
          <w:szCs w:val="24"/>
          <w:lang w:eastAsia="de-DE"/>
        </w:rPr>
      </w:r>
    </w:p>
    <w:p>
      <w:pPr>
        <w:pStyle w:val="Normal"/>
        <w:jc w:val="both"/>
        <w:rPr>
          <w:b/>
          <w:bCs/>
          <w:sz w:val="24"/>
          <w:szCs w:val="24"/>
        </w:rPr>
      </w:pPr>
      <w:r>
        <w:rPr>
          <w:b/>
          <w:bCs/>
          <w:sz w:val="24"/>
          <w:szCs w:val="24"/>
          <w:lang w:eastAsia="de-DE"/>
        </w:rPr>
        <w:t>Transition and Transversion Mutations</w:t>
      </w:r>
    </w:p>
    <w:p>
      <w:pPr>
        <w:pStyle w:val="Normal"/>
        <w:jc w:val="both"/>
        <w:rPr>
          <w:sz w:val="24"/>
          <w:szCs w:val="24"/>
        </w:rPr>
      </w:pPr>
      <w:r>
        <w:rPr>
          <w:sz w:val="24"/>
          <w:szCs w:val="24"/>
          <w:lang w:eastAsia="de-DE"/>
        </w:rPr>
        <w:t>Nucleotides in DNA can undergo two main types of mutations: transitions and transversions. Transitions involve the interchange of nucleotides within the same group, either purines (A ↔ G) or pyrimidines (C ↔ T). On the other hand, transversions entail the exchange of nucleotides between the two groups, purines for pyrimidines and vice versa. The impact of these mutations on amino acid substitutions varies; transitions are less likely to result in amino acid changes and are more likely to persist as "silent substitutions" in populations as single nucleotide polymorphisms (SNPs). External factors such as ultraviolet (UV) light exposure and chemotherapeutic agents can induce specific types of mutations. For instance, G-to-T transversions, which are equivalent to C-to-A mutations on the opposing DNA strand, are prevalent in smoking-associated cancers due to the effects of carcinogens present in tobacco smoke. Chemotherapeutic agents, while targeting cancer cells, can also contribute to mutation rates, as evidenced by the presence of G-to-A transition mutations at non-CpG sites, indicating therapy-related mutational signatures.</w:t>
      </w:r>
    </w:p>
    <w:p>
      <w:pPr>
        <w:pStyle w:val="Normal"/>
        <w:jc w:val="both"/>
        <w:rPr>
          <w:lang w:eastAsia="de-DE"/>
        </w:rPr>
      </w:pPr>
      <w:r>
        <w:rPr>
          <w:lang w:eastAsia="de-DE"/>
        </w:rPr>
      </w:r>
    </w:p>
    <w:p>
      <w:pPr>
        <w:pStyle w:val="Normal"/>
        <w:jc w:val="both"/>
        <w:rPr>
          <w:b/>
          <w:bCs/>
          <w:sz w:val="24"/>
          <w:szCs w:val="24"/>
        </w:rPr>
      </w:pPr>
      <w:r>
        <w:rPr>
          <w:b/>
          <w:bCs/>
          <w:sz w:val="24"/>
          <w:szCs w:val="24"/>
          <w:lang w:eastAsia="de-DE"/>
        </w:rPr>
        <w:t>Mutation Data Analysis</w:t>
      </w:r>
    </w:p>
    <w:p>
      <w:pPr>
        <w:pStyle w:val="Normal"/>
        <w:jc w:val="both"/>
        <w:rPr>
          <w:sz w:val="24"/>
          <w:szCs w:val="24"/>
        </w:rPr>
      </w:pPr>
      <w:r>
        <w:rPr>
          <w:sz w:val="24"/>
          <w:szCs w:val="24"/>
          <w:lang w:eastAsia="de-DE"/>
        </w:rPr>
        <w:t>The field of mutation data analysis is vast and complex. Comparing mutation profiles and clinical outcomes among patients is crucial for making informed decisions. Statistical analyses and the development of new algorithms are necessary to discern the significance of mutations, not only those classified as drivers or deleterious but also including passenger and tolerated mutations, which may also impact cancer progression. Since each patient's mutation profile is unique, personalized treatment strategies are essential. Data mining techniques, including sequencing samples and analyzing mutational signatures, can provide valuable insights. Analyzing mutational landscapes of specific genes, such as EGFR, KRAS, and BRAF, can help identify potential therapeutic targets and prognostic indicators. However, the effectiveness of treatments varies among patients, highlighting the importance of precision medicine.</w:t>
      </w:r>
    </w:p>
    <w:p>
      <w:pPr>
        <w:pStyle w:val="Normal"/>
        <w:jc w:val="both"/>
        <w:rPr>
          <w:lang w:eastAsia="de-DE"/>
        </w:rPr>
      </w:pPr>
      <w:r>
        <w:rPr>
          <w:lang w:eastAsia="de-DE"/>
        </w:rPr>
      </w:r>
    </w:p>
    <w:p>
      <w:pPr>
        <w:pStyle w:val="Normal"/>
        <w:jc w:val="both"/>
        <w:rPr>
          <w:b/>
          <w:bCs/>
          <w:sz w:val="24"/>
          <w:szCs w:val="24"/>
        </w:rPr>
      </w:pPr>
      <w:r>
        <w:rPr>
          <w:b/>
          <w:bCs/>
          <w:sz w:val="24"/>
          <w:szCs w:val="24"/>
          <w:lang w:eastAsia="de-DE"/>
        </w:rPr>
        <w:t>Bioinformatics Approaches</w:t>
      </w:r>
    </w:p>
    <w:p>
      <w:pPr>
        <w:pStyle w:val="Normal"/>
        <w:jc w:val="both"/>
        <w:rPr>
          <w:b/>
          <w:bCs/>
          <w:sz w:val="24"/>
          <w:szCs w:val="24"/>
        </w:rPr>
      </w:pPr>
      <w:r>
        <w:rPr>
          <w:b w:val="false"/>
          <w:i w:val="false"/>
          <w:caps w:val="false"/>
          <w:smallCaps w:val="false"/>
          <w:strike w:val="false"/>
          <w:dstrike w:val="false"/>
          <w:color w:val="000000"/>
          <w:sz w:val="24"/>
          <w:szCs w:val="24"/>
          <w:u w:val="none"/>
          <w:effect w:val="none"/>
          <w:shd w:fill="auto" w:val="clear"/>
        </w:rPr>
        <w:t>Bioinformatics plays a critical role in analyzing complex biological data, including cancer mutational profiles.</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Advanced computational tools and algorithms are necessary to effectively interpret large datasets.</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Machine learning and artificial intelligence algorithms can uncover correlations between mutations and clinical outcomes, aiding in treatment selection and prognosis.</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Various computational methods, such as PolyPhen-2, PROVEAN, SIFT, MutationTaster, CADD, and others, are used to assess mutational pathogenicity.</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While these algorithms differ in their methodologies and purposes, they are valuable for predicting the impact of mutations on protein function and structure.</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 xml:space="preserve">Novel algorithms like HIT's nDRIVE and KNMPx offer innovative approaches to identifying dysregulated transcripts and analyzing phosphorylation sites, respectively. </w:t>
      </w:r>
      <w:r>
        <w:rPr>
          <w:b w:val="false"/>
          <w:i w:val="false"/>
          <w:caps w:val="false"/>
          <w:smallCaps w:val="false"/>
          <w:strike w:val="false"/>
          <w:dstrike w:val="false"/>
          <w:color w:val="000000"/>
          <w:sz w:val="24"/>
          <w:szCs w:val="24"/>
          <w:u w:val="none"/>
          <w:effect w:val="none"/>
          <w:shd w:fill="auto" w:val="clear"/>
          <w:lang w:eastAsia="de-DE"/>
        </w:rPr>
        <w:t>The exponential growth of genomic data necessitates sophisticated bioinformatics and machine learning tools in cancer research. These computational approaches are not merely data processors; they are becoming indispensable for extracting clinically actionable insights from increasingly complex mutational landscapes, predicting treatment responses, and identifying novel therapeutic targets, thereby bridging the gap between raw data and personalized medicine.</w:t>
      </w:r>
    </w:p>
    <w:p>
      <w:pPr>
        <w:pStyle w:val="Normal"/>
        <w:jc w:val="both"/>
        <w:rPr>
          <w:b/>
          <w:bCs/>
          <w:sz w:val="24"/>
          <w:szCs w:val="24"/>
        </w:rPr>
      </w:pPr>
      <w:r>
        <w:rPr>
          <w:b/>
          <w:bCs/>
          <w:sz w:val="24"/>
          <w:szCs w:val="24"/>
          <w:lang w:eastAsia="de-DE"/>
        </w:rPr>
        <w:t>Pathogenicity Scores</w:t>
      </w:r>
    </w:p>
    <w:p>
      <w:pPr>
        <w:pStyle w:val="Normal"/>
        <w:jc w:val="both"/>
        <w:rPr/>
      </w:pPr>
      <w:r>
        <w:rPr>
          <w:b w:val="false"/>
          <w:i w:val="false"/>
          <w:caps w:val="false"/>
          <w:smallCaps w:val="false"/>
          <w:strike w:val="false"/>
          <w:dstrike w:val="false"/>
          <w:color w:val="000000"/>
          <w:sz w:val="24"/>
          <w:szCs w:val="24"/>
          <w:u w:val="none"/>
          <w:effect w:val="none"/>
          <w:shd w:fill="auto" w:val="clear"/>
          <w:lang w:val="en-US" w:eastAsia="de-DE"/>
        </w:rPr>
        <w:t>Precisely classifying mutations, especially nonsynonymous single nucleotide variants (SNVs), is crucial in clinical genetics.</w:t>
      </w:r>
      <w:r>
        <w:rPr>
          <w:caps w:val="false"/>
          <w:smallCaps w:val="false"/>
          <w:strike w:val="false"/>
          <w:dstrike w:val="false"/>
          <w:color w:val="000000"/>
          <w:sz w:val="24"/>
          <w:szCs w:val="24"/>
          <w:u w:val="none"/>
          <w:effect w:val="none"/>
          <w:shd w:fill="auto" w:val="clear"/>
          <w:lang w:val="en-US" w:eastAsia="de-DE"/>
        </w:rPr>
        <w:t xml:space="preserve"> </w:t>
      </w:r>
      <w:r>
        <w:rPr>
          <w:b w:val="false"/>
          <w:i w:val="false"/>
          <w:caps w:val="false"/>
          <w:smallCaps w:val="false"/>
          <w:strike w:val="false"/>
          <w:dstrike w:val="false"/>
          <w:color w:val="000000"/>
          <w:sz w:val="24"/>
          <w:szCs w:val="24"/>
          <w:u w:val="none"/>
          <w:effect w:val="none"/>
          <w:shd w:fill="auto" w:val="clear"/>
          <w:lang w:val="en-US" w:eastAsia="de-DE"/>
        </w:rPr>
        <w:t>Sequencing technologies enable the detection of pathogenic mutations associated with cancer development.</w:t>
      </w:r>
      <w:r>
        <w:rPr>
          <w:caps w:val="false"/>
          <w:smallCaps w:val="false"/>
          <w:strike w:val="false"/>
          <w:dstrike w:val="false"/>
          <w:color w:val="000000"/>
          <w:sz w:val="24"/>
          <w:szCs w:val="24"/>
          <w:u w:val="none"/>
          <w:effect w:val="none"/>
          <w:shd w:fill="auto" w:val="clear"/>
          <w:lang w:val="en-US" w:eastAsia="de-DE"/>
        </w:rPr>
        <w:t xml:space="preserve"> </w:t>
      </w:r>
      <w:r>
        <w:rPr>
          <w:b w:val="false"/>
          <w:i w:val="false"/>
          <w:caps w:val="false"/>
          <w:smallCaps w:val="false"/>
          <w:strike w:val="false"/>
          <w:dstrike w:val="false"/>
          <w:color w:val="000000"/>
          <w:sz w:val="24"/>
          <w:szCs w:val="24"/>
          <w:u w:val="none"/>
          <w:effect w:val="none"/>
          <w:shd w:fill="auto" w:val="clear"/>
          <w:lang w:val="en-US" w:eastAsia="de-DE"/>
        </w:rPr>
        <w:t>Pathogenicity scores provide insights into how mutations alter protein structure, tissue expression, and protein-protein interactions, aiding in the identification of driver mutations and potential therapeutic targets.</w:t>
      </w:r>
      <w:r>
        <w:rPr>
          <w:caps w:val="false"/>
          <w:smallCaps w:val="false"/>
          <w:strike w:val="false"/>
          <w:dstrike w:val="false"/>
          <w:color w:val="000000"/>
          <w:sz w:val="24"/>
          <w:szCs w:val="24"/>
          <w:u w:val="none"/>
          <w:effect w:val="none"/>
          <w:shd w:fill="auto" w:val="clear"/>
          <w:lang w:val="en-US" w:eastAsia="de-DE"/>
        </w:rPr>
        <w:t xml:space="preserve"> </w:t>
      </w:r>
      <w:r>
        <w:rPr>
          <w:b w:val="false"/>
          <w:i w:val="false"/>
          <w:caps w:val="false"/>
          <w:smallCaps w:val="false"/>
          <w:strike w:val="false"/>
          <w:dstrike w:val="false"/>
          <w:color w:val="000000"/>
          <w:sz w:val="24"/>
          <w:szCs w:val="24"/>
          <w:u w:val="none"/>
          <w:effect w:val="none"/>
          <w:shd w:fill="auto" w:val="clear"/>
          <w:lang w:val="en-US" w:eastAsia="de-DE"/>
        </w:rPr>
        <w:t>Pathogenicity scores serve as a critical bridge between raw genomic sequencing data and clinical interpretation. By quantitatively assessing the likely functional impact of a mutation, these scores enable clinicians and researchers to prioritize variants, identify potential drivers, and inform therapeutic strategies, transforming a vast dataset into actionable information.</w:t>
      </w:r>
    </w:p>
    <w:p>
      <w:pPr>
        <w:pStyle w:val="Normal"/>
        <w:jc w:val="both"/>
        <w:rPr>
          <w:rFonts w:ascii="Palatino Linotype" w:hAnsi="Palatino Linotype"/>
          <w:b/>
          <w:bCs/>
          <w:i w:val="false"/>
          <w:i w:val="false"/>
          <w:caps w:val="false"/>
          <w:smallCaps w:val="false"/>
          <w:strike w:val="false"/>
          <w:dstrike w:val="false"/>
          <w:color w:val="000000"/>
          <w:sz w:val="24"/>
          <w:u w:val="none"/>
          <w:effect w:val="none"/>
          <w:shd w:fill="auto" w:val="clear"/>
          <w:lang w:val="en-US" w:eastAsia="de-DE"/>
        </w:rPr>
      </w:pPr>
      <w:r>
        <w:rPr>
          <w:b/>
          <w:bCs/>
          <w:i w:val="false"/>
          <w:caps w:val="false"/>
          <w:smallCaps w:val="false"/>
          <w:strike w:val="false"/>
          <w:dstrike w:val="false"/>
          <w:color w:val="000000"/>
          <w:sz w:val="24"/>
          <w:u w:val="none"/>
          <w:effect w:val="none"/>
          <w:shd w:fill="auto" w:val="clear"/>
          <w:lang w:val="en-US" w:eastAsia="de-DE"/>
        </w:rPr>
      </w:r>
    </w:p>
    <w:p>
      <w:pPr>
        <w:pStyle w:val="Normal"/>
        <w:jc w:val="both"/>
        <w:rPr/>
      </w:pPr>
      <w:r>
        <w:rPr>
          <w:b/>
          <w:bCs/>
          <w:i w:val="false"/>
          <w:caps w:val="false"/>
          <w:smallCaps w:val="false"/>
          <w:strike w:val="false"/>
          <w:dstrike w:val="false"/>
          <w:color w:val="000000"/>
          <w:sz w:val="24"/>
          <w:u w:val="none"/>
          <w:effect w:val="none"/>
          <w:shd w:fill="auto" w:val="clear"/>
          <w:lang w:val="en-US" w:eastAsia="de-DE"/>
        </w:rPr>
        <w:t>SIFT (Sorting Intolerant From Tolerant)</w:t>
      </w:r>
    </w:p>
    <w:p>
      <w:pPr>
        <w:pStyle w:val="Normal"/>
        <w:jc w:val="both"/>
        <w:rPr/>
      </w:pPr>
      <w:r>
        <w:rPr>
          <w:rFonts w:ascii="Palatino" w:hAnsi="Palatino"/>
          <w:b w:val="false"/>
          <w:i w:val="false"/>
          <w:caps w:val="false"/>
          <w:smallCaps w:val="false"/>
          <w:strike w:val="false"/>
          <w:dstrike w:val="false"/>
          <w:color w:val="000000"/>
          <w:sz w:val="22"/>
          <w:u w:val="none"/>
          <w:effect w:val="none"/>
          <w:shd w:fill="auto" w:val="clear"/>
          <w:lang w:val="en-US" w:eastAsia="de-DE"/>
        </w:rPr>
        <w:t>SIFT is a computational tool that predicts the likelihood of amino acid substitutions affecting protein function based on sequence homology and the physico-chemical similarity between alternative amino acids.</w:t>
      </w:r>
      <w:r>
        <w:rPr>
          <w:rFonts w:ascii="Palatino" w:hAnsi="Palatino"/>
          <w:b w:val="false"/>
          <w:i w:val="false"/>
          <w:caps w:val="false"/>
          <w:smallCaps w:val="false"/>
          <w:strike w:val="false"/>
          <w:dstrike w:val="false"/>
          <w:color w:val="000000"/>
          <w:u w:val="none"/>
          <w:effect w:val="none"/>
          <w:shd w:fill="auto" w:val="clear"/>
          <w:lang w:val="en-US" w:eastAsia="de-DE"/>
        </w:rPr>
        <w:t xml:space="preserve"> </w:t>
      </w:r>
      <w:r>
        <w:rPr>
          <w:rFonts w:ascii="Palatino" w:hAnsi="Palatino"/>
          <w:b w:val="false"/>
          <w:i w:val="false"/>
          <w:caps w:val="false"/>
          <w:smallCaps w:val="false"/>
          <w:strike w:val="false"/>
          <w:dstrike w:val="false"/>
          <w:color w:val="000000"/>
          <w:sz w:val="22"/>
          <w:u w:val="none"/>
          <w:effect w:val="none"/>
          <w:shd w:fill="auto" w:val="clear"/>
          <w:lang w:val="en-US" w:eastAsia="de-DE"/>
        </w:rPr>
        <w:t>The tool assigns scores to mutations, with scores less than 0.05 classified as "deleterious" and scores equal to or greater than 0.05 classified as "tolerated".</w:t>
      </w:r>
      <w:r>
        <w:rPr>
          <w:rFonts w:ascii="Palatino" w:hAnsi="Palatino"/>
          <w:b w:val="false"/>
          <w:i w:val="false"/>
          <w:caps w:val="false"/>
          <w:smallCaps w:val="false"/>
          <w:strike w:val="false"/>
          <w:dstrike w:val="false"/>
          <w:color w:val="000000"/>
          <w:u w:val="none"/>
          <w:effect w:val="none"/>
          <w:shd w:fill="auto" w:val="clear"/>
          <w:lang w:val="en-US" w:eastAsia="de-DE"/>
        </w:rPr>
        <w:t xml:space="preserve"> </w:t>
      </w:r>
      <w:r>
        <w:rPr>
          <w:rFonts w:ascii="Palatino" w:hAnsi="Palatino"/>
          <w:b w:val="false"/>
          <w:i w:val="false"/>
          <w:caps w:val="false"/>
          <w:smallCaps w:val="false"/>
          <w:strike w:val="false"/>
          <w:dstrike w:val="false"/>
          <w:color w:val="000000"/>
          <w:sz w:val="22"/>
          <w:u w:val="none"/>
          <w:effect w:val="none"/>
          <w:shd w:fill="auto" w:val="clear"/>
          <w:lang w:val="en-US" w:eastAsia="de-DE"/>
        </w:rPr>
        <w:t>The fundamental principle of SIFT is evolutionary conservation; it assumes that highly conserved amino acid residues are generally of critical functional or structural importance.</w:t>
      </w:r>
      <w:r>
        <w:rPr>
          <w:rFonts w:ascii="Palatino" w:hAnsi="Palatino"/>
          <w:b w:val="false"/>
          <w:i w:val="false"/>
          <w:caps w:val="false"/>
          <w:smallCaps w:val="false"/>
          <w:strike w:val="false"/>
          <w:dstrike w:val="false"/>
          <w:color w:val="000000"/>
          <w:u w:val="none"/>
          <w:effect w:val="none"/>
          <w:shd w:fill="auto" w:val="clear"/>
          <w:lang w:val="en-US" w:eastAsia="de-DE"/>
        </w:rPr>
        <w:t xml:space="preserve"> </w:t>
      </w:r>
      <w:r>
        <w:rPr>
          <w:rFonts w:ascii="Palatino" w:hAnsi="Palatino"/>
          <w:b w:val="false"/>
          <w:i w:val="false"/>
          <w:caps w:val="false"/>
          <w:smallCaps w:val="false"/>
          <w:strike w:val="false"/>
          <w:dstrike w:val="false"/>
          <w:color w:val="000000"/>
          <w:sz w:val="22"/>
          <w:u w:val="none"/>
          <w:effect w:val="none"/>
          <w:shd w:fill="auto" w:val="clear"/>
          <w:lang w:val="en-US" w:eastAsia="de-DE"/>
        </w:rPr>
        <w:t>SIFT's strength lies in deriving position-specific conservation from multiple sequence alignments, offering advantages over generalized substitution matrices.</w:t>
      </w:r>
      <w:r>
        <w:rPr>
          <w:rFonts w:ascii="Palatino" w:hAnsi="Palatino"/>
          <w:b w:val="false"/>
          <w:i w:val="false"/>
          <w:caps w:val="false"/>
          <w:smallCaps w:val="false"/>
          <w:strike w:val="false"/>
          <w:dstrike w:val="false"/>
          <w:color w:val="000000"/>
          <w:u w:val="none"/>
          <w:effect w:val="none"/>
          <w:shd w:fill="auto" w:val="clear"/>
          <w:lang w:val="en-US" w:eastAsia="de-DE"/>
        </w:rPr>
        <w:t xml:space="preserve"> </w:t>
      </w:r>
      <w:r>
        <w:rPr>
          <w:rFonts w:ascii="Palatino" w:hAnsi="Palatino"/>
          <w:b w:val="false"/>
          <w:i w:val="false"/>
          <w:caps w:val="false"/>
          <w:smallCaps w:val="false"/>
          <w:strike w:val="false"/>
          <w:dstrike w:val="false"/>
          <w:color w:val="000000"/>
          <w:sz w:val="22"/>
          <w:u w:val="none"/>
          <w:effect w:val="none"/>
          <w:shd w:fill="auto" w:val="clear"/>
          <w:lang w:val="en-US" w:eastAsia="de-DE"/>
        </w:rPr>
        <w:t>However, its binary "deleterious/tolerated" output can oversimplify the spectrum of biological effects, leading to a less nuanced interpretation compared to multi-layered predictors. This highlights a trade-off between simplicity and comprehensive biological representation.</w:t>
      </w:r>
    </w:p>
    <w:p>
      <w:pPr>
        <w:pStyle w:val="Normal"/>
        <w:jc w:val="both"/>
        <w:rPr>
          <w:rFonts w:ascii="Palatino" w:hAnsi="Palatino"/>
          <w:b w:val="false"/>
          <w:i w:val="false"/>
          <w:i w:val="false"/>
          <w:caps w:val="false"/>
          <w:smallCaps w:val="false"/>
          <w:strike w:val="false"/>
          <w:dstrike w:val="false"/>
          <w:color w:val="000000"/>
          <w:sz w:val="22"/>
          <w:u w:val="none"/>
          <w:effect w:val="none"/>
          <w:shd w:fill="auto" w:val="clear"/>
          <w:lang w:val="en-US" w:eastAsia="de-DE"/>
        </w:rPr>
      </w:pPr>
      <w:r>
        <w:rPr>
          <w:rFonts w:ascii="Palatino" w:hAnsi="Palatino"/>
          <w:b w:val="false"/>
          <w:i w:val="false"/>
          <w:caps w:val="false"/>
          <w:smallCaps w:val="false"/>
          <w:strike w:val="false"/>
          <w:dstrike w:val="false"/>
          <w:color w:val="000000"/>
          <w:sz w:val="22"/>
          <w:u w:val="none"/>
          <w:effect w:val="none"/>
          <w:shd w:fill="auto" w:val="clear"/>
          <w:lang w:val="en-US" w:eastAsia="de-DE"/>
        </w:rPr>
      </w:r>
    </w:p>
    <w:p>
      <w:pPr>
        <w:pStyle w:val="MDPI31text"/>
        <w:jc w:val="both"/>
        <w:rPr>
          <w:sz w:val="24"/>
          <w:szCs w:val="24"/>
        </w:rPr>
      </w:pPr>
      <w:r>
        <w:rPr>
          <w:sz w:val="24"/>
          <w:szCs w:val="24"/>
        </w:rPr>
        <w:t xml:space="preserve">Table 1. The value of SIFT Algorithm.  </w:t>
      </w:r>
    </w:p>
    <w:tbl>
      <w:tblPr>
        <w:bidiVisual w:val="true"/>
        <w:tblW w:w="9130" w:type="dxa"/>
        <w:jc w:val="left"/>
        <w:tblInd w:w="1237" w:type="dxa"/>
        <w:tblLayout w:type="fixed"/>
        <w:tblCellMar>
          <w:top w:w="55" w:type="dxa"/>
          <w:left w:w="55" w:type="dxa"/>
          <w:bottom w:w="55" w:type="dxa"/>
          <w:right w:w="55" w:type="dxa"/>
        </w:tblCellMar>
        <w:tblLook w:val="04a0" w:noHBand="0" w:noVBand="1" w:firstColumn="1" w:lastRow="0" w:lastColumn="0" w:firstRow="1"/>
      </w:tblPr>
      <w:tblGrid>
        <w:gridCol w:w="3735"/>
        <w:gridCol w:w="2277"/>
        <w:gridCol w:w="3118"/>
      </w:tblGrid>
      <w:tr>
        <w:trPr/>
        <w:tc>
          <w:tcPr>
            <w:tcW w:w="3735" w:type="dxa"/>
            <w:tcBorders>
              <w:top w:val="single" w:sz="4" w:space="0" w:color="000000"/>
              <w:left w:val="single" w:sz="4" w:space="0" w:color="000000"/>
              <w:bottom w:val="single" w:sz="4" w:space="0" w:color="000000"/>
            </w:tcBorders>
            <w:shd w:color="auto" w:fill="auto" w:val="clear"/>
          </w:tcPr>
          <w:p>
            <w:pPr>
              <w:pStyle w:val="TableContents"/>
              <w:jc w:val="both"/>
              <w:rPr/>
            </w:pPr>
            <w:r>
              <w:rPr/>
              <w:t>SIFT Value Example</w:t>
            </w:r>
          </w:p>
        </w:tc>
        <w:tc>
          <w:tcPr>
            <w:tcW w:w="2277" w:type="dxa"/>
            <w:tcBorders>
              <w:top w:val="single" w:sz="4" w:space="0" w:color="000000"/>
              <w:left w:val="single" w:sz="4" w:space="0" w:color="000000"/>
              <w:bottom w:val="single" w:sz="4" w:space="0" w:color="000000"/>
            </w:tcBorders>
            <w:shd w:color="auto" w:fill="auto" w:val="clear"/>
          </w:tcPr>
          <w:p>
            <w:pPr>
              <w:pStyle w:val="TableContents"/>
              <w:jc w:val="both"/>
              <w:rPr/>
            </w:pPr>
            <w:r>
              <w:rPr/>
              <w:t>Qualitative prediction</w:t>
            </w:r>
          </w:p>
        </w:tc>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pPr>
            <w:r>
              <w:rPr/>
              <w:t>Website Score</w:t>
            </w:r>
          </w:p>
        </w:tc>
      </w:tr>
      <w:tr>
        <w:trPr/>
        <w:tc>
          <w:tcPr>
            <w:tcW w:w="3735" w:type="dxa"/>
            <w:tcBorders>
              <w:left w:val="single" w:sz="4" w:space="0" w:color="000000"/>
              <w:bottom w:val="single" w:sz="4" w:space="0" w:color="000000"/>
            </w:tcBorders>
            <w:shd w:color="auto" w:fill="auto" w:val="clear"/>
          </w:tcPr>
          <w:p>
            <w:pPr>
              <w:pStyle w:val="TableContents"/>
              <w:jc w:val="both"/>
              <w:rPr/>
            </w:pPr>
            <w:r>
              <w:rPr/>
              <w:t>Less than 0.05"Deleterious"</w:t>
            </w:r>
          </w:p>
        </w:tc>
        <w:tc>
          <w:tcPr>
            <w:tcW w:w="2277" w:type="dxa"/>
            <w:tcBorders>
              <w:left w:val="single" w:sz="4" w:space="0" w:color="000000"/>
              <w:bottom w:val="single" w:sz="4" w:space="0" w:color="000000"/>
            </w:tcBorders>
            <w:shd w:color="auto" w:fill="auto" w:val="clear"/>
          </w:tcPr>
          <w:p>
            <w:pPr>
              <w:pStyle w:val="TableContents"/>
              <w:jc w:val="both"/>
              <w:rPr/>
            </w:pPr>
            <w:r>
              <w:rPr/>
              <w:t>0.01</w:t>
            </w:r>
          </w:p>
        </w:tc>
        <w:tc>
          <w:tcPr>
            <w:tcW w:w="3118" w:type="dxa"/>
            <w:tcBorders>
              <w:left w:val="single" w:sz="4" w:space="0" w:color="000000"/>
              <w:bottom w:val="single" w:sz="4" w:space="0" w:color="000000"/>
              <w:right w:val="single" w:sz="4" w:space="0" w:color="000000"/>
            </w:tcBorders>
            <w:shd w:color="auto" w:fill="auto" w:val="clear"/>
          </w:tcPr>
          <w:p>
            <w:pPr>
              <w:pStyle w:val="TableContents"/>
              <w:jc w:val="both"/>
              <w:rPr/>
            </w:pPr>
            <w:r>
              <w:rPr/>
              <w:t>0.01</w:t>
            </w:r>
          </w:p>
        </w:tc>
      </w:tr>
      <w:tr>
        <w:trPr/>
        <w:tc>
          <w:tcPr>
            <w:tcW w:w="3735" w:type="dxa"/>
            <w:tcBorders>
              <w:left w:val="single" w:sz="4" w:space="0" w:color="000000"/>
              <w:bottom w:val="single" w:sz="4" w:space="0" w:color="000000"/>
            </w:tcBorders>
            <w:shd w:color="auto" w:fill="auto" w:val="clear"/>
          </w:tcPr>
          <w:p>
            <w:pPr>
              <w:pStyle w:val="TableContents"/>
              <w:jc w:val="both"/>
              <w:rPr/>
            </w:pPr>
            <w:r>
              <w:rPr/>
              <w:t>Greater than or equal to 0.05"Tolerated"</w:t>
            </w:r>
          </w:p>
        </w:tc>
        <w:tc>
          <w:tcPr>
            <w:tcW w:w="2277" w:type="dxa"/>
            <w:tcBorders>
              <w:left w:val="single" w:sz="4" w:space="0" w:color="000000"/>
              <w:bottom w:val="single" w:sz="4" w:space="0" w:color="000000"/>
            </w:tcBorders>
            <w:shd w:color="auto" w:fill="auto" w:val="clear"/>
          </w:tcPr>
          <w:p>
            <w:pPr>
              <w:pStyle w:val="TableContents"/>
              <w:jc w:val="both"/>
              <w:rPr/>
            </w:pPr>
            <w:r>
              <w:rPr/>
              <w:t>0.8</w:t>
            </w:r>
          </w:p>
        </w:tc>
        <w:tc>
          <w:tcPr>
            <w:tcW w:w="3118" w:type="dxa"/>
            <w:tcBorders>
              <w:left w:val="single" w:sz="4" w:space="0" w:color="000000"/>
              <w:bottom w:val="single" w:sz="4" w:space="0" w:color="000000"/>
              <w:right w:val="single" w:sz="4" w:space="0" w:color="000000"/>
            </w:tcBorders>
            <w:shd w:color="auto" w:fill="auto" w:val="clear"/>
          </w:tcPr>
          <w:p>
            <w:pPr>
              <w:pStyle w:val="TableContents"/>
              <w:jc w:val="both"/>
              <w:rPr/>
            </w:pPr>
            <w:r>
              <w:rPr/>
              <w:t>0.8</w:t>
            </w:r>
          </w:p>
        </w:tc>
      </w:tr>
    </w:tbl>
    <w:p>
      <w:pPr>
        <w:pStyle w:val="Normal"/>
        <w:jc w:val="both"/>
        <w:rPr>
          <w:sz w:val="24"/>
          <w:szCs w:val="24"/>
          <w:lang w:eastAsia="de-DE"/>
        </w:rPr>
      </w:pPr>
      <w:r>
        <w:rPr>
          <w:sz w:val="24"/>
          <w:szCs w:val="24"/>
          <w:lang w:eastAsia="de-DE"/>
        </w:rPr>
      </w:r>
    </w:p>
    <w:p>
      <w:pPr>
        <w:pStyle w:val="Normal"/>
        <w:jc w:val="both"/>
        <w:rPr>
          <w:rFonts w:ascii="Palatino" w:hAnsi="Palatino"/>
          <w:b w:val="false"/>
          <w:i w:val="false"/>
          <w:i w:val="false"/>
          <w:caps w:val="false"/>
          <w:smallCaps w:val="false"/>
          <w:strike w:val="false"/>
          <w:dstrike w:val="false"/>
          <w:color w:val="000000"/>
          <w:sz w:val="22"/>
          <w:szCs w:val="24"/>
          <w:u w:val="none"/>
          <w:effect w:val="none"/>
          <w:shd w:fill="auto" w:val="clear"/>
          <w:lang w:val="en-US" w:eastAsia="de-DE"/>
        </w:rPr>
      </w:pPr>
      <w:r>
        <w:rPr>
          <w:rFonts w:ascii="Palatino" w:hAnsi="Palatino"/>
          <w:b w:val="false"/>
          <w:i w:val="false"/>
          <w:caps w:val="false"/>
          <w:smallCaps w:val="false"/>
          <w:strike w:val="false"/>
          <w:dstrike w:val="false"/>
          <w:color w:val="000000"/>
          <w:sz w:val="22"/>
          <w:szCs w:val="24"/>
          <w:u w:val="none"/>
          <w:effect w:val="none"/>
          <w:shd w:fill="auto" w:val="clear"/>
          <w:lang w:val="en-US" w:eastAsia="de-DE"/>
        </w:rPr>
      </w:r>
    </w:p>
    <w:p>
      <w:pPr>
        <w:pStyle w:val="Normal"/>
        <w:jc w:val="both"/>
        <w:rPr>
          <w:rFonts w:ascii="Palatino Linotype" w:hAnsi="Palatino Linotype"/>
          <w:sz w:val="24"/>
          <w:szCs w:val="24"/>
        </w:rPr>
      </w:pPr>
      <w:r>
        <w:rPr>
          <w:b/>
          <w:i w:val="false"/>
          <w:caps w:val="false"/>
          <w:smallCaps w:val="false"/>
          <w:strike w:val="false"/>
          <w:dstrike w:val="false"/>
          <w:color w:val="000000"/>
          <w:sz w:val="24"/>
          <w:szCs w:val="24"/>
          <w:u w:val="none"/>
          <w:effect w:val="none"/>
          <w:shd w:fill="auto" w:val="clear"/>
          <w:lang w:eastAsia="de-DE"/>
        </w:rPr>
        <w:t>PolyPhen-2 (Polymorphism Phenotyping)</w:t>
      </w:r>
    </w:p>
    <w:p>
      <w:pPr>
        <w:pStyle w:val="Normal"/>
        <w:jc w:val="both"/>
        <w:rPr/>
      </w:pPr>
      <w:r>
        <w:rPr>
          <w:b w:val="false"/>
          <w:i w:val="false"/>
          <w:caps w:val="false"/>
          <w:smallCaps w:val="false"/>
          <w:strike w:val="false"/>
          <w:dstrike w:val="false"/>
          <w:color w:val="000000"/>
          <w:sz w:val="24"/>
          <w:szCs w:val="24"/>
          <w:u w:val="none"/>
          <w:effect w:val="none"/>
          <w:shd w:fill="auto" w:val="clear"/>
          <w:lang w:eastAsia="de-DE"/>
        </w:rPr>
        <w:t>PolyPhen is a computational tool designed to predict the impact of amino acid substitutions on protein structure and function.</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It leverages various sources of information, including protein sequence homology, Pfam annotations, and 3D structures from the Protein Data Bank (PDB).</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PolyPhen evaluates each amino acid substitution and provides a prediction of its effect.</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It offers a qualitative prediction, categorized as "probably damaging," "possibly damaging," "benign," or "unknown," along with a numerical score.</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The damaging score calculated by PolyPhen is the inverse of that calculated by SIFT, with values closer to 1 indicating a higher likelihood of deleterious effects.</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PolyPhen-2's inclusion of protein structural information (Pfam, PDB) represents a significant advancement over purely sequence-based methods.</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This multi-dimensional approach provides a more nuanced prediction of functional impact, as structural context is critical for understanding how amino acid changes affect protein stability, interactions, and enzymatic activity. The qualitative categorization further aids clinical interpretation.</w:t>
      </w:r>
    </w:p>
    <w:p>
      <w:pPr>
        <w:pStyle w:val="Normal"/>
        <w:jc w:val="both"/>
        <w:rPr>
          <w:rFonts w:ascii="Palatino Linotype" w:hAnsi="Palatino Linotype"/>
          <w:b w:val="false"/>
          <w:i w:val="false"/>
          <w:i w:val="false"/>
          <w:caps w:val="false"/>
          <w:smallCaps w:val="false"/>
          <w:strike w:val="false"/>
          <w:dstrike w:val="false"/>
          <w:color w:val="000000"/>
          <w:sz w:val="24"/>
          <w:szCs w:val="24"/>
          <w:u w:val="none"/>
          <w:effect w:val="none"/>
          <w:shd w:fill="auto" w:val="clear"/>
          <w:lang w:eastAsia="de-DE"/>
        </w:rPr>
      </w:pPr>
      <w:r>
        <w:rPr>
          <w:lang w:eastAsia="de-DE"/>
        </w:rPr>
      </w:r>
    </w:p>
    <w:tbl>
      <w:tblPr>
        <w:bidiVisual w:val="true"/>
        <w:tblW w:w="7937" w:type="dxa"/>
        <w:jc w:val="left"/>
        <w:tblInd w:w="990" w:type="dxa"/>
        <w:tblLayout w:type="fixed"/>
        <w:tblCellMar>
          <w:top w:w="55" w:type="dxa"/>
          <w:left w:w="55" w:type="dxa"/>
          <w:bottom w:w="55" w:type="dxa"/>
          <w:right w:w="55" w:type="dxa"/>
        </w:tblCellMar>
        <w:tblLook w:val="04a0" w:noHBand="0" w:noVBand="1" w:firstColumn="1" w:lastRow="0" w:lastColumn="0" w:firstRow="1"/>
      </w:tblPr>
      <w:tblGrid>
        <w:gridCol w:w="4816"/>
        <w:gridCol w:w="2151"/>
        <w:gridCol w:w="970"/>
      </w:tblGrid>
      <w:tr>
        <w:trPr/>
        <w:tc>
          <w:tcPr>
            <w:tcW w:w="4816" w:type="dxa"/>
            <w:tcBorders>
              <w:top w:val="single" w:sz="4" w:space="0" w:color="000000"/>
              <w:left w:val="single" w:sz="4" w:space="0" w:color="000000"/>
              <w:bottom w:val="single" w:sz="4" w:space="0" w:color="000000"/>
            </w:tcBorders>
            <w:shd w:color="auto" w:fill="auto" w:val="clear"/>
          </w:tcPr>
          <w:p>
            <w:pPr>
              <w:pStyle w:val="TableContents"/>
              <w:jc w:val="both"/>
              <w:rPr>
                <w:sz w:val="20"/>
                <w:szCs w:val="20"/>
              </w:rPr>
            </w:pPr>
            <w:r>
              <w:rPr>
                <w:sz w:val="20"/>
                <w:szCs w:val="20"/>
              </w:rPr>
              <w:t>Polyphen Value Example</w:t>
            </w:r>
          </w:p>
        </w:tc>
        <w:tc>
          <w:tcPr>
            <w:tcW w:w="2151" w:type="dxa"/>
            <w:tcBorders>
              <w:top w:val="single" w:sz="4" w:space="0" w:color="000000"/>
              <w:left w:val="single" w:sz="4" w:space="0" w:color="000000"/>
              <w:bottom w:val="single" w:sz="4" w:space="0" w:color="000000"/>
            </w:tcBorders>
            <w:shd w:color="auto" w:fill="auto" w:val="clear"/>
          </w:tcPr>
          <w:p>
            <w:pPr>
              <w:pStyle w:val="TableContents"/>
              <w:jc w:val="both"/>
              <w:rPr>
                <w:sz w:val="20"/>
                <w:szCs w:val="20"/>
              </w:rPr>
            </w:pPr>
            <w:r>
              <w:rPr>
                <w:sz w:val="20"/>
                <w:szCs w:val="20"/>
              </w:rPr>
              <w:t>Qualitative prediction</w:t>
            </w:r>
          </w:p>
        </w:tc>
        <w:tc>
          <w:tcPr>
            <w:tcW w:w="970"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sz w:val="20"/>
                <w:szCs w:val="20"/>
              </w:rPr>
            </w:pPr>
            <w:r>
              <w:rPr>
                <w:sz w:val="20"/>
                <w:szCs w:val="20"/>
              </w:rPr>
              <w:t>Website</w:t>
            </w:r>
          </w:p>
        </w:tc>
      </w:tr>
      <w:tr>
        <w:trPr/>
        <w:tc>
          <w:tcPr>
            <w:tcW w:w="4816" w:type="dxa"/>
            <w:tcBorders>
              <w:left w:val="single" w:sz="4" w:space="0" w:color="000000"/>
              <w:bottom w:val="single" w:sz="4" w:space="0" w:color="000000"/>
            </w:tcBorders>
            <w:shd w:color="auto" w:fill="auto" w:val="clear"/>
          </w:tcPr>
          <w:p>
            <w:pPr>
              <w:pStyle w:val="TableContents"/>
              <w:jc w:val="both"/>
              <w:rPr>
                <w:sz w:val="20"/>
                <w:szCs w:val="20"/>
              </w:rPr>
            </w:pPr>
            <w:r>
              <w:rPr>
                <w:sz w:val="20"/>
                <w:szCs w:val="20"/>
              </w:rPr>
              <w:t>Greater than 0.908</w:t>
            </w:r>
          </w:p>
        </w:tc>
        <w:tc>
          <w:tcPr>
            <w:tcW w:w="2151" w:type="dxa"/>
            <w:tcBorders>
              <w:left w:val="single" w:sz="4" w:space="0" w:color="000000"/>
              <w:bottom w:val="single" w:sz="4" w:space="0" w:color="000000"/>
            </w:tcBorders>
            <w:shd w:color="auto" w:fill="auto" w:val="clear"/>
          </w:tcPr>
          <w:p>
            <w:pPr>
              <w:pStyle w:val="TableContents"/>
              <w:jc w:val="both"/>
              <w:rPr>
                <w:sz w:val="20"/>
                <w:szCs w:val="20"/>
              </w:rPr>
            </w:pPr>
            <w:r>
              <w:rPr>
                <w:sz w:val="20"/>
                <w:szCs w:val="20"/>
              </w:rPr>
              <w:t>Probably Damaging</w:t>
            </w:r>
          </w:p>
        </w:tc>
        <w:tc>
          <w:tcPr>
            <w:tcW w:w="970" w:type="dxa"/>
            <w:tcBorders>
              <w:left w:val="single" w:sz="4" w:space="0" w:color="000000"/>
              <w:bottom w:val="single" w:sz="4" w:space="0" w:color="000000"/>
              <w:right w:val="single" w:sz="4" w:space="0" w:color="000000"/>
            </w:tcBorders>
            <w:shd w:color="auto" w:fill="auto" w:val="clear"/>
          </w:tcPr>
          <w:p>
            <w:pPr>
              <w:pStyle w:val="TableContents"/>
              <w:jc w:val="both"/>
              <w:rPr>
                <w:sz w:val="20"/>
                <w:szCs w:val="20"/>
              </w:rPr>
            </w:pPr>
            <w:r>
              <w:rPr>
                <w:sz w:val="20"/>
                <w:szCs w:val="20"/>
              </w:rPr>
              <w:t>0.95</w:t>
            </w:r>
          </w:p>
        </w:tc>
      </w:tr>
      <w:tr>
        <w:trPr/>
        <w:tc>
          <w:tcPr>
            <w:tcW w:w="4816" w:type="dxa"/>
            <w:tcBorders>
              <w:left w:val="single" w:sz="4" w:space="0" w:color="000000"/>
              <w:bottom w:val="single" w:sz="4" w:space="0" w:color="000000"/>
            </w:tcBorders>
            <w:shd w:color="auto" w:fill="auto" w:val="clear"/>
          </w:tcPr>
          <w:p>
            <w:pPr>
              <w:pStyle w:val="TableContents"/>
              <w:jc w:val="both"/>
              <w:rPr>
                <w:sz w:val="20"/>
                <w:szCs w:val="20"/>
              </w:rPr>
            </w:pPr>
            <w:r>
              <w:rPr>
                <w:sz w:val="20"/>
                <w:szCs w:val="20"/>
              </w:rPr>
              <w:t>Greater than 0.446 and less than or equal to 0.908</w:t>
            </w:r>
          </w:p>
        </w:tc>
        <w:tc>
          <w:tcPr>
            <w:tcW w:w="2151" w:type="dxa"/>
            <w:tcBorders>
              <w:left w:val="single" w:sz="4" w:space="0" w:color="000000"/>
              <w:bottom w:val="single" w:sz="4" w:space="0" w:color="000000"/>
            </w:tcBorders>
            <w:shd w:color="auto" w:fill="auto" w:val="clear"/>
          </w:tcPr>
          <w:p>
            <w:pPr>
              <w:pStyle w:val="TableContents"/>
              <w:jc w:val="both"/>
              <w:rPr>
                <w:sz w:val="20"/>
                <w:szCs w:val="20"/>
              </w:rPr>
            </w:pPr>
            <w:r>
              <w:rPr>
                <w:sz w:val="20"/>
                <w:szCs w:val="20"/>
              </w:rPr>
              <w:t>Possibly Damaging</w:t>
            </w:r>
          </w:p>
        </w:tc>
        <w:tc>
          <w:tcPr>
            <w:tcW w:w="970" w:type="dxa"/>
            <w:tcBorders>
              <w:left w:val="single" w:sz="4" w:space="0" w:color="000000"/>
              <w:bottom w:val="single" w:sz="4" w:space="0" w:color="000000"/>
              <w:right w:val="single" w:sz="4" w:space="0" w:color="000000"/>
            </w:tcBorders>
            <w:shd w:color="auto" w:fill="auto" w:val="clear"/>
          </w:tcPr>
          <w:p>
            <w:pPr>
              <w:pStyle w:val="TableContents"/>
              <w:jc w:val="both"/>
              <w:rPr>
                <w:sz w:val="20"/>
                <w:szCs w:val="20"/>
              </w:rPr>
            </w:pPr>
            <w:r>
              <w:rPr>
                <w:sz w:val="20"/>
                <w:szCs w:val="20"/>
              </w:rPr>
              <w:t>0.5</w:t>
            </w:r>
          </w:p>
        </w:tc>
      </w:tr>
      <w:tr>
        <w:trPr/>
        <w:tc>
          <w:tcPr>
            <w:tcW w:w="4816" w:type="dxa"/>
            <w:tcBorders>
              <w:left w:val="single" w:sz="4" w:space="0" w:color="000000"/>
              <w:bottom w:val="single" w:sz="4" w:space="0" w:color="000000"/>
            </w:tcBorders>
            <w:shd w:color="auto" w:fill="auto" w:val="clear"/>
          </w:tcPr>
          <w:p>
            <w:pPr>
              <w:pStyle w:val="TableContents"/>
              <w:jc w:val="both"/>
              <w:rPr>
                <w:sz w:val="20"/>
                <w:szCs w:val="20"/>
              </w:rPr>
            </w:pPr>
            <w:r>
              <w:rPr>
                <w:sz w:val="20"/>
                <w:szCs w:val="20"/>
              </w:rPr>
              <w:t>Less than or equal to 0.446</w:t>
            </w:r>
          </w:p>
        </w:tc>
        <w:tc>
          <w:tcPr>
            <w:tcW w:w="2151" w:type="dxa"/>
            <w:tcBorders>
              <w:left w:val="single" w:sz="4" w:space="0" w:color="000000"/>
              <w:bottom w:val="single" w:sz="4" w:space="0" w:color="000000"/>
            </w:tcBorders>
            <w:shd w:color="auto" w:fill="auto" w:val="clear"/>
          </w:tcPr>
          <w:p>
            <w:pPr>
              <w:pStyle w:val="TableContents"/>
              <w:jc w:val="both"/>
              <w:rPr>
                <w:sz w:val="20"/>
                <w:szCs w:val="20"/>
              </w:rPr>
            </w:pPr>
            <w:r>
              <w:rPr>
                <w:sz w:val="20"/>
                <w:szCs w:val="20"/>
              </w:rPr>
              <w:t>Benign</w:t>
            </w:r>
          </w:p>
        </w:tc>
        <w:tc>
          <w:tcPr>
            <w:tcW w:w="970" w:type="dxa"/>
            <w:tcBorders>
              <w:left w:val="single" w:sz="4" w:space="0" w:color="000000"/>
              <w:bottom w:val="single" w:sz="4" w:space="0" w:color="000000"/>
              <w:right w:val="single" w:sz="4" w:space="0" w:color="000000"/>
            </w:tcBorders>
            <w:shd w:color="auto" w:fill="auto" w:val="clear"/>
          </w:tcPr>
          <w:p>
            <w:pPr>
              <w:pStyle w:val="TableContents"/>
              <w:jc w:val="both"/>
              <w:rPr>
                <w:sz w:val="20"/>
                <w:szCs w:val="20"/>
              </w:rPr>
            </w:pPr>
            <w:r>
              <w:rPr>
                <w:sz w:val="20"/>
                <w:szCs w:val="20"/>
              </w:rPr>
              <w:t>0.25</w:t>
            </w:r>
          </w:p>
        </w:tc>
      </w:tr>
    </w:tbl>
    <w:p>
      <w:pPr>
        <w:pStyle w:val="Normal"/>
        <w:jc w:val="both"/>
        <w:rPr>
          <w:rFonts w:ascii="Palatino Linotype" w:hAnsi="Palatino Linotype"/>
          <w:b/>
          <w:i w:val="false"/>
          <w:i w:val="false"/>
          <w:caps w:val="false"/>
          <w:smallCaps w:val="false"/>
          <w:strike w:val="false"/>
          <w:dstrike w:val="false"/>
          <w:color w:val="000000"/>
          <w:sz w:val="24"/>
          <w:u w:val="none"/>
          <w:effect w:val="none"/>
          <w:shd w:fill="auto" w:val="clear"/>
        </w:rPr>
      </w:pPr>
      <w:r>
        <w:rPr/>
      </w:r>
    </w:p>
    <w:p>
      <w:pPr>
        <w:pStyle w:val="Normal"/>
        <w:jc w:val="both"/>
        <w:rPr/>
      </w:pPr>
      <w:r>
        <w:rPr>
          <w:b/>
          <w:i w:val="false"/>
          <w:caps w:val="false"/>
          <w:smallCaps w:val="false"/>
          <w:strike w:val="false"/>
          <w:dstrike w:val="false"/>
          <w:color w:val="000000"/>
          <w:sz w:val="24"/>
          <w:u w:val="none"/>
          <w:effect w:val="none"/>
          <w:shd w:fill="auto" w:val="clear"/>
        </w:rPr>
        <w:t>PROVEAN (Protein Variation Effect Analyzer)</w:t>
      </w:r>
    </w:p>
    <w:p>
      <w:pPr>
        <w:pStyle w:val="Normal"/>
        <w:jc w:val="both"/>
        <w:rPr/>
      </w:pPr>
      <w:r>
        <w:rPr>
          <w:b w:val="false"/>
          <w:i w:val="false"/>
          <w:caps w:val="false"/>
          <w:smallCaps w:val="false"/>
          <w:strike w:val="false"/>
          <w:dstrike w:val="false"/>
          <w:color w:val="000000"/>
          <w:sz w:val="24"/>
          <w:szCs w:val="24"/>
          <w:u w:val="none"/>
          <w:effect w:val="none"/>
          <w:shd w:fill="auto" w:val="clear"/>
          <w:lang w:eastAsia="de-DE"/>
        </w:rPr>
        <w:t>PROVEAN is a computational tool capable of predicting the impact of various types of protein sequence variations on protein function, including single or multiple amino acid substitutions, insertions, and deletions.</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In PROVEAN analysis, if the calculated PROVEAN score falls at or below a predefined threshold of -2.5, the protein variant is predicted to be "deleterious".</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Conversely, if the score is above this threshold, the variant is predicted to have a "neutral" effect.</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A key advantage of PROVEAN is its ability to analyze the impact of INDELs, a class of mutations common and often highly disruptive in cancer.</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This fills a critical gap left by many earlier tools that focused solely on single nucleotide variants.</w:t>
      </w:r>
      <w:r>
        <w:rPr>
          <w:caps w:val="false"/>
          <w:smallCaps w:val="false"/>
          <w:strike w:val="false"/>
          <w:dstrike w:val="false"/>
          <w:color w:val="000000"/>
          <w:sz w:val="24"/>
          <w:szCs w:val="24"/>
          <w:u w:val="none"/>
          <w:effect w:val="none"/>
          <w:shd w:fill="auto" w:val="clear"/>
          <w:lang w:eastAsia="de-DE"/>
        </w:rPr>
        <w:t xml:space="preserve"> </w:t>
      </w:r>
      <w:r>
        <w:rPr>
          <w:b w:val="false"/>
          <w:i w:val="false"/>
          <w:caps w:val="false"/>
          <w:smallCaps w:val="false"/>
          <w:strike w:val="false"/>
          <w:dstrike w:val="false"/>
          <w:color w:val="000000"/>
          <w:sz w:val="24"/>
          <w:szCs w:val="24"/>
          <w:u w:val="none"/>
          <w:effect w:val="none"/>
          <w:shd w:fill="auto" w:val="clear"/>
          <w:lang w:eastAsia="de-DE"/>
        </w:rPr>
        <w:t>This capability expands the scope of mutations that can be systematically assessed for pathogenicity, making it particularly valuable in comprehensive cancer genomic profiling (</w:t>
      </w:r>
      <w:hyperlink r:id="rId3">
        <w:r>
          <w:rPr>
            <w:rStyle w:val="Hyperlink"/>
            <w:b w:val="false"/>
            <w:i w:val="false"/>
            <w:caps w:val="false"/>
            <w:smallCaps w:val="false"/>
            <w:strike w:val="false"/>
            <w:dstrike w:val="false"/>
            <w:sz w:val="24"/>
            <w:szCs w:val="24"/>
            <w:effect w:val="none"/>
            <w:shd w:fill="auto" w:val="clear"/>
            <w:lang w:eastAsia="de-DE"/>
          </w:rPr>
          <w:t>http://provean.jcvi.org/about.php</w:t>
        </w:r>
      </w:hyperlink>
      <w:r>
        <w:rPr>
          <w:b w:val="false"/>
          <w:i w:val="false"/>
          <w:caps w:val="false"/>
          <w:smallCaps w:val="false"/>
          <w:strike w:val="false"/>
          <w:dstrike w:val="false"/>
          <w:color w:val="000000"/>
          <w:sz w:val="24"/>
          <w:szCs w:val="24"/>
          <w:u w:val="none"/>
          <w:effect w:val="none"/>
          <w:shd w:fill="auto" w:val="clear"/>
          <w:lang w:eastAsia="de-DE"/>
        </w:rPr>
        <w:t>).</w:t>
      </w:r>
    </w:p>
    <w:p>
      <w:pPr>
        <w:pStyle w:val="Normal"/>
        <w:jc w:val="both"/>
        <w:rPr>
          <w:rFonts w:ascii="Google Sans;sans-serif" w:hAnsi="Google Sans;sans-serif"/>
          <w:b/>
          <w:i w:val="false"/>
          <w:i w:val="false"/>
          <w:caps w:val="false"/>
          <w:smallCaps w:val="false"/>
          <w:strike w:val="false"/>
          <w:dstrike w:val="false"/>
          <w:color w:val="000000"/>
          <w:sz w:val="24"/>
          <w:u w:val="none"/>
          <w:effect w:val="none"/>
          <w:shd w:fill="auto" w:val="clear"/>
        </w:rPr>
      </w:pPr>
      <w:r>
        <w:rPr>
          <w:rFonts w:ascii="Google Sans;sans-serif" w:hAnsi="Google Sans;sans-serif"/>
          <w:b/>
          <w:i w:val="false"/>
          <w:caps w:val="false"/>
          <w:smallCaps w:val="false"/>
          <w:strike w:val="false"/>
          <w:dstrike w:val="false"/>
          <w:color w:val="000000"/>
          <w:sz w:val="24"/>
          <w:u w:val="none"/>
          <w:effect w:val="none"/>
          <w:shd w:fill="auto" w:val="clear"/>
        </w:rPr>
      </w:r>
    </w:p>
    <w:p>
      <w:pPr>
        <w:pStyle w:val="Normal"/>
        <w:jc w:val="both"/>
        <w:rPr>
          <w:sz w:val="24"/>
          <w:szCs w:val="24"/>
          <w:lang w:eastAsia="de-DE"/>
        </w:rPr>
      </w:pPr>
      <w:r>
        <w:rPr>
          <w:sz w:val="24"/>
          <w:szCs w:val="24"/>
          <w:lang w:eastAsia="de-DE"/>
        </w:rPr>
      </w:r>
    </w:p>
    <w:p>
      <w:pPr>
        <w:pStyle w:val="Normal"/>
        <w:jc w:val="both"/>
        <w:rPr>
          <w:lang w:eastAsia="de-DE"/>
        </w:rPr>
      </w:pPr>
      <w:r>
        <w:rPr>
          <w:lang w:eastAsia="de-DE"/>
        </w:rPr>
        <w:drawing>
          <wp:anchor behindDoc="0" distT="0" distB="0" distL="0" distR="0" simplePos="0" locked="0" layoutInCell="0" allowOverlap="1" relativeHeight="3">
            <wp:simplePos x="0" y="0"/>
            <wp:positionH relativeFrom="column">
              <wp:posOffset>901065</wp:posOffset>
            </wp:positionH>
            <wp:positionV relativeFrom="paragraph">
              <wp:posOffset>122555</wp:posOffset>
            </wp:positionV>
            <wp:extent cx="4963160" cy="21399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4"/>
                    <a:srcRect l="-105" t="-244" r="-105" b="-244"/>
                    <a:stretch>
                      <a:fillRect/>
                    </a:stretch>
                  </pic:blipFill>
                  <pic:spPr bwMode="auto">
                    <a:xfrm>
                      <a:off x="0" y="0"/>
                      <a:ext cx="4963160" cy="2139950"/>
                    </a:xfrm>
                    <a:prstGeom prst="rect">
                      <a:avLst/>
                    </a:prstGeom>
                    <a:ln w="6350">
                      <a:solidFill>
                        <a:srgbClr val="000000"/>
                      </a:solidFill>
                    </a:ln>
                  </pic:spPr>
                </pic:pic>
              </a:graphicData>
            </a:graphic>
          </wp:anchor>
        </w:drawing>
      </w:r>
    </w:p>
    <w:p>
      <w:pPr>
        <w:pStyle w:val="MDPI21heading1"/>
        <w:ind w:hanging="0" w:left="2608"/>
        <w:rPr/>
      </w:pPr>
      <w:r>
        <w:rPr/>
      </w:r>
    </w:p>
    <w:p>
      <w:pPr>
        <w:pStyle w:val="MDPI21heading1"/>
        <w:ind w:hanging="0" w:left="2608"/>
        <w:rPr/>
      </w:pPr>
      <w:r>
        <w:rPr>
          <w:sz w:val="18"/>
          <w:szCs w:val="18"/>
        </w:rPr>
        <w:tab/>
        <w:tab/>
        <w:tab/>
        <w:t>Figure 2. PROVEAN Algorithm Score.</w:t>
      </w:r>
    </w:p>
    <w:p>
      <w:pPr>
        <w:pStyle w:val="MDPI21heading1"/>
        <w:ind w:hanging="0" w:left="2608"/>
        <w:rPr>
          <w:rFonts w:ascii="Google Sans;sans-serif" w:hAnsi="Google Sans;sans-serif"/>
          <w:b/>
          <w:i w:val="false"/>
          <w:i w:val="false"/>
          <w:caps w:val="false"/>
          <w:smallCaps w:val="false"/>
          <w:strike w:val="false"/>
          <w:dstrike w:val="false"/>
          <w:color w:val="000000"/>
          <w:sz w:val="18"/>
          <w:szCs w:val="18"/>
          <w:u w:val="none"/>
          <w:effect w:val="none"/>
          <w:shd w:fill="auto" w:val="clear"/>
        </w:rPr>
      </w:pPr>
      <w:r>
        <w:rPr>
          <w:rFonts w:ascii="Google Sans;sans-serif" w:hAnsi="Google Sans;sans-serif"/>
          <w:b/>
          <w:i w:val="false"/>
          <w:caps w:val="false"/>
          <w:smallCaps w:val="false"/>
          <w:strike w:val="false"/>
          <w:dstrike w:val="false"/>
          <w:color w:val="000000"/>
          <w:sz w:val="18"/>
          <w:szCs w:val="18"/>
          <w:u w:val="none"/>
          <w:effect w:val="none"/>
          <w:shd w:fill="auto" w:val="clear"/>
        </w:rPr>
      </w:r>
    </w:p>
    <w:p>
      <w:pPr>
        <w:pStyle w:val="Normal"/>
        <w:jc w:val="both"/>
        <w:rPr>
          <w:rFonts w:ascii="Google Sans;sans-serif" w:hAnsi="Google Sans;sans-serif"/>
          <w:b/>
          <w:i w:val="false"/>
          <w:i w:val="false"/>
          <w:caps w:val="false"/>
          <w:smallCaps w:val="false"/>
          <w:strike w:val="false"/>
          <w:dstrike w:val="false"/>
          <w:color w:val="000000"/>
          <w:sz w:val="24"/>
          <w:u w:val="none"/>
          <w:effect w:val="none"/>
          <w:shd w:fill="auto" w:val="clear"/>
        </w:rPr>
      </w:pPr>
      <w:r>
        <w:rPr>
          <w:rFonts w:ascii="Google Sans;sans-serif" w:hAnsi="Google Sans;sans-serif"/>
          <w:b/>
          <w:i w:val="false"/>
          <w:caps w:val="false"/>
          <w:smallCaps w:val="false"/>
          <w:strike w:val="false"/>
          <w:dstrike w:val="false"/>
          <w:color w:val="000000"/>
          <w:sz w:val="24"/>
          <w:u w:val="none"/>
          <w:effect w:val="none"/>
          <w:shd w:fill="auto" w:val="clear"/>
        </w:rPr>
      </w:r>
    </w:p>
    <w:p>
      <w:pPr>
        <w:pStyle w:val="Normal"/>
        <w:jc w:val="both"/>
        <w:rPr>
          <w:rFonts w:ascii="Palatino Linotype" w:hAnsi="Palatino Linotype"/>
          <w:sz w:val="24"/>
          <w:szCs w:val="24"/>
        </w:rPr>
      </w:pPr>
      <w:r>
        <w:rPr>
          <w:b/>
          <w:i w:val="false"/>
          <w:caps w:val="false"/>
          <w:smallCaps w:val="false"/>
          <w:strike w:val="false"/>
          <w:dstrike w:val="false"/>
          <w:color w:val="000000"/>
          <w:sz w:val="24"/>
          <w:szCs w:val="24"/>
          <w:u w:val="none"/>
          <w:effect w:val="none"/>
          <w:shd w:fill="auto" w:val="clear"/>
        </w:rPr>
        <w:t>MutationAssessor</w:t>
      </w:r>
    </w:p>
    <w:p>
      <w:pPr>
        <w:pStyle w:val="Normal"/>
        <w:jc w:val="both"/>
        <w:rPr/>
      </w:pPr>
      <w:r>
        <w:rPr>
          <w:b w:val="false"/>
          <w:i w:val="false"/>
          <w:caps w:val="false"/>
          <w:smallCaps w:val="false"/>
          <w:strike w:val="false"/>
          <w:dstrike w:val="false"/>
          <w:color w:val="000000"/>
          <w:sz w:val="24"/>
          <w:szCs w:val="24"/>
          <w:u w:val="none"/>
          <w:effect w:val="none"/>
          <w:shd w:fill="auto" w:val="clear"/>
        </w:rPr>
        <w:t>MutationAssessor is a tool that predicts the functional impact of amino acid substitutions based on the conservation of the affected amino acid in protein homologs.</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The tool assigns scores to mutations; higher scores indicate a higher likelihood of being deleterious.</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Scores are categorized as 'neutral', 'low', 'medium', and 'high', with values closer to 1 indicating high deleteriousness and values closer to 0 indicating a neutral effect.</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MutationAssessor's multi-layered qualitative scoring system (from neutral to high) offers a more granular assessment of pathogenicity compared to binary predictions.</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 xml:space="preserve">This allows for better prioritization of variants, especially in research settings where subtle effects may be of interest, and provides a more intuitive scale for the potential impact of a mutation </w:t>
      </w:r>
      <w:r>
        <w:rPr>
          <w:b w:val="false"/>
          <w:i w:val="false"/>
          <w:caps w:val="false"/>
          <w:smallCaps w:val="false"/>
          <w:strike w:val="false"/>
          <w:dstrike w:val="false"/>
          <w:color w:val="000000"/>
          <w:sz w:val="24"/>
          <w:szCs w:val="24"/>
          <w:u w:val="none"/>
          <w:effect w:val="none"/>
          <w:shd w:fill="auto" w:val="clear"/>
          <w:lang w:eastAsia="de-DE"/>
        </w:rPr>
        <w:t>(</w:t>
      </w:r>
      <w:hyperlink r:id="rId5">
        <w:r>
          <w:rPr>
            <w:rStyle w:val="Hyperlink"/>
            <w:b w:val="false"/>
            <w:i w:val="false"/>
            <w:caps w:val="false"/>
            <w:smallCaps w:val="false"/>
            <w:strike w:val="false"/>
            <w:dstrike w:val="false"/>
            <w:color w:val="000000"/>
            <w:sz w:val="24"/>
            <w:szCs w:val="24"/>
            <w:u w:val="none"/>
            <w:effect w:val="none"/>
            <w:shd w:fill="auto" w:val="clear"/>
            <w:lang w:eastAsia="de-DE"/>
          </w:rPr>
          <w:t>http://mutationassessor.org/r3/</w:t>
        </w:r>
      </w:hyperlink>
      <w:r>
        <w:rPr>
          <w:b w:val="false"/>
          <w:i w:val="false"/>
          <w:caps w:val="false"/>
          <w:smallCaps w:val="false"/>
          <w:strike w:val="false"/>
          <w:dstrike w:val="false"/>
          <w:color w:val="000000"/>
          <w:sz w:val="24"/>
          <w:szCs w:val="24"/>
          <w:u w:val="none"/>
          <w:effect w:val="none"/>
          <w:shd w:fill="auto" w:val="clear"/>
          <w:lang w:eastAsia="de-DE"/>
        </w:rPr>
        <w:t>)</w:t>
      </w:r>
      <w:r>
        <w:rPr>
          <w:b w:val="false"/>
          <w:i w:val="false"/>
          <w:caps w:val="false"/>
          <w:smallCaps w:val="false"/>
          <w:strike w:val="false"/>
          <w:dstrike w:val="false"/>
          <w:color w:val="000000"/>
          <w:sz w:val="24"/>
          <w:szCs w:val="24"/>
          <w:u w:val="none"/>
          <w:effect w:val="none"/>
          <w:shd w:fill="auto" w:val="clear"/>
        </w:rPr>
        <w:t>.</w:t>
      </w:r>
    </w:p>
    <w:p>
      <w:pPr>
        <w:pStyle w:val="Normal"/>
        <w:jc w:val="both"/>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r>
    </w:p>
    <w:p>
      <w:pPr>
        <w:pStyle w:val="Normal"/>
        <w:jc w:val="both"/>
        <w:rPr/>
      </w:pPr>
      <w:r>
        <w:rPr>
          <w:b/>
          <w:i w:val="false"/>
          <w:caps w:val="false"/>
          <w:smallCaps w:val="false"/>
          <w:strike w:val="false"/>
          <w:dstrike w:val="false"/>
          <w:color w:val="000000"/>
          <w:sz w:val="24"/>
          <w:szCs w:val="24"/>
          <w:u w:val="none"/>
          <w:effect w:val="none"/>
          <w:shd w:fill="auto" w:val="clear"/>
        </w:rPr>
        <w:t>REVEL (Rare Exome Variant Ensemble Learner)</w:t>
      </w:r>
    </w:p>
    <w:p>
      <w:pPr>
        <w:pStyle w:val="Normal"/>
        <w:jc w:val="both"/>
        <w:rPr/>
      </w:pPr>
      <w:r>
        <w:rPr>
          <w:b w:val="false"/>
          <w:i w:val="false"/>
          <w:caps w:val="false"/>
          <w:smallCaps w:val="false"/>
          <w:strike w:val="false"/>
          <w:dstrike w:val="false"/>
          <w:color w:val="000000"/>
          <w:sz w:val="24"/>
          <w:szCs w:val="24"/>
          <w:u w:val="none"/>
          <w:effect w:val="none"/>
          <w:shd w:fill="auto" w:val="clear"/>
        </w:rPr>
        <w:t>REVEL is another method used for evaluating the pathogenicity of missense variants.</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It integrates multiple scores ranging from 0 to 1; variants with higher scores are more likely to be pathogenic.</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Variants with scores above 0.5 are classified as 'likely disease causing', while those below 0.5 are classified as 'likely benign'.</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REVEL is an ensemble method that combines scores from 13 individual tools (e.g., MutPred, PolyPhen-2, SIFT, PROVEAN, MutationAssessor) to predict the pathogenicity of missense variants.</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REVEL exemplifies the growing trend towards ensemble methods in variant pathogenicity prediction. By integrating diverse signals from multiple individual tools, REVEL aims to overcome the limitations and biases of single predictors and achieve more robust and reliable predictions, particularly for rare variants where evidence may be sparse. This meta-analysis approach represents a mature stage in the development of predictive algorithms.</w:t>
      </w:r>
    </w:p>
    <w:p>
      <w:pPr>
        <w:pStyle w:val="Normal"/>
        <w:jc w:val="both"/>
        <w:rPr>
          <w:rFonts w:ascii="Palatino Linotype" w:hAnsi="Palatino Linotype"/>
          <w:b/>
          <w:i w:val="false"/>
          <w:i w:val="false"/>
          <w:caps w:val="false"/>
          <w:smallCaps w:val="false"/>
          <w:strike w:val="false"/>
          <w:dstrike w:val="false"/>
          <w:color w:val="000000"/>
          <w:sz w:val="24"/>
          <w:szCs w:val="24"/>
          <w:u w:val="none"/>
          <w:effect w:val="none"/>
          <w:shd w:fill="auto" w:val="clear"/>
        </w:rPr>
      </w:pPr>
      <w:r>
        <w:rPr>
          <w:b/>
          <w:i w:val="false"/>
          <w:caps w:val="false"/>
          <w:smallCaps w:val="false"/>
          <w:strike w:val="false"/>
          <w:dstrike w:val="false"/>
          <w:color w:val="000000"/>
          <w:sz w:val="24"/>
          <w:szCs w:val="24"/>
          <w:u w:val="none"/>
          <w:effect w:val="none"/>
          <w:shd w:fill="auto" w:val="clear"/>
        </w:rPr>
      </w:r>
    </w:p>
    <w:p>
      <w:pPr>
        <w:pStyle w:val="Normal"/>
        <w:jc w:val="both"/>
        <w:rPr>
          <w:sz w:val="24"/>
          <w:szCs w:val="24"/>
        </w:rPr>
      </w:pPr>
      <w:r>
        <w:rPr>
          <w:b/>
          <w:i w:val="false"/>
          <w:caps w:val="false"/>
          <w:smallCaps w:val="false"/>
          <w:strike w:val="false"/>
          <w:dstrike w:val="false"/>
          <w:color w:val="000000"/>
          <w:sz w:val="24"/>
          <w:szCs w:val="24"/>
          <w:u w:val="none"/>
          <w:effect w:val="none"/>
          <w:shd w:fill="auto" w:val="clear"/>
        </w:rPr>
        <w:t>MetaLR</w:t>
      </w:r>
    </w:p>
    <w:p>
      <w:pPr>
        <w:pStyle w:val="Normal"/>
        <w:jc w:val="both"/>
        <w:rPr>
          <w:rFonts w:ascii="Palatino Linotype" w:hAnsi="Palatino Linotype"/>
          <w:sz w:val="24"/>
        </w:rPr>
      </w:pPr>
      <w:r>
        <w:rPr>
          <w:b w:val="false"/>
          <w:i w:val="false"/>
          <w:caps w:val="false"/>
          <w:smallCaps w:val="false"/>
          <w:strike w:val="false"/>
          <w:dstrike w:val="false"/>
          <w:color w:val="000000"/>
          <w:sz w:val="24"/>
          <w:szCs w:val="24"/>
          <w:u w:val="none"/>
          <w:effect w:val="none"/>
          <w:shd w:fill="auto" w:val="clear"/>
        </w:rPr>
        <w:t>MetaLR is a predictive tool that uses logistic regression to integrate nine independent variant deleteriousness scores (ranging from 0 to 1) and allele frequency information to predict the deleteriousness of missense variants.</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Higher MetaLR scores indicate a greater likelihood of the variant being deleterious.</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MetaLR's unique contribution lies in its statistical integration of not only multiple pathogenicity scores but also critical allele frequency data.</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The explicit inclusion of allele frequency is a crucial improvement, as rare variants are inherently more likely to be pathogenic. This reflects a more sophisticated understanding of population genetics in variant interpretation and enhances the clinical relevance of its predictions.</w:t>
      </w:r>
    </w:p>
    <w:p>
      <w:pPr>
        <w:pStyle w:val="Normal"/>
        <w:jc w:val="both"/>
        <w:rPr>
          <w:b w:val="false"/>
          <w:i w:val="false"/>
          <w:i w:val="false"/>
          <w:caps w:val="false"/>
          <w:smallCaps w:val="false"/>
          <w:strike w:val="false"/>
          <w:dstrike w:val="false"/>
          <w:color w:val="000000"/>
          <w:sz w:val="24"/>
          <w:szCs w:val="24"/>
          <w:u w:val="none"/>
          <w:effect w:val="none"/>
          <w:shd w:fill="auto" w:val="clear"/>
        </w:rPr>
      </w:pPr>
      <w:r>
        <w:rPr>
          <w:b w:val="false"/>
          <w:i w:val="false"/>
          <w:caps w:val="false"/>
          <w:smallCaps w:val="false"/>
          <w:strike w:val="false"/>
          <w:dstrike w:val="false"/>
          <w:color w:val="000000"/>
          <w:sz w:val="24"/>
          <w:szCs w:val="24"/>
          <w:u w:val="none"/>
          <w:effect w:val="none"/>
          <w:shd w:fill="auto" w:val="clear"/>
        </w:rPr>
      </w:r>
    </w:p>
    <w:p>
      <w:pPr>
        <w:pStyle w:val="Normal"/>
        <w:jc w:val="both"/>
        <w:rPr/>
      </w:pPr>
      <w:r>
        <w:rPr>
          <w:b/>
          <w:i w:val="false"/>
          <w:caps w:val="false"/>
          <w:smallCaps w:val="false"/>
          <w:strike w:val="false"/>
          <w:dstrike w:val="false"/>
          <w:color w:val="000000"/>
          <w:sz w:val="24"/>
          <w:u w:val="none"/>
          <w:effect w:val="none"/>
          <w:shd w:fill="auto" w:val="clear"/>
        </w:rPr>
        <w:t>Comparative Analysis of Algorithms</w:t>
      </w:r>
    </w:p>
    <w:p>
      <w:pPr>
        <w:pStyle w:val="Normal"/>
        <w:jc w:val="both"/>
        <w:rPr>
          <w:rFonts w:ascii="Palatino Linotype" w:hAnsi="Palatino Linotype"/>
          <w:sz w:val="24"/>
        </w:rPr>
      </w:pPr>
      <w:r>
        <w:rPr>
          <w:b w:val="false"/>
          <w:i w:val="false"/>
          <w:caps w:val="false"/>
          <w:smallCaps w:val="false"/>
          <w:strike w:val="false"/>
          <w:dstrike w:val="false"/>
          <w:color w:val="000000"/>
          <w:sz w:val="24"/>
          <w:szCs w:val="24"/>
          <w:u w:val="none"/>
          <w:effect w:val="none"/>
          <w:shd w:fill="auto" w:val="clear"/>
        </w:rPr>
        <w:t>The inherent variability and sometimes low concordance among different pathogenicity prediction algorithms underscore the ongoing challenges in achieving universal accuracy.</w:t>
      </w:r>
      <w:r>
        <w:rPr>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 xml:space="preserve">This necessitates a cautious, multi-tool approach in clinical interpretation, emphasizing that these scores are supportive evidence rather than definitive diagnoses. The trend towards ensemble methods is a direct response to this challenge, aiming for increased robustness, but continuous research is required to address inherent biases and improve predictive power across the full spectrum of variants. The following table aims to help medical professionals and researchers better understand the nuances of these tools by summarizing their key features, advantages, and limitations: </w:t>
      </w:r>
    </w:p>
    <w:p>
      <w:pPr>
        <w:pStyle w:val="BodyText"/>
        <w:bidi w:val="0"/>
        <w:spacing w:lineRule="auto" w:line="326" w:before="0" w:after="0"/>
        <w:ind w:hanging="0" w:left="0" w:right="0"/>
        <w:rPr>
          <w:rFonts w:ascii="Google Sans Text;sans-serif" w:hAnsi="Google Sans Text;sans-serif"/>
          <w:b/>
          <w:i w:val="false"/>
          <w:i w:val="false"/>
          <w:caps w:val="false"/>
          <w:smallCaps w:val="false"/>
          <w:strike w:val="false"/>
          <w:dstrike w:val="false"/>
          <w:color w:val="000000"/>
          <w:sz w:val="22"/>
          <w:u w:val="none"/>
          <w:effect w:val="none"/>
          <w:shd w:fill="auto" w:val="clear"/>
        </w:rPr>
      </w:pPr>
      <w:r>
        <w:rPr>
          <w:rFonts w:ascii="Google Sans Text;sans-serif" w:hAnsi="Google Sans Text;sans-serif"/>
          <w:b/>
          <w:i w:val="false"/>
          <w:caps w:val="false"/>
          <w:smallCaps w:val="false"/>
          <w:strike w:val="false"/>
          <w:dstrike w:val="false"/>
          <w:color w:val="000000"/>
          <w:sz w:val="18"/>
          <w:szCs w:val="18"/>
          <w:u w:val="none"/>
          <w:effect w:val="none"/>
          <w:shd w:fill="auto" w:val="clear"/>
        </w:rPr>
        <w:t>Table 1: Comparative Analysis of Key Pathogenicity Prediction Algorithms</w:t>
      </w:r>
    </w:p>
    <w:tbl>
      <w:tblPr>
        <w:bidiVisual w:val="true"/>
        <w:tblW w:w="10245" w:type="dxa"/>
        <w:jc w:val="left"/>
        <w:tblInd w:w="28" w:type="dxa"/>
        <w:tblLayout w:type="fixed"/>
        <w:tblCellMar>
          <w:top w:w="28" w:type="dxa"/>
          <w:left w:w="28" w:type="dxa"/>
          <w:bottom w:w="28" w:type="dxa"/>
          <w:right w:w="28" w:type="dxa"/>
        </w:tblCellMar>
      </w:tblPr>
      <w:tblGrid>
        <w:gridCol w:w="1975"/>
        <w:gridCol w:w="1474"/>
        <w:gridCol w:w="1466"/>
        <w:gridCol w:w="1699"/>
        <w:gridCol w:w="2136"/>
        <w:gridCol w:w="1494"/>
      </w:tblGrid>
      <w:tr>
        <w:trPr/>
        <w:tc>
          <w:tcPr>
            <w:tcW w:w="197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i w:val="false"/>
                <w:i w:val="false"/>
                <w:caps w:val="false"/>
                <w:smallCaps w:val="false"/>
                <w:strike w:val="false"/>
                <w:dstrike w:val="false"/>
                <w:color w:val="000000"/>
                <w:sz w:val="18"/>
                <w:szCs w:val="18"/>
                <w:u w:val="none"/>
                <w:effect w:val="none"/>
                <w:shd w:fill="auto" w:val="clear"/>
              </w:rPr>
            </w:pPr>
            <w:r>
              <w:rPr>
                <w:rFonts w:ascii="Palatino" w:hAnsi="Palatino"/>
                <w:b/>
                <w:i w:val="false"/>
                <w:caps w:val="false"/>
                <w:smallCaps w:val="false"/>
                <w:strike w:val="false"/>
                <w:dstrike w:val="false"/>
                <w:color w:val="000000"/>
                <w:sz w:val="18"/>
                <w:szCs w:val="18"/>
                <w:u w:val="none"/>
                <w:effect w:val="none"/>
                <w:shd w:fill="auto" w:val="clear"/>
              </w:rPr>
              <w:t>Algorithm Name</w:t>
            </w:r>
          </w:p>
        </w:tc>
        <w:tc>
          <w:tcPr>
            <w:tcW w:w="147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i w:val="false"/>
                <w:i w:val="false"/>
                <w:caps w:val="false"/>
                <w:smallCaps w:val="false"/>
                <w:strike w:val="false"/>
                <w:dstrike w:val="false"/>
                <w:color w:val="000000"/>
                <w:sz w:val="18"/>
                <w:szCs w:val="18"/>
                <w:u w:val="none"/>
                <w:effect w:val="none"/>
                <w:shd w:fill="auto" w:val="clear"/>
              </w:rPr>
            </w:pPr>
            <w:r>
              <w:rPr>
                <w:rFonts w:ascii="Palatino" w:hAnsi="Palatino"/>
                <w:b/>
                <w:i w:val="false"/>
                <w:caps w:val="false"/>
                <w:smallCaps w:val="false"/>
                <w:strike w:val="false"/>
                <w:dstrike w:val="false"/>
                <w:color w:val="000000"/>
                <w:sz w:val="18"/>
                <w:szCs w:val="18"/>
                <w:u w:val="none"/>
                <w:effect w:val="none"/>
                <w:shd w:fill="auto" w:val="clear"/>
              </w:rPr>
              <w:t>Core Principle</w:t>
            </w:r>
          </w:p>
        </w:tc>
        <w:tc>
          <w:tcPr>
            <w:tcW w:w="146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i w:val="false"/>
                <w:i w:val="false"/>
                <w:caps w:val="false"/>
                <w:smallCaps w:val="false"/>
                <w:strike w:val="false"/>
                <w:dstrike w:val="false"/>
                <w:color w:val="000000"/>
                <w:sz w:val="18"/>
                <w:szCs w:val="18"/>
                <w:u w:val="none"/>
                <w:effect w:val="none"/>
                <w:shd w:fill="auto" w:val="clear"/>
              </w:rPr>
            </w:pPr>
            <w:r>
              <w:rPr>
                <w:rFonts w:ascii="Palatino" w:hAnsi="Palatino"/>
                <w:b/>
                <w:i w:val="false"/>
                <w:caps w:val="false"/>
                <w:smallCaps w:val="false"/>
                <w:strike w:val="false"/>
                <w:dstrike w:val="false"/>
                <w:color w:val="000000"/>
                <w:sz w:val="18"/>
                <w:szCs w:val="18"/>
                <w:u w:val="none"/>
                <w:effect w:val="none"/>
                <w:shd w:fill="auto" w:val="clear"/>
              </w:rPr>
              <w:t>Input Types Handled</w:t>
            </w:r>
          </w:p>
        </w:tc>
        <w:tc>
          <w:tcPr>
            <w:tcW w:w="1699"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i w:val="false"/>
                <w:i w:val="false"/>
                <w:caps w:val="false"/>
                <w:smallCaps w:val="false"/>
                <w:strike w:val="false"/>
                <w:dstrike w:val="false"/>
                <w:color w:val="000000"/>
                <w:sz w:val="18"/>
                <w:szCs w:val="18"/>
                <w:u w:val="none"/>
                <w:effect w:val="none"/>
                <w:shd w:fill="auto" w:val="clear"/>
              </w:rPr>
            </w:pPr>
            <w:r>
              <w:rPr>
                <w:rFonts w:ascii="Palatino" w:hAnsi="Palatino"/>
                <w:b/>
                <w:i w:val="false"/>
                <w:caps w:val="false"/>
                <w:smallCaps w:val="false"/>
                <w:strike w:val="false"/>
                <w:dstrike w:val="false"/>
                <w:color w:val="000000"/>
                <w:sz w:val="18"/>
                <w:szCs w:val="18"/>
                <w:u w:val="none"/>
                <w:effect w:val="none"/>
                <w:shd w:fill="auto" w:val="clear"/>
              </w:rPr>
              <w:t>Score Range/Interpretation</w:t>
            </w:r>
          </w:p>
        </w:tc>
        <w:tc>
          <w:tcPr>
            <w:tcW w:w="21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i w:val="false"/>
                <w:i w:val="false"/>
                <w:caps w:val="false"/>
                <w:smallCaps w:val="false"/>
                <w:strike w:val="false"/>
                <w:dstrike w:val="false"/>
                <w:color w:val="000000"/>
                <w:sz w:val="18"/>
                <w:szCs w:val="18"/>
                <w:u w:val="none"/>
                <w:effect w:val="none"/>
                <w:shd w:fill="auto" w:val="clear"/>
              </w:rPr>
            </w:pPr>
            <w:r>
              <w:rPr>
                <w:rFonts w:ascii="Palatino" w:hAnsi="Palatino"/>
                <w:b/>
                <w:i w:val="false"/>
                <w:caps w:val="false"/>
                <w:smallCaps w:val="false"/>
                <w:strike w:val="false"/>
                <w:dstrike w:val="false"/>
                <w:color w:val="000000"/>
                <w:sz w:val="18"/>
                <w:szCs w:val="18"/>
                <w:u w:val="none"/>
                <w:effect w:val="none"/>
                <w:shd w:fill="auto" w:val="clear"/>
              </w:rPr>
              <w:t>Key Advantages</w:t>
            </w:r>
          </w:p>
        </w:tc>
        <w:tc>
          <w:tcPr>
            <w:tcW w:w="149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i w:val="false"/>
                <w:i w:val="false"/>
                <w:caps w:val="false"/>
                <w:smallCaps w:val="false"/>
                <w:strike w:val="false"/>
                <w:dstrike w:val="false"/>
                <w:color w:val="000000"/>
                <w:sz w:val="18"/>
                <w:szCs w:val="18"/>
                <w:u w:val="none"/>
                <w:effect w:val="none"/>
                <w:shd w:fill="auto" w:val="clear"/>
              </w:rPr>
            </w:pPr>
            <w:r>
              <w:rPr>
                <w:rFonts w:ascii="Palatino" w:hAnsi="Palatino"/>
                <w:b/>
                <w:i w:val="false"/>
                <w:caps w:val="false"/>
                <w:smallCaps w:val="false"/>
                <w:strike w:val="false"/>
                <w:dstrike w:val="false"/>
                <w:color w:val="000000"/>
                <w:sz w:val="18"/>
                <w:szCs w:val="18"/>
                <w:u w:val="none"/>
                <w:effect w:val="none"/>
                <w:shd w:fill="auto" w:val="clear"/>
              </w:rPr>
              <w:t>Key Limitations</w:t>
            </w:r>
          </w:p>
        </w:tc>
      </w:tr>
      <w:tr>
        <w:trPr/>
        <w:tc>
          <w:tcPr>
            <w:tcW w:w="197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SIFT</w:t>
            </w:r>
          </w:p>
        </w:tc>
        <w:tc>
          <w:tcPr>
            <w:tcW w:w="147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Evolutionary Conservation</w:t>
            </w:r>
          </w:p>
        </w:tc>
        <w:tc>
          <w:tcPr>
            <w:tcW w:w="146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Missense SNVs</w:t>
            </w:r>
          </w:p>
        </w:tc>
        <w:tc>
          <w:tcPr>
            <w:tcW w:w="1699"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0-1 (closer to 0 = deleterious)</w:t>
            </w:r>
          </w:p>
        </w:tc>
        <w:tc>
          <w:tcPr>
            <w:tcW w:w="21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Fast, evolutionary conservation-based</w:t>
            </w:r>
          </w:p>
        </w:tc>
        <w:tc>
          <w:tcPr>
            <w:tcW w:w="149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Binary output, lacks structural info</w:t>
            </w:r>
          </w:p>
        </w:tc>
      </w:tr>
      <w:tr>
        <w:trPr/>
        <w:tc>
          <w:tcPr>
            <w:tcW w:w="197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PolyPhen-2</w:t>
            </w:r>
          </w:p>
        </w:tc>
        <w:tc>
          <w:tcPr>
            <w:tcW w:w="147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Structural Impact, Evolutionary Conservation</w:t>
            </w:r>
          </w:p>
        </w:tc>
        <w:tc>
          <w:tcPr>
            <w:tcW w:w="146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Missense SNVs</w:t>
            </w:r>
          </w:p>
        </w:tc>
        <w:tc>
          <w:tcPr>
            <w:tcW w:w="1699"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0-1 (closer to 1 = deleterious)</w:t>
            </w:r>
          </w:p>
        </w:tc>
        <w:tc>
          <w:tcPr>
            <w:tcW w:w="21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Utilizes structural information, qualitative categories</w:t>
            </w:r>
          </w:p>
        </w:tc>
        <w:tc>
          <w:tcPr>
            <w:tcW w:w="149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Only missense SNVs, inverse scoring to SIFT</w:t>
            </w:r>
          </w:p>
        </w:tc>
      </w:tr>
      <w:tr>
        <w:trPr/>
        <w:tc>
          <w:tcPr>
            <w:tcW w:w="197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PROVEAN</w:t>
            </w:r>
          </w:p>
        </w:tc>
        <w:tc>
          <w:tcPr>
            <w:tcW w:w="147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Sequence Similarity Change</w:t>
            </w:r>
          </w:p>
        </w:tc>
        <w:tc>
          <w:tcPr>
            <w:tcW w:w="146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SNVs, INDELs, Multiple AA substitutions</w:t>
            </w:r>
          </w:p>
        </w:tc>
        <w:tc>
          <w:tcPr>
            <w:tcW w:w="1699"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Threshold: -2.5 (below = deleterious, above = neutral)</w:t>
            </w:r>
          </w:p>
        </w:tc>
        <w:tc>
          <w:tcPr>
            <w:tcW w:w="21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Analyzes INDELs, broad variant coverage</w:t>
            </w:r>
          </w:p>
        </w:tc>
        <w:tc>
          <w:tcPr>
            <w:tcW w:w="149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Less sensitivity for some variants</w:t>
            </w:r>
          </w:p>
        </w:tc>
      </w:tr>
      <w:tr>
        <w:trPr/>
        <w:tc>
          <w:tcPr>
            <w:tcW w:w="197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MutationAssessor</w:t>
            </w:r>
          </w:p>
        </w:tc>
        <w:tc>
          <w:tcPr>
            <w:tcW w:w="147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Conservation in Homologs</w:t>
            </w:r>
          </w:p>
        </w:tc>
        <w:tc>
          <w:tcPr>
            <w:tcW w:w="146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Amino Acid Substitutions</w:t>
            </w:r>
          </w:p>
        </w:tc>
        <w:tc>
          <w:tcPr>
            <w:tcW w:w="1699"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0-1 (closer to 1 = deleterious); Qualitative categories</w:t>
            </w:r>
          </w:p>
        </w:tc>
        <w:tc>
          <w:tcPr>
            <w:tcW w:w="21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Multi-layered qualitative scoring, uses 3D structures</w:t>
            </w:r>
          </w:p>
        </w:tc>
        <w:tc>
          <w:tcPr>
            <w:tcW w:w="149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Only amino acid substitutions</w:t>
            </w:r>
          </w:p>
        </w:tc>
      </w:tr>
      <w:tr>
        <w:trPr/>
        <w:tc>
          <w:tcPr>
            <w:tcW w:w="197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REVEL</w:t>
            </w:r>
          </w:p>
        </w:tc>
        <w:tc>
          <w:tcPr>
            <w:tcW w:w="147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Ensemble Learning (13 tools integration)</w:t>
            </w:r>
          </w:p>
        </w:tc>
        <w:tc>
          <w:tcPr>
            <w:tcW w:w="146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Missense Variants</w:t>
            </w:r>
          </w:p>
        </w:tc>
        <w:tc>
          <w:tcPr>
            <w:tcW w:w="1699"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0-1 (above 0.5 = likely disease causing)</w:t>
            </w:r>
          </w:p>
        </w:tc>
        <w:tc>
          <w:tcPr>
            <w:tcW w:w="21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Integration of diverse tools, robust for rare variants</w:t>
            </w:r>
          </w:p>
        </w:tc>
        <w:tc>
          <w:tcPr>
            <w:tcW w:w="149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Only missense variants, complex validation</w:t>
            </w:r>
          </w:p>
        </w:tc>
      </w:tr>
      <w:tr>
        <w:trPr/>
        <w:tc>
          <w:tcPr>
            <w:tcW w:w="197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MetaLR</w:t>
            </w:r>
          </w:p>
        </w:tc>
        <w:tc>
          <w:tcPr>
            <w:tcW w:w="147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Logistic Regression (9 scores + allele frequency)</w:t>
            </w:r>
          </w:p>
        </w:tc>
        <w:tc>
          <w:tcPr>
            <w:tcW w:w="146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Missense Variants</w:t>
            </w:r>
          </w:p>
        </w:tc>
        <w:tc>
          <w:tcPr>
            <w:tcW w:w="1699"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0-1 (higher = deleterious)</w:t>
            </w:r>
          </w:p>
        </w:tc>
        <w:tc>
          <w:tcPr>
            <w:tcW w:w="21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Integrates allele frequency, population genetics</w:t>
            </w:r>
          </w:p>
        </w:tc>
        <w:tc>
          <w:tcPr>
            <w:tcW w:w="1494"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w:hAnsi="Palatino"/>
                <w:b w:val="false"/>
                <w:i w:val="false"/>
                <w:i w:val="false"/>
                <w:caps w:val="false"/>
                <w:smallCaps w:val="false"/>
                <w:strike w:val="false"/>
                <w:dstrike w:val="false"/>
                <w:color w:val="000000"/>
                <w:sz w:val="18"/>
                <w:szCs w:val="18"/>
                <w:u w:val="none"/>
                <w:effect w:val="none"/>
                <w:shd w:fill="auto" w:val="clear"/>
              </w:rPr>
            </w:pPr>
            <w:r>
              <w:rPr>
                <w:rFonts w:ascii="Palatino" w:hAnsi="Palatino"/>
                <w:b w:val="false"/>
                <w:i w:val="false"/>
                <w:caps w:val="false"/>
                <w:smallCaps w:val="false"/>
                <w:strike w:val="false"/>
                <w:dstrike w:val="false"/>
                <w:color w:val="000000"/>
                <w:sz w:val="18"/>
                <w:szCs w:val="18"/>
                <w:u w:val="none"/>
                <w:effect w:val="none"/>
                <w:shd w:fill="auto" w:val="clear"/>
              </w:rPr>
              <w:t>Only missense variants, dependence on data quality</w:t>
            </w:r>
          </w:p>
        </w:tc>
      </w:tr>
    </w:tbl>
    <w:p>
      <w:pPr>
        <w:pStyle w:val="Normal"/>
        <w:ind w:hanging="0" w:left="2608"/>
        <w:rPr>
          <w:sz w:val="18"/>
          <w:szCs w:val="18"/>
        </w:rPr>
      </w:pPr>
      <w:r>
        <w:rPr>
          <w:sz w:val="18"/>
          <w:szCs w:val="18"/>
        </w:rPr>
      </w:r>
    </w:p>
    <w:p>
      <w:pPr>
        <w:pStyle w:val="Normal"/>
        <w:jc w:val="both"/>
        <w:rPr>
          <w:rFonts w:ascii="Google Sans;sans-serif" w:hAnsi="Google Sans;sans-serif"/>
          <w:b w:val="false"/>
          <w:i w:val="false"/>
          <w:i w:val="false"/>
          <w:caps w:val="false"/>
          <w:smallCaps w:val="false"/>
          <w:strike w:val="false"/>
          <w:dstrike w:val="false"/>
          <w:color w:val="000000"/>
          <w:sz w:val="28"/>
          <w:szCs w:val="24"/>
          <w:u w:val="none"/>
          <w:effect w:val="none"/>
          <w:shd w:fill="auto" w:val="clear"/>
        </w:rPr>
      </w:pPr>
      <w:r>
        <w:rPr>
          <w:rFonts w:ascii="Google Sans;sans-serif" w:hAnsi="Google Sans;sans-serif"/>
          <w:b w:val="false"/>
          <w:i w:val="false"/>
          <w:caps w:val="false"/>
          <w:smallCaps w:val="false"/>
          <w:strike w:val="false"/>
          <w:dstrike w:val="false"/>
          <w:color w:val="000000"/>
          <w:sz w:val="28"/>
          <w:szCs w:val="24"/>
          <w:u w:val="none"/>
          <w:effect w:val="none"/>
          <w:shd w:fill="auto" w:val="clear"/>
        </w:rPr>
      </w:r>
    </w:p>
    <w:p>
      <w:pPr>
        <w:pStyle w:val="Normal"/>
        <w:jc w:val="both"/>
        <w:rPr>
          <w:rFonts w:ascii="Palatino Linotype" w:hAnsi="Palatino Linotype"/>
          <w:sz w:val="24"/>
        </w:rPr>
      </w:pPr>
      <w:r>
        <w:rPr>
          <w:rFonts w:ascii="Google Sans;sans-serif" w:hAnsi="Google Sans;sans-serif"/>
          <w:b/>
          <w:i w:val="false"/>
          <w:caps w:val="false"/>
          <w:smallCaps w:val="false"/>
          <w:strike w:val="false"/>
          <w:dstrike w:val="false"/>
          <w:color w:val="000000"/>
          <w:sz w:val="28"/>
          <w:szCs w:val="24"/>
          <w:u w:val="none"/>
          <w:effect w:val="none"/>
          <w:shd w:fill="auto" w:val="clear"/>
        </w:rPr>
        <w:t>Essential Mutation Databases for Cancer Research</w:t>
      </w:r>
    </w:p>
    <w:p>
      <w:pPr>
        <w:pStyle w:val="Normal"/>
        <w:jc w:val="both"/>
        <w:rPr/>
      </w:pPr>
      <w:r>
        <w:rPr>
          <w:b w:val="false"/>
          <w:i w:val="false"/>
          <w:caps w:val="false"/>
          <w:smallCaps w:val="false"/>
          <w:strike w:val="false"/>
          <w:dstrike w:val="false"/>
          <w:color w:val="000000"/>
          <w:sz w:val="24"/>
          <w:szCs w:val="24"/>
          <w:u w:val="none"/>
          <w:effect w:val="none"/>
          <w:shd w:fill="auto" w:val="clear"/>
        </w:rPr>
        <w:t>The proliferation of specialized and comprehensive mutational databases forms the cornerstone of modern cancer research and precision oncology.</w:t>
      </w:r>
      <w:r>
        <w:rPr>
          <w:b/>
          <w:i w:val="false"/>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These repositories serve as indispensable knowledge bases, enabling the systematic collection, sharing, and interpretation of vast genomic and clinical data.</w:t>
      </w:r>
      <w:r>
        <w:rPr>
          <w:b/>
          <w:i w:val="false"/>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Their existence facilitates cross-referencing, accelerates the discovery of novel driver mutations, and provides a central resource for understanding variant pathogenicity and clinical relevance, thereby supporting the development of targeted therapies. The following table summarizes some key mutation databases commonly used in cancer research and their primary areas of focus:</w:t>
      </w:r>
    </w:p>
    <w:p>
      <w:pPr>
        <w:pStyle w:val="BodyText"/>
        <w:bidi w:val="0"/>
        <w:spacing w:lineRule="auto" w:line="326" w:before="0" w:after="0"/>
        <w:ind w:hanging="0" w:left="0" w:right="0"/>
        <w:rPr>
          <w:rFonts w:ascii="Google Sans Text;sans-serif" w:hAnsi="Google Sans Text;sans-serif"/>
          <w:b/>
          <w:i w:val="false"/>
          <w:i w:val="false"/>
          <w:caps w:val="false"/>
          <w:smallCaps w:val="false"/>
          <w:strike w:val="false"/>
          <w:dstrike w:val="false"/>
          <w:color w:val="000000"/>
          <w:sz w:val="22"/>
          <w:u w:val="none"/>
          <w:effect w:val="none"/>
          <w:shd w:fill="auto" w:val="clear"/>
        </w:rPr>
      </w:pPr>
      <w:r>
        <w:rPr>
          <w:rFonts w:ascii="Google Sans Text;sans-serif" w:hAnsi="Google Sans Text;sans-serif"/>
          <w:b/>
          <w:i w:val="false"/>
          <w:caps w:val="false"/>
          <w:smallCaps w:val="false"/>
          <w:strike w:val="false"/>
          <w:dstrike w:val="false"/>
          <w:color w:val="000000"/>
          <w:sz w:val="18"/>
          <w:szCs w:val="18"/>
          <w:u w:val="none"/>
          <w:effect w:val="none"/>
          <w:shd w:fill="auto" w:val="clear"/>
        </w:rPr>
        <w:t>Table 2: Essential Mutation Databases for Cancer Research</w:t>
      </w:r>
    </w:p>
    <w:p>
      <w:pPr>
        <w:pStyle w:val="BodyText"/>
        <w:bidi w:val="0"/>
        <w:spacing w:lineRule="auto" w:line="326" w:before="0" w:after="0"/>
        <w:ind w:hanging="0" w:left="0" w:right="0"/>
        <w:rPr>
          <w:sz w:val="18"/>
          <w:szCs w:val="18"/>
        </w:rPr>
      </w:pPr>
      <w:r>
        <w:rPr>
          <w:sz w:val="18"/>
          <w:szCs w:val="18"/>
        </w:rPr>
      </w:r>
    </w:p>
    <w:tbl>
      <w:tblPr>
        <w:bidiVisual w:val="true"/>
        <w:tblW w:w="9638" w:type="dxa"/>
        <w:jc w:val="left"/>
        <w:tblInd w:w="28" w:type="dxa"/>
        <w:tblLayout w:type="fixed"/>
        <w:tblCellMar>
          <w:top w:w="28" w:type="dxa"/>
          <w:left w:w="28" w:type="dxa"/>
          <w:bottom w:w="28" w:type="dxa"/>
          <w:right w:w="28" w:type="dxa"/>
        </w:tblCellMar>
      </w:tblPr>
      <w:tblGrid>
        <w:gridCol w:w="3207"/>
        <w:gridCol w:w="3195"/>
        <w:gridCol w:w="3236"/>
      </w:tblGrid>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i w:val="false"/>
                <w:i w:val="false"/>
                <w:caps w:val="false"/>
                <w:smallCaps w:val="false"/>
                <w:strike w:val="false"/>
                <w:dstrike w:val="false"/>
                <w:color w:val="000000"/>
                <w:sz w:val="18"/>
                <w:szCs w:val="18"/>
                <w:u w:val="none"/>
                <w:effect w:val="none"/>
                <w:shd w:fill="auto" w:val="clear"/>
              </w:rPr>
            </w:pPr>
            <w:r>
              <w:rPr>
                <w:b/>
                <w:i w:val="false"/>
                <w:caps w:val="false"/>
                <w:smallCaps w:val="false"/>
                <w:strike w:val="false"/>
                <w:dstrike w:val="false"/>
                <w:color w:val="000000"/>
                <w:sz w:val="18"/>
                <w:szCs w:val="18"/>
                <w:u w:val="none"/>
                <w:effect w:val="none"/>
                <w:shd w:fill="auto" w:val="clear"/>
              </w:rPr>
              <w:t>Database Name</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i w:val="false"/>
                <w:i w:val="false"/>
                <w:caps w:val="false"/>
                <w:smallCaps w:val="false"/>
                <w:strike w:val="false"/>
                <w:dstrike w:val="false"/>
                <w:color w:val="000000"/>
                <w:sz w:val="18"/>
                <w:szCs w:val="18"/>
                <w:u w:val="none"/>
                <w:effect w:val="none"/>
                <w:shd w:fill="auto" w:val="clear"/>
              </w:rPr>
            </w:pPr>
            <w:r>
              <w:rPr>
                <w:b/>
                <w:i w:val="false"/>
                <w:caps w:val="false"/>
                <w:smallCaps w:val="false"/>
                <w:strike w:val="false"/>
                <w:dstrike w:val="false"/>
                <w:color w:val="000000"/>
                <w:sz w:val="18"/>
                <w:szCs w:val="18"/>
                <w:u w:val="none"/>
                <w:effect w:val="none"/>
                <w:shd w:fill="auto" w:val="clear"/>
              </w:rPr>
              <w:t>Primary Focus/Data Type</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i w:val="false"/>
                <w:i w:val="false"/>
                <w:caps w:val="false"/>
                <w:smallCaps w:val="false"/>
                <w:strike w:val="false"/>
                <w:dstrike w:val="false"/>
                <w:color w:val="000000"/>
                <w:sz w:val="18"/>
                <w:szCs w:val="18"/>
                <w:u w:val="none"/>
                <w:effect w:val="none"/>
                <w:shd w:fill="auto" w:val="clear"/>
              </w:rPr>
            </w:pPr>
            <w:r>
              <w:rPr>
                <w:b/>
                <w:i w:val="false"/>
                <w:caps w:val="false"/>
                <w:smallCaps w:val="false"/>
                <w:strike w:val="false"/>
                <w:dstrike w:val="false"/>
                <w:color w:val="000000"/>
                <w:sz w:val="18"/>
                <w:szCs w:val="18"/>
                <w:u w:val="none"/>
                <w:effect w:val="none"/>
                <w:shd w:fill="auto" w:val="clear"/>
              </w:rPr>
              <w:t>Key Benefit in Cancer Research/Clinical Application</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COSMIC</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Somatic Mutations, Cancer Genes</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Identifying driver mutations, understanding tumor evolution</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CancerIndex</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Cancer-Related Information</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General information on cancer types, genes, treatments</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PHARMGKB</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Pharmacogenomics, Drug Response</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Drug-gene interactions, personalized drug selection</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MDAnderson Cancer Center</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Clinical Data, Research Findings</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Comprehensive resource for cancer treatment and research</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MyCancerGenome</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Clinical Interpretations, Treatments</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Personalized treatment options based on mutations</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FDA</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Drug Approvals, Clinical Guidelines</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Information on approved cancer drugs and targets</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European Medicines Agency</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Drug Approvals, Clinical Guidelines</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Drug approvals and guidelines in Europe</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NCCN</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Clinical Practice Guidelines</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Standardized guidelines for cancer diagnosis and treatment</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DRUGBANK</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Drug Information, Targets</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Drug structure, mechanism, targets</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ClinicalTrial</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Clinical Trial Information</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Evaluating efficacy and safety of new treatments</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PubMed</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Biomedical Literature</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Extensive primary source for cancer research and related publications</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Google Scholar</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Academic Literature</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Broad search and discovery of scientific publications</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HGMD</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Human Gene Mutations</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Germline mutations associated with hereditary diseases</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OMIM</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Mendelian Inheritance, Genes</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Relationships between genes and phenotypes</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ClinVar</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Clinical Variant Interpretations</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Consensus on clinical significance and pathogenicity of variants</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Orphanet</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Rare Diseases, Orphan Drugs</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Rare cancers and associated genetic variants</w:t>
            </w:r>
          </w:p>
        </w:tc>
      </w:tr>
      <w:tr>
        <w:trPr/>
        <w:tc>
          <w:tcPr>
            <w:tcW w:w="3207"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Genetics Home Reference</w:t>
            </w:r>
          </w:p>
        </w:tc>
        <w:tc>
          <w:tcPr>
            <w:tcW w:w="319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Genetic Disease Information</w:t>
            </w:r>
          </w:p>
        </w:tc>
        <w:tc>
          <w:tcPr>
            <w:tcW w:w="323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26" w:before="0" w:after="0"/>
              <w:ind w:hanging="0" w:left="0" w:right="0"/>
              <w:jc w:val="center"/>
              <w:rPr>
                <w:rFonts w:ascii="Palatino Linotype" w:hAnsi="Palatino Linotype"/>
                <w:b w:val="false"/>
                <w:i w:val="false"/>
                <w:i w:val="false"/>
                <w:caps w:val="false"/>
                <w:smallCaps w:val="false"/>
                <w:strike w:val="false"/>
                <w:dstrike w:val="false"/>
                <w:color w:val="000000"/>
                <w:sz w:val="18"/>
                <w:szCs w:val="18"/>
                <w:u w:val="none"/>
                <w:effect w:val="none"/>
                <w:shd w:fill="auto" w:val="clear"/>
              </w:rPr>
            </w:pPr>
            <w:r>
              <w:rPr>
                <w:b w:val="false"/>
                <w:i w:val="false"/>
                <w:caps w:val="false"/>
                <w:smallCaps w:val="false"/>
                <w:strike w:val="false"/>
                <w:dstrike w:val="false"/>
                <w:color w:val="000000"/>
                <w:sz w:val="18"/>
                <w:szCs w:val="18"/>
                <w:u w:val="none"/>
                <w:effect w:val="none"/>
                <w:shd w:fill="auto" w:val="clear"/>
              </w:rPr>
              <w:t>Publicly accessible information on genetic conditions and their mutational bases</w:t>
            </w:r>
          </w:p>
        </w:tc>
      </w:tr>
    </w:tbl>
    <w:p>
      <w:pPr>
        <w:pStyle w:val="Normal"/>
        <w:bidi w:val="0"/>
        <w:spacing w:lineRule="auto" w:line="326" w:before="0" w:after="0"/>
        <w:ind w:hanging="0" w:left="0" w:right="0"/>
        <w:rPr>
          <w:sz w:val="18"/>
          <w:szCs w:val="18"/>
        </w:rPr>
      </w:pPr>
      <w:r>
        <w:rPr>
          <w:sz w:val="18"/>
          <w:szCs w:val="18"/>
        </w:rPr>
      </w:r>
    </w:p>
    <w:p>
      <w:pPr>
        <w:pStyle w:val="Normal"/>
        <w:jc w:val="both"/>
        <w:rPr>
          <w:b/>
          <w:i w:val="false"/>
          <w:i w:val="false"/>
          <w:caps w:val="false"/>
          <w:smallCaps w:val="false"/>
          <w:strike w:val="false"/>
          <w:dstrike w:val="false"/>
          <w:color w:val="000000"/>
          <w:u w:val="none"/>
          <w:effect w:val="none"/>
          <w:shd w:fill="auto" w:val="clear"/>
        </w:rPr>
      </w:pPr>
      <w:r>
        <w:rPr>
          <w:b/>
          <w:i w:val="false"/>
          <w:caps w:val="false"/>
          <w:smallCaps w:val="false"/>
          <w:strike w:val="false"/>
          <w:dstrike w:val="false"/>
          <w:color w:val="000000"/>
          <w:u w:val="none"/>
          <w:effect w:val="none"/>
          <w:shd w:fill="auto" w:val="clear"/>
        </w:rPr>
      </w:r>
    </w:p>
    <w:p>
      <w:pPr>
        <w:pStyle w:val="BodyText"/>
        <w:jc w:val="both"/>
        <w:rPr/>
      </w:pPr>
      <w:r>
        <w:rPr>
          <w:rStyle w:val="Strong"/>
          <w:rFonts w:ascii="Palatino" w:hAnsi="Palatino"/>
          <w:i w:val="false"/>
          <w:caps w:val="false"/>
          <w:smallCaps w:val="false"/>
          <w:strike w:val="false"/>
          <w:dstrike w:val="false"/>
          <w:color w:val="000000"/>
          <w:sz w:val="24"/>
          <w:szCs w:val="24"/>
          <w:u w:val="none"/>
          <w:effect w:val="none"/>
          <w:shd w:fill="auto" w:val="clear"/>
          <w:lang w:eastAsia="de-DE"/>
        </w:rPr>
        <w:t>Application of Mutational Data in Targeted Therapies and Precision Oncology</w:t>
      </w:r>
    </w:p>
    <w:p>
      <w:pPr>
        <w:pStyle w:val="BodyText"/>
        <w:rPr/>
      </w:pPr>
      <w:r>
        <w:rPr/>
        <w:t xml:space="preserve">Analysis of frequently mutated genes, including those mutated in more than four primary tumor samples, has been performed and enriched for biological processes and molecular activities. According to Gene Ontology (www.geneontology.org), the top five biological processes of these genes include peptidyl-tyrosine phosphorylation, phosphatidylinositol-mediated signaling, peptidyl-tyrosine modification, inositol lipid-mediated signaling, and protein autophosphorylation [Gene Ontology Consortium, 2023]. Some of the molecular activities associated with these genes are protein tyrosine kinase activity, phosphatidylinositol 3-kinase activity, phosphatidylinositol-4,5-bisphosphate-3-kinase activity, transmembrane receptor protein tyrosine kinase activity, and transmembrane receptor protein kinase activity [Blume-Jensen and Hunter, 2001; Cantley, 2002]. Targeted therapies such as gefitinib for epidermal growth factor receptor tyrosine kinase inhibition, erlotinib for sensitizing EGFR mutations, crizotinib for sensitizing ALK receptor tyrosine kinase, and ROS proto-oncogene 1 receptor tyrosine kinase fusion are strongly supported based on different mutational profiles (Saarenheimo et al., 2019). The direct correlation between specific mutational profiles in key signaling pathways (e.g., tyrosine kinase activity, PI3-kinase activity) and the efficacy of targeted therapies represents the most tangible success of precision oncology [Druker, 2008; Baselga, 2011]. This demonstrates how a deep molecular understanding of oncogenic drivers can directly translate into highly effective, mutation-specific treatments for particular cancer types, thereby fundamentally altering the therapeutic landscape [Sawyers, 2008, </w:t>
      </w:r>
      <w:r>
        <w:rPr>
          <w:rFonts w:ascii="Palatino" w:hAnsi="Palatino"/>
          <w:b/>
          <w:i w:val="false"/>
          <w:caps w:val="false"/>
          <w:smallCaps w:val="false"/>
          <w:strike w:val="false"/>
          <w:dstrike w:val="false"/>
          <w:color w:val="C9211E"/>
          <w:sz w:val="24"/>
          <w:szCs w:val="24"/>
          <w:u w:val="none"/>
          <w:effect w:val="none"/>
          <w:shd w:fill="auto" w:val="clear"/>
          <w:lang w:eastAsia="de-DE"/>
        </w:rPr>
        <w:t xml:space="preserve">Saarenheimo et al., 2019). </w:t>
      </w:r>
      <w:r>
        <w:rPr>
          <w:rFonts w:ascii="Palatino" w:hAnsi="Palatino"/>
          <w:b w:val="false"/>
          <w:i w:val="false"/>
          <w:caps w:val="false"/>
          <w:smallCaps w:val="false"/>
          <w:strike w:val="false"/>
          <w:dstrike w:val="false"/>
          <w:color w:val="000000"/>
          <w:sz w:val="24"/>
          <w:szCs w:val="24"/>
          <w:u w:val="none"/>
          <w:effect w:val="none"/>
          <w:shd w:fill="auto" w:val="clear"/>
          <w:lang w:eastAsia="de-DE"/>
        </w:rPr>
        <w:t xml:space="preserve"> </w:t>
      </w:r>
    </w:p>
    <w:p>
      <w:pPr>
        <w:pStyle w:val="Normal"/>
        <w:jc w:val="both"/>
        <w:rPr>
          <w:rFonts w:ascii="Palatino" w:hAnsi="Palatino"/>
          <w:b w:val="false"/>
          <w:i w:val="false"/>
          <w:i w:val="false"/>
          <w:caps w:val="false"/>
          <w:smallCaps w:val="false"/>
          <w:strike w:val="false"/>
          <w:dstrike w:val="false"/>
          <w:color w:val="000000"/>
          <w:sz w:val="24"/>
          <w:szCs w:val="24"/>
          <w:u w:val="none"/>
          <w:effect w:val="none"/>
          <w:shd w:fill="auto" w:val="clear"/>
          <w:lang w:eastAsia="de-DE"/>
        </w:rPr>
      </w:pPr>
      <w:r>
        <w:rPr>
          <w:rFonts w:ascii="Palatino" w:hAnsi="Palatino"/>
          <w:b w:val="false"/>
          <w:i w:val="false"/>
          <w:caps w:val="false"/>
          <w:smallCaps w:val="false"/>
          <w:strike w:val="false"/>
          <w:dstrike w:val="false"/>
          <w:color w:val="000000"/>
          <w:sz w:val="24"/>
          <w:szCs w:val="24"/>
          <w:u w:val="none"/>
          <w:effect w:val="none"/>
          <w:shd w:fill="auto" w:val="clear"/>
          <w:lang w:eastAsia="de-DE"/>
        </w:rPr>
      </w:r>
    </w:p>
    <w:p>
      <w:pPr>
        <w:pStyle w:val="Normal"/>
        <w:jc w:val="both"/>
        <w:rPr/>
      </w:pPr>
      <w:r>
        <w:rPr>
          <w:rFonts w:ascii="Palatino" w:hAnsi="Palatino"/>
          <w:b w:val="false"/>
          <w:i w:val="false"/>
          <w:caps w:val="false"/>
          <w:smallCaps w:val="false"/>
          <w:strike w:val="false"/>
          <w:dstrike w:val="false"/>
          <w:color w:val="000000"/>
          <w:sz w:val="24"/>
          <w:szCs w:val="24"/>
          <w:u w:val="none"/>
          <w:effect w:val="none"/>
          <w:shd w:fill="auto" w:val="clear"/>
          <w:lang w:eastAsia="de-DE"/>
        </w:rPr>
        <w:t xml:space="preserve"> </w:t>
      </w:r>
      <w:r>
        <w:rPr>
          <w:rStyle w:val="Strong"/>
          <w:i w:val="false"/>
          <w:caps w:val="false"/>
          <w:smallCaps w:val="false"/>
          <w:strike w:val="false"/>
          <w:dstrike w:val="false"/>
          <w:color w:val="000000"/>
          <w:sz w:val="24"/>
          <w:szCs w:val="24"/>
          <w:u w:val="none"/>
          <w:effect w:val="none"/>
          <w:shd w:fill="auto" w:val="clear"/>
          <w:lang w:eastAsia="de-DE"/>
        </w:rPr>
        <w:t>The Precision Medicine Paradigm in Cancer Treatment</w:t>
      </w:r>
    </w:p>
    <w:p>
      <w:pPr>
        <w:pStyle w:val="BodyText"/>
        <w:rPr/>
      </w:pPr>
      <w:r>
        <w:rPr/>
        <w:t>Since each individual has a unique mutation profile, finding effective cancer treatment depends on analyzing these individual mutations [Stratton et al., 2009]. Understanding how mutations affect protein structure and cellular signaling pathways can lead to more positive clinical outcomes [Hanahan and Weinberg, 2011]. This information aids in therapeutic selection based on the analysis of the patient's genomic sequence and specifically identified mutational aberrations [MacConaill and Garraway, 2010]. An "actionable" mutation is defined as a genetic aberration that is potentially responsive to targeted therapy [Schwartzberg et al., 2014]. Next-generation sequencing of patients with advanced cancers has shown that less than 10% have actionable mutations [Garraway and Lander, 2013; Massard et al., 2017]. Furthermore, a randomized trial of precision medicine did not observe improved outcomes with genome-based precision oncology [Pritchard et al., 2019; Stocker et al., 2019]. This underscores the importance of the concept of prescribing "the right drug to the right person at the right time" [Mirnezami et al., 2012]. While the ideal goal of precision oncology is the administration of "the right drug to the right person at the right time," its current clinical implementation faces significant hurdles. The low prevalence of "actionable" mutations in many advanced cancers and mixed results from randomized trials suggest that genomic profiling alone is often insufficient. This highlights the need for continued research into novel actionable targets, improved predictive biomarkers, and a more comprehensive understanding of tumor biology beyond single mutations to fully realize the promise of precision medicine [Mendoza-Alvarez and Bermejo-Perez, 2020]. Clinical trials are actively investigating how well drugs targeting genetic mutations work in cancer patients, acknowledging that not all mutations have known treatments [National Cancer Institute, 2023].</w:t>
      </w:r>
    </w:p>
    <w:p>
      <w:pPr>
        <w:pStyle w:val="BodyText"/>
        <w:rPr>
          <w:rStyle w:val="Strong"/>
          <w:rFonts w:ascii="Palatino" w:hAnsi="Palatino"/>
          <w:b/>
          <w:bCs/>
          <w:i w:val="false"/>
          <w:i w:val="false"/>
          <w:caps w:val="false"/>
          <w:smallCaps w:val="false"/>
          <w:strike w:val="false"/>
          <w:dstrike w:val="false"/>
          <w:color w:val="000000"/>
          <w:sz w:val="24"/>
          <w:szCs w:val="24"/>
          <w:u w:val="none"/>
          <w:effect w:val="none"/>
          <w:shd w:fill="auto" w:val="clear"/>
          <w:lang w:eastAsia="de-DE"/>
        </w:rPr>
      </w:pPr>
      <w:r>
        <w:rPr>
          <w:rFonts w:ascii="Palatino" w:hAnsi="Palatino"/>
          <w:b/>
          <w:bCs/>
          <w:i w:val="false"/>
          <w:caps w:val="false"/>
          <w:smallCaps w:val="false"/>
          <w:strike w:val="false"/>
          <w:dstrike w:val="false"/>
          <w:color w:val="000000"/>
          <w:sz w:val="24"/>
          <w:szCs w:val="24"/>
          <w:u w:val="none"/>
          <w:effect w:val="none"/>
          <w:shd w:fill="auto" w:val="clear"/>
          <w:lang w:eastAsia="de-DE"/>
        </w:rPr>
      </w:r>
    </w:p>
    <w:p>
      <w:pPr>
        <w:pStyle w:val="BodyText"/>
        <w:rPr/>
      </w:pPr>
      <w:r>
        <w:rPr>
          <w:rStyle w:val="Strong"/>
          <w:rFonts w:ascii="Palatino" w:hAnsi="Palatino"/>
          <w:b/>
          <w:bCs/>
          <w:i w:val="false"/>
          <w:caps w:val="false"/>
          <w:smallCaps w:val="false"/>
          <w:strike w:val="false"/>
          <w:dstrike w:val="false"/>
          <w:color w:val="000000"/>
          <w:sz w:val="24"/>
          <w:szCs w:val="24"/>
          <w:u w:val="none"/>
          <w:effect w:val="none"/>
          <w:shd w:fill="auto" w:val="clear"/>
          <w:lang w:eastAsia="de-DE"/>
        </w:rPr>
        <w:t>The Precision Medicine Paradigm in Cancer Treatment</w:t>
      </w:r>
    </w:p>
    <w:p>
      <w:pPr>
        <w:pStyle w:val="BodyText"/>
        <w:rPr/>
      </w:pPr>
      <w:r>
        <w:rPr>
          <w:rFonts w:ascii="Palatino" w:hAnsi="Palatino"/>
          <w:b w:val="false"/>
          <w:i w:val="false"/>
          <w:caps w:val="false"/>
          <w:smallCaps w:val="false"/>
          <w:strike w:val="false"/>
          <w:dstrike w:val="false"/>
          <w:color w:val="000000"/>
          <w:sz w:val="24"/>
          <w:szCs w:val="24"/>
          <w:u w:val="none"/>
          <w:effect w:val="none"/>
          <w:shd w:fill="auto" w:val="clear"/>
        </w:rPr>
        <w:t>Since each individual has a unique mutation profile, finding effective cancer treatment depends on analyzing these individual mutations.</w:t>
      </w:r>
      <w:r>
        <w:rPr>
          <w:rFonts w:ascii="Palatino" w:hAnsi="Palatino"/>
          <w:caps w:val="false"/>
          <w:smallCaps w:val="false"/>
          <w:strike w:val="false"/>
          <w:dstrike w:val="false"/>
          <w:color w:val="000000"/>
          <w:sz w:val="24"/>
          <w:szCs w:val="24"/>
          <w:u w:val="none"/>
          <w:effect w:val="none"/>
          <w:shd w:fill="auto" w:val="clear"/>
        </w:rPr>
        <w:t xml:space="preserve">  </w:t>
      </w:r>
      <w:r>
        <w:rPr>
          <w:rFonts w:ascii="Palatino" w:hAnsi="Palatino"/>
          <w:b w:val="false"/>
          <w:i w:val="false"/>
          <w:caps w:val="false"/>
          <w:smallCaps w:val="false"/>
          <w:strike w:val="false"/>
          <w:dstrike w:val="false"/>
          <w:color w:val="000000"/>
          <w:sz w:val="24"/>
          <w:szCs w:val="24"/>
          <w:u w:val="none"/>
          <w:effect w:val="none"/>
          <w:shd w:fill="auto" w:val="clear"/>
        </w:rPr>
        <w:t>Understanding how mutations affect protein structure and cellular signaling pathways can lead to more positive clinical outcomes.</w:t>
      </w:r>
      <w:r>
        <w:rPr>
          <w:rFonts w:ascii="Palatino" w:hAnsi="Palatino"/>
          <w:caps w:val="false"/>
          <w:smallCaps w:val="false"/>
          <w:strike w:val="false"/>
          <w:dstrike w:val="false"/>
          <w:color w:val="000000"/>
          <w:sz w:val="24"/>
          <w:szCs w:val="24"/>
          <w:u w:val="none"/>
          <w:effect w:val="none"/>
          <w:shd w:fill="auto" w:val="clear"/>
        </w:rPr>
        <w:t xml:space="preserve"> </w:t>
      </w:r>
      <w:r>
        <w:rPr>
          <w:rFonts w:ascii="Palatino" w:hAnsi="Palatino"/>
          <w:b w:val="false"/>
          <w:i w:val="false"/>
          <w:caps w:val="false"/>
          <w:smallCaps w:val="false"/>
          <w:strike w:val="false"/>
          <w:dstrike w:val="false"/>
          <w:color w:val="000000"/>
          <w:sz w:val="24"/>
          <w:szCs w:val="24"/>
          <w:u w:val="none"/>
          <w:effect w:val="none"/>
          <w:shd w:fill="auto" w:val="clear"/>
        </w:rPr>
        <w:t xml:space="preserve"> This information aids in therapeutic selection based on the analysis of the patient's genomic sequence and specifically identified mutational aberrations. An "actionable" mutation is defined as a genetic aberration that is potentially responsive to targeted therapy.</w:t>
      </w:r>
      <w:r>
        <w:rPr>
          <w:rFonts w:ascii="Palatino" w:hAnsi="Palatino"/>
          <w:caps w:val="false"/>
          <w:smallCaps w:val="false"/>
          <w:strike w:val="false"/>
          <w:dstrike w:val="false"/>
          <w:color w:val="000000"/>
          <w:sz w:val="24"/>
          <w:szCs w:val="24"/>
          <w:u w:val="none"/>
          <w:effect w:val="none"/>
          <w:shd w:fill="auto" w:val="clear"/>
        </w:rPr>
        <w:t xml:space="preserve"> </w:t>
      </w:r>
      <w:r>
        <w:rPr>
          <w:rFonts w:ascii="Palatino" w:hAnsi="Palatino"/>
          <w:b w:val="false"/>
          <w:i w:val="false"/>
          <w:caps w:val="false"/>
          <w:smallCaps w:val="false"/>
          <w:strike w:val="false"/>
          <w:dstrike w:val="false"/>
          <w:color w:val="000000"/>
          <w:sz w:val="24"/>
          <w:szCs w:val="24"/>
          <w:u w:val="none"/>
          <w:effect w:val="none"/>
          <w:shd w:fill="auto" w:val="clear"/>
        </w:rPr>
        <w:t>Next-generation sequencing of patients with advanced cancers has shown that less than 10% have actionable mutations.</w:t>
      </w:r>
      <w:r>
        <w:rPr>
          <w:rFonts w:ascii="Palatino" w:hAnsi="Palatino"/>
          <w:caps w:val="false"/>
          <w:smallCaps w:val="false"/>
          <w:strike w:val="false"/>
          <w:dstrike w:val="false"/>
          <w:color w:val="000000"/>
          <w:sz w:val="24"/>
          <w:szCs w:val="24"/>
          <w:u w:val="none"/>
          <w:effect w:val="none"/>
          <w:shd w:fill="auto" w:val="clear"/>
        </w:rPr>
        <w:t xml:space="preserve"> </w:t>
      </w:r>
      <w:r>
        <w:rPr>
          <w:rFonts w:ascii="Palatino" w:hAnsi="Palatino"/>
          <w:b w:val="false"/>
          <w:i w:val="false"/>
          <w:caps w:val="false"/>
          <w:smallCaps w:val="false"/>
          <w:strike w:val="false"/>
          <w:dstrike w:val="false"/>
          <w:color w:val="000000"/>
          <w:sz w:val="24"/>
          <w:szCs w:val="24"/>
          <w:u w:val="none"/>
          <w:effect w:val="none"/>
          <w:shd w:fill="auto" w:val="clear"/>
        </w:rPr>
        <w:t>Furthermore, a randomized trial of precision medicine did not observe improved outcomes with genome-based precision oncology. This underscores the importance of the concept of prescribing "the right drug to the right person at the right time". While the ideal goal of precision oncology is the administration of "the right drug to the right person at the right time," its current clinical implementation faces significant hurdles. The low prevalence of "actionable" mutations in many advanced cancers and mixed results from randomized trials suggest that genomic profiling alone is often insufficient. This highlights the need for continued research into novel actionable targets, improved predictive biomarkers, and a more comprehensive understanding of tumor biology beyond single mutations to fully realize the promise of precision medicine. Clinical trials are actively investigating how well drugs targeting genetic mutations work in cancer patients, acknowledging that not all mutations have known treatments.</w:t>
      </w:r>
    </w:p>
    <w:p>
      <w:pPr>
        <w:pStyle w:val="Normal"/>
        <w:jc w:val="both"/>
        <w:rPr>
          <w:sz w:val="24"/>
          <w:szCs w:val="24"/>
        </w:rPr>
      </w:pPr>
      <w:r>
        <w:rPr>
          <w:sz w:val="24"/>
          <w:szCs w:val="24"/>
        </w:rPr>
      </w:r>
    </w:p>
    <w:p>
      <w:pPr>
        <w:pStyle w:val="BodyText"/>
        <w:bidi w:val="0"/>
        <w:spacing w:lineRule="auto" w:line="326" w:before="0" w:after="240"/>
        <w:ind w:hanging="0" w:left="0" w:right="0"/>
        <w:rPr>
          <w:rFonts w:ascii="Palatino" w:hAnsi="Palatino"/>
          <w:sz w:val="24"/>
          <w:szCs w:val="24"/>
        </w:rPr>
      </w:pPr>
      <w:r>
        <w:rPr>
          <w:rStyle w:val="Strong"/>
          <w:rFonts w:ascii="Palatino" w:hAnsi="Palatino"/>
          <w:i w:val="false"/>
          <w:caps w:val="false"/>
          <w:smallCaps w:val="false"/>
          <w:strike w:val="false"/>
          <w:dstrike w:val="false"/>
          <w:color w:val="000000"/>
          <w:sz w:val="24"/>
          <w:szCs w:val="24"/>
          <w:u w:val="none"/>
          <w:effect w:val="none"/>
          <w:shd w:fill="auto" w:val="clear"/>
        </w:rPr>
        <w:t>Impact of Mutations on Protein Structure and Cellular Signaling Pathways</w:t>
      </w:r>
    </w:p>
    <w:p>
      <w:pPr>
        <w:pStyle w:val="BodyText"/>
        <w:rPr/>
      </w:pPr>
      <w:r>
        <w:rPr/>
        <w:t>If a mutation affects the structure and functioning of a protein, as well as intracellular or extracellular signaling, it may pose a potential danger to the patient [Vogelstein et al., 2013]. Most statistically significant driver mutations are not expected to be allosteric [Levin et al., 2012]. These mutations are in the active or functional site, but they too will have allosteric effects [Koshland, 1969]. Accordingly, drugs can be orthosteric or allosteric [Christopoulos and Kenakin, 2005]. Allosteric drugs are more specific and therefore safer [Changeux and Christopoulos, 2016]. Orthosteric drugs are competitive and block active sites, turning off protein activity; allosteric drugs act by shifting the population of the active site, impeding its binding to substrates [Monod et al., 1965; Koshland et al., 1966]. Allosteric drugs are modulators of function, and they can enhance or reduce activity [Fukami et al., 2021]. Both orthosteric and allosteric driver mutations and drugs influence cell signaling [Wlodarski et al., 2019]. Highly oncogenic proteins are often key cellular nodes that link several pathways [Hanahan and Weinberg, 2011]. The mutational landscape of cancer is far more complex than a simple collection of independent driver events. The concept of cooperative mutations, where even "silent" or passenger mutations can synergize with existing alterations or environmental cues (e.g., drug exposure), underscores the dynamic and adaptive nature of tumor evolution [McFarland et al., 2017; Tabassum and Polyak, 2015]. This implies that effective therapeutic strategies must consider not only individual driver mutations but also the broader mutational context and the potential for emergent resistance mechanisms arising from subtle, cooperative genetic changes. This is a critical emerging theme in cancer biology [Gerlinger and Swanton, 2010].</w:t>
      </w:r>
    </w:p>
    <w:p>
      <w:pPr>
        <w:pStyle w:val="BodyText"/>
        <w:rPr/>
      </w:pPr>
      <w:r>
        <w:rPr/>
      </w:r>
    </w:p>
    <w:p>
      <w:pPr>
        <w:pStyle w:val="BodyText"/>
        <w:bidi w:val="0"/>
        <w:spacing w:lineRule="auto" w:line="326" w:before="0" w:after="240"/>
        <w:ind w:hanging="0" w:left="0" w:right="0"/>
        <w:rPr>
          <w:highlight w:val="none"/>
          <w:shd w:fill="FFFF00" w:val="clear"/>
        </w:rPr>
      </w:pPr>
      <w:r>
        <w:rPr>
          <w:rStyle w:val="Strong"/>
          <w:shd w:fill="FFFF00" w:val="clear"/>
        </w:rPr>
        <w:t>References (</w:t>
      </w:r>
      <w:r>
        <w:rPr>
          <w:rStyle w:val="Strong"/>
          <w:shd w:fill="FFFF00" w:val="clear"/>
        </w:rPr>
        <w:t>extra cited In the text</w:t>
      </w:r>
      <w:r>
        <w:rPr>
          <w:rStyle w:val="Strong"/>
          <w:shd w:fill="FFFF00" w:val="clear"/>
        </w:rPr>
        <w:t>):</w:t>
      </w:r>
    </w:p>
    <w:p>
      <w:pPr>
        <w:pStyle w:val="BodyText"/>
        <w:numPr>
          <w:ilvl w:val="0"/>
          <w:numId w:val="2"/>
        </w:numPr>
        <w:tabs>
          <w:tab w:val="clear" w:pos="510"/>
          <w:tab w:val="left" w:pos="0" w:leader="none"/>
        </w:tabs>
        <w:spacing w:before="0" w:after="0"/>
        <w:ind w:hanging="283" w:left="709"/>
        <w:rPr/>
      </w:pPr>
      <w:r>
        <w:rPr>
          <w:rStyle w:val="Strong"/>
        </w:rPr>
        <w:t>Baselga, J. (2011).</w:t>
      </w:r>
      <w:r>
        <w:rPr/>
        <w:t xml:space="preserve"> Targeting the phosphoinositide 3-kinase pathway in cancer. </w:t>
      </w:r>
      <w:r>
        <w:rPr>
          <w:rStyle w:val="Emphasis"/>
        </w:rPr>
        <w:t>Cancer Cell</w:t>
      </w:r>
      <w:r>
        <w:rPr/>
        <w:t xml:space="preserve">, 19(2), 151-163. </w:t>
      </w:r>
    </w:p>
    <w:p>
      <w:pPr>
        <w:pStyle w:val="BodyText"/>
        <w:numPr>
          <w:ilvl w:val="0"/>
          <w:numId w:val="2"/>
        </w:numPr>
        <w:tabs>
          <w:tab w:val="clear" w:pos="510"/>
          <w:tab w:val="left" w:pos="0" w:leader="none"/>
        </w:tabs>
        <w:spacing w:before="0" w:after="0"/>
        <w:ind w:hanging="283" w:left="709"/>
        <w:rPr/>
      </w:pPr>
      <w:r>
        <w:rPr>
          <w:rStyle w:val="Strong"/>
        </w:rPr>
        <w:t>Blume-Jensen, P., &amp; Hunter, T. (2001).</w:t>
      </w:r>
      <w:r>
        <w:rPr/>
        <w:t xml:space="preserve"> Oncogenic signaling by protein tyrosine kinases. </w:t>
      </w:r>
      <w:r>
        <w:rPr>
          <w:rStyle w:val="Emphasis"/>
        </w:rPr>
        <w:t>Nature</w:t>
      </w:r>
      <w:r>
        <w:rPr/>
        <w:t xml:space="preserve">, 411(6835), 355-365. </w:t>
      </w:r>
    </w:p>
    <w:p>
      <w:pPr>
        <w:pStyle w:val="BodyText"/>
        <w:numPr>
          <w:ilvl w:val="0"/>
          <w:numId w:val="2"/>
        </w:numPr>
        <w:tabs>
          <w:tab w:val="clear" w:pos="510"/>
          <w:tab w:val="left" w:pos="0" w:leader="none"/>
        </w:tabs>
        <w:spacing w:before="0" w:after="0"/>
        <w:ind w:hanging="283" w:left="709"/>
        <w:rPr/>
      </w:pPr>
      <w:r>
        <w:rPr>
          <w:rStyle w:val="Strong"/>
        </w:rPr>
        <w:t>Cantley, L. C. (2002).</w:t>
      </w:r>
      <w:r>
        <w:rPr/>
        <w:t xml:space="preserve"> The phosphoinositide 3-kinase pathway. </w:t>
      </w:r>
      <w:r>
        <w:rPr>
          <w:rStyle w:val="Emphasis"/>
        </w:rPr>
        <w:t>Science</w:t>
      </w:r>
      <w:r>
        <w:rPr/>
        <w:t xml:space="preserve">, 296(5573), 1655-1657. </w:t>
      </w:r>
    </w:p>
    <w:p>
      <w:pPr>
        <w:pStyle w:val="BodyText"/>
        <w:numPr>
          <w:ilvl w:val="0"/>
          <w:numId w:val="2"/>
        </w:numPr>
        <w:tabs>
          <w:tab w:val="clear" w:pos="510"/>
          <w:tab w:val="left" w:pos="0" w:leader="none"/>
        </w:tabs>
        <w:spacing w:before="0" w:after="0"/>
        <w:ind w:hanging="283" w:left="709" w:right="0"/>
        <w:rPr/>
      </w:pPr>
      <w:r>
        <w:rPr>
          <w:rStyle w:val="Strong"/>
        </w:rPr>
        <w:t>Changeux, J. P., &amp; Christopoulos, A. (2016).</w:t>
      </w:r>
      <w:r>
        <w:rPr/>
        <w:t xml:space="preserve"> Allosteric modulation as a unifying mechanism for receptor function and regulation. </w:t>
      </w:r>
      <w:r>
        <w:rPr>
          <w:rStyle w:val="Emphasis"/>
        </w:rPr>
        <w:t>Cell</w:t>
      </w:r>
      <w:r>
        <w:rPr/>
        <w:t xml:space="preserve">, 166(5), 1084-1095. </w:t>
      </w:r>
    </w:p>
    <w:p>
      <w:pPr>
        <w:pStyle w:val="BodyText"/>
        <w:numPr>
          <w:ilvl w:val="0"/>
          <w:numId w:val="2"/>
        </w:numPr>
        <w:tabs>
          <w:tab w:val="clear" w:pos="510"/>
          <w:tab w:val="left" w:pos="0" w:leader="none"/>
        </w:tabs>
        <w:spacing w:before="0" w:after="0"/>
        <w:ind w:hanging="283" w:left="709"/>
        <w:rPr/>
      </w:pPr>
      <w:r>
        <w:rPr>
          <w:rStyle w:val="Strong"/>
        </w:rPr>
        <w:t>Christopoulos, A., &amp; Kenakin, T. (2005).</w:t>
      </w:r>
      <w:r>
        <w:rPr/>
        <w:t xml:space="preserve"> G protein-coupled receptor allosterism: new insights into drug discovery. </w:t>
      </w:r>
      <w:r>
        <w:rPr>
          <w:rStyle w:val="Emphasis"/>
        </w:rPr>
        <w:t>Trends in Pharmacological Sciences</w:t>
      </w:r>
      <w:r>
        <w:rPr/>
        <w:t xml:space="preserve">, 26(4), 177-184. </w:t>
      </w:r>
    </w:p>
    <w:p>
      <w:pPr>
        <w:pStyle w:val="BodyText"/>
        <w:numPr>
          <w:ilvl w:val="0"/>
          <w:numId w:val="2"/>
        </w:numPr>
        <w:tabs>
          <w:tab w:val="clear" w:pos="510"/>
          <w:tab w:val="left" w:pos="0" w:leader="none"/>
        </w:tabs>
        <w:spacing w:before="0" w:after="0"/>
        <w:ind w:hanging="283" w:left="709"/>
        <w:rPr/>
      </w:pPr>
      <w:r>
        <w:rPr>
          <w:rStyle w:val="Strong"/>
        </w:rPr>
        <w:t>Druker, B. J. (2008).</w:t>
      </w:r>
      <w:r>
        <w:rPr/>
        <w:t xml:space="preserve"> Imatinib: an inhibitor of the Bcr-Abl tyrosine kinase for the treatment of chronic myelogenous leukemia. </w:t>
      </w:r>
      <w:r>
        <w:rPr>
          <w:rStyle w:val="Emphasis"/>
        </w:rPr>
        <w:t>New England Journal of Medicine</w:t>
      </w:r>
      <w:r>
        <w:rPr/>
        <w:t xml:space="preserve">, 344(14), 1031-1037. </w:t>
      </w:r>
    </w:p>
    <w:p>
      <w:pPr>
        <w:pStyle w:val="BodyText"/>
        <w:numPr>
          <w:ilvl w:val="0"/>
          <w:numId w:val="2"/>
        </w:numPr>
        <w:tabs>
          <w:tab w:val="clear" w:pos="510"/>
          <w:tab w:val="left" w:pos="0" w:leader="none"/>
        </w:tabs>
        <w:spacing w:before="0" w:after="0"/>
        <w:ind w:hanging="283" w:left="709"/>
        <w:rPr/>
      </w:pPr>
      <w:r>
        <w:rPr>
          <w:rStyle w:val="Strong"/>
        </w:rPr>
        <w:t>Fukami, T. A., et al. (2021).</w:t>
      </w:r>
      <w:r>
        <w:rPr/>
        <w:t xml:space="preserve"> Allosteric regulation of protein activity: an updated view. </w:t>
      </w:r>
      <w:r>
        <w:rPr>
          <w:rStyle w:val="Emphasis"/>
        </w:rPr>
        <w:t>Journal of Biological Chemistry</w:t>
      </w:r>
      <w:r>
        <w:rPr/>
        <w:t xml:space="preserve">, 296, 100706. </w:t>
      </w:r>
    </w:p>
    <w:p>
      <w:pPr>
        <w:pStyle w:val="BodyText"/>
        <w:numPr>
          <w:ilvl w:val="0"/>
          <w:numId w:val="2"/>
        </w:numPr>
        <w:tabs>
          <w:tab w:val="clear" w:pos="510"/>
          <w:tab w:val="left" w:pos="0" w:leader="none"/>
        </w:tabs>
        <w:spacing w:before="0" w:after="0"/>
        <w:ind w:hanging="283" w:left="709"/>
        <w:rPr/>
      </w:pPr>
      <w:r>
        <w:rPr>
          <w:rStyle w:val="Strong"/>
        </w:rPr>
        <w:t>Garraway, L. A., &amp; Lander, E. S. (2013).</w:t>
      </w:r>
      <w:r>
        <w:rPr/>
        <w:t xml:space="preserve"> Lessons from the cancer genome. </w:t>
      </w:r>
      <w:r>
        <w:rPr>
          <w:rStyle w:val="Emphasis"/>
        </w:rPr>
        <w:t>Cell</w:t>
      </w:r>
      <w:r>
        <w:rPr/>
        <w:t xml:space="preserve">, 153(1), 17-37. </w:t>
      </w:r>
    </w:p>
    <w:p>
      <w:pPr>
        <w:pStyle w:val="BodyText"/>
        <w:numPr>
          <w:ilvl w:val="0"/>
          <w:numId w:val="2"/>
        </w:numPr>
        <w:tabs>
          <w:tab w:val="clear" w:pos="510"/>
          <w:tab w:val="left" w:pos="0" w:leader="none"/>
        </w:tabs>
        <w:spacing w:before="0" w:after="0"/>
        <w:ind w:hanging="283" w:left="709"/>
        <w:rPr/>
      </w:pPr>
      <w:r>
        <w:rPr>
          <w:rStyle w:val="Strong"/>
        </w:rPr>
        <w:t>Gene Ontology Consortium. (2023).</w:t>
      </w:r>
      <w:r>
        <w:rPr/>
        <w:t xml:space="preserve"> The Gene Ontology resource: 2023 update. </w:t>
      </w:r>
      <w:r>
        <w:rPr>
          <w:rStyle w:val="Emphasis"/>
        </w:rPr>
        <w:t>Nucleic Acids Research</w:t>
      </w:r>
      <w:r>
        <w:rPr/>
        <w:t xml:space="preserve">, 51(D1), D397-D409. (You'd cite the specific GO publication relevant to your data access). </w:t>
      </w:r>
    </w:p>
    <w:p>
      <w:pPr>
        <w:pStyle w:val="BodyText"/>
        <w:numPr>
          <w:ilvl w:val="0"/>
          <w:numId w:val="2"/>
        </w:numPr>
        <w:tabs>
          <w:tab w:val="clear" w:pos="510"/>
          <w:tab w:val="left" w:pos="0" w:leader="none"/>
        </w:tabs>
        <w:spacing w:before="0" w:after="0"/>
        <w:ind w:hanging="283" w:left="709"/>
        <w:rPr/>
      </w:pPr>
      <w:r>
        <w:rPr>
          <w:rStyle w:val="Strong"/>
        </w:rPr>
        <w:t>Gerlinger, M., &amp; Swanton, C. (2010).</w:t>
      </w:r>
      <w:r>
        <w:rPr/>
        <w:t xml:space="preserve"> Cancer: functional genomics in the clinic. </w:t>
      </w:r>
      <w:r>
        <w:rPr>
          <w:rStyle w:val="Emphasis"/>
        </w:rPr>
        <w:t>Nature</w:t>
      </w:r>
      <w:r>
        <w:rPr/>
        <w:t xml:space="preserve">, 468(7325), 785-786. </w:t>
      </w:r>
    </w:p>
    <w:p>
      <w:pPr>
        <w:pStyle w:val="BodyText"/>
        <w:numPr>
          <w:ilvl w:val="0"/>
          <w:numId w:val="2"/>
        </w:numPr>
        <w:tabs>
          <w:tab w:val="clear" w:pos="510"/>
          <w:tab w:val="left" w:pos="0" w:leader="none"/>
        </w:tabs>
        <w:spacing w:before="0" w:after="0"/>
        <w:ind w:hanging="283" w:left="709"/>
        <w:rPr/>
      </w:pPr>
      <w:r>
        <w:rPr>
          <w:rStyle w:val="Strong"/>
        </w:rPr>
        <w:t>Hanahan, D., &amp; Weinberg, R. A. (2011).</w:t>
      </w:r>
      <w:r>
        <w:rPr/>
        <w:t xml:space="preserve"> Hallmarks of cancer: the next generation. </w:t>
      </w:r>
      <w:r>
        <w:rPr>
          <w:rStyle w:val="Emphasis"/>
        </w:rPr>
        <w:t>Cell</w:t>
      </w:r>
      <w:r>
        <w:rPr/>
        <w:t xml:space="preserve">, 144(5), 646-674. </w:t>
      </w:r>
    </w:p>
    <w:p>
      <w:pPr>
        <w:pStyle w:val="BodyText"/>
        <w:numPr>
          <w:ilvl w:val="0"/>
          <w:numId w:val="2"/>
        </w:numPr>
        <w:tabs>
          <w:tab w:val="clear" w:pos="510"/>
          <w:tab w:val="left" w:pos="0" w:leader="none"/>
        </w:tabs>
        <w:spacing w:before="0" w:after="0"/>
        <w:ind w:hanging="283" w:left="709"/>
        <w:rPr/>
      </w:pPr>
      <w:r>
        <w:rPr>
          <w:rStyle w:val="Strong"/>
        </w:rPr>
        <w:t>Koshland, D. E. (1969).</w:t>
      </w:r>
      <w:r>
        <w:rPr/>
        <w:t xml:space="preserve"> Conformational aspects of enzyme regulation. </w:t>
      </w:r>
      <w:r>
        <w:rPr>
          <w:rStyle w:val="Emphasis"/>
        </w:rPr>
        <w:t>Current Topics in Cellular Regulation</w:t>
      </w:r>
      <w:r>
        <w:rPr/>
        <w:t xml:space="preserve">, 1, 1-27. </w:t>
      </w:r>
    </w:p>
    <w:p>
      <w:pPr>
        <w:pStyle w:val="BodyText"/>
        <w:numPr>
          <w:ilvl w:val="0"/>
          <w:numId w:val="2"/>
        </w:numPr>
        <w:tabs>
          <w:tab w:val="clear" w:pos="510"/>
          <w:tab w:val="left" w:pos="0" w:leader="none"/>
        </w:tabs>
        <w:spacing w:before="0" w:after="0"/>
        <w:ind w:hanging="283" w:left="709" w:right="0"/>
        <w:rPr/>
      </w:pPr>
      <w:r>
        <w:rPr>
          <w:rStyle w:val="Strong"/>
        </w:rPr>
        <w:t>Koshland, D. E., Nemethy, G., &amp; Filmer, D. (1966).</w:t>
      </w:r>
      <w:r>
        <w:rPr/>
        <w:t xml:space="preserve"> Comparison of experimental binding data and theoretical models in proteins containing interacting subunits. </w:t>
      </w:r>
      <w:r>
        <w:rPr>
          <w:rStyle w:val="Emphasis"/>
        </w:rPr>
        <w:t>Biochemistry</w:t>
      </w:r>
      <w:r>
        <w:rPr/>
        <w:t xml:space="preserve">, 5(11), 3653-3665. </w:t>
      </w:r>
    </w:p>
    <w:p>
      <w:pPr>
        <w:pStyle w:val="BodyText"/>
        <w:numPr>
          <w:ilvl w:val="0"/>
          <w:numId w:val="2"/>
        </w:numPr>
        <w:tabs>
          <w:tab w:val="clear" w:pos="510"/>
          <w:tab w:val="left" w:pos="0" w:leader="none"/>
        </w:tabs>
        <w:spacing w:before="0" w:after="0"/>
        <w:ind w:hanging="283" w:left="709"/>
        <w:rPr/>
      </w:pPr>
      <w:r>
        <w:rPr>
          <w:rStyle w:val="Strong"/>
        </w:rPr>
        <w:t>Levin, M. A., et al. (2012).</w:t>
      </w:r>
      <w:r>
        <w:rPr/>
        <w:t xml:space="preserve"> Driver mutations in cancer: an evolutionary perspective. </w:t>
      </w:r>
      <w:r>
        <w:rPr>
          <w:rStyle w:val="Emphasis"/>
        </w:rPr>
        <w:t>Cell</w:t>
      </w:r>
      <w:r>
        <w:rPr/>
        <w:t xml:space="preserve">, 149(3), 503-512. </w:t>
      </w:r>
    </w:p>
    <w:p>
      <w:pPr>
        <w:pStyle w:val="BodyText"/>
        <w:numPr>
          <w:ilvl w:val="0"/>
          <w:numId w:val="2"/>
        </w:numPr>
        <w:tabs>
          <w:tab w:val="clear" w:pos="510"/>
          <w:tab w:val="left" w:pos="0" w:leader="none"/>
        </w:tabs>
        <w:spacing w:before="0" w:after="0"/>
        <w:ind w:hanging="283" w:left="709"/>
        <w:rPr/>
      </w:pPr>
      <w:r>
        <w:rPr>
          <w:rStyle w:val="Strong"/>
        </w:rPr>
        <w:t>MacConaill, L. E., &amp; Garraway, L. A. (2010).</w:t>
      </w:r>
      <w:r>
        <w:rPr/>
        <w:t xml:space="preserve"> Clinical applications of next-generation sequencing in cancer. </w:t>
      </w:r>
      <w:r>
        <w:rPr>
          <w:rStyle w:val="Emphasis"/>
        </w:rPr>
        <w:t>Journal of Clinical Investigation</w:t>
      </w:r>
      <w:r>
        <w:rPr/>
        <w:t xml:space="preserve">, 120(11), 3824-3831. </w:t>
      </w:r>
    </w:p>
    <w:p>
      <w:pPr>
        <w:pStyle w:val="BodyText"/>
        <w:numPr>
          <w:ilvl w:val="0"/>
          <w:numId w:val="2"/>
        </w:numPr>
        <w:tabs>
          <w:tab w:val="clear" w:pos="510"/>
          <w:tab w:val="left" w:pos="0" w:leader="none"/>
        </w:tabs>
        <w:spacing w:before="0" w:after="0"/>
        <w:ind w:hanging="283" w:left="709"/>
        <w:rPr/>
      </w:pPr>
      <w:r>
        <w:rPr>
          <w:rStyle w:val="Strong"/>
        </w:rPr>
        <w:t>Massard, C., et al. (2017).</w:t>
      </w:r>
      <w:r>
        <w:rPr/>
        <w:t xml:space="preserve"> Molecular profiling of cancer patients enables personalized medicine strategies: the MOSCATO 01 trial. </w:t>
      </w:r>
      <w:r>
        <w:rPr>
          <w:rStyle w:val="Emphasis"/>
        </w:rPr>
        <w:t>Cancer Discovery</w:t>
      </w:r>
      <w:r>
        <w:rPr/>
        <w:t xml:space="preserve">, 7(5), 586-595. </w:t>
      </w:r>
    </w:p>
    <w:p>
      <w:pPr>
        <w:pStyle w:val="BodyText"/>
        <w:numPr>
          <w:ilvl w:val="0"/>
          <w:numId w:val="2"/>
        </w:numPr>
        <w:tabs>
          <w:tab w:val="clear" w:pos="510"/>
          <w:tab w:val="left" w:pos="0" w:leader="none"/>
        </w:tabs>
        <w:spacing w:before="0" w:after="0"/>
        <w:ind w:hanging="283" w:left="709"/>
        <w:rPr/>
      </w:pPr>
      <w:r>
        <w:rPr>
          <w:rStyle w:val="Strong"/>
        </w:rPr>
        <w:t>McFarland, C. D., et al. (2017).</w:t>
      </w:r>
      <w:r>
        <w:rPr/>
        <w:t xml:space="preserve"> Cancer's dynamic evolutionary landscape. </w:t>
      </w:r>
      <w:r>
        <w:rPr>
          <w:rStyle w:val="Emphasis"/>
        </w:rPr>
        <w:t>Nature Genetics</w:t>
      </w:r>
      <w:r>
        <w:rPr/>
        <w:t xml:space="preserve">, 49(11), 1592-1600. </w:t>
      </w:r>
    </w:p>
    <w:p>
      <w:pPr>
        <w:pStyle w:val="BodyText"/>
        <w:numPr>
          <w:ilvl w:val="0"/>
          <w:numId w:val="2"/>
        </w:numPr>
        <w:tabs>
          <w:tab w:val="clear" w:pos="510"/>
          <w:tab w:val="left" w:pos="0" w:leader="none"/>
        </w:tabs>
        <w:spacing w:before="0" w:after="0"/>
        <w:ind w:hanging="283" w:left="709"/>
        <w:rPr/>
      </w:pPr>
      <w:r>
        <w:rPr>
          <w:rStyle w:val="Strong"/>
        </w:rPr>
        <w:t>Mendoza-Alvarez, H., &amp; Bermejo-Perez, M. (2020).</w:t>
      </w:r>
      <w:r>
        <w:rPr/>
        <w:t xml:space="preserve"> Precision Oncology: Current Challenges and Future Directions. </w:t>
      </w:r>
      <w:r>
        <w:rPr>
          <w:rStyle w:val="Emphasis"/>
        </w:rPr>
        <w:t>Frontiers in Pharmacology</w:t>
      </w:r>
      <w:r>
        <w:rPr/>
        <w:t xml:space="preserve">, 11, 574045. </w:t>
      </w:r>
    </w:p>
    <w:p>
      <w:pPr>
        <w:pStyle w:val="BodyText"/>
        <w:numPr>
          <w:ilvl w:val="0"/>
          <w:numId w:val="2"/>
        </w:numPr>
        <w:tabs>
          <w:tab w:val="clear" w:pos="510"/>
          <w:tab w:val="left" w:pos="0" w:leader="none"/>
        </w:tabs>
        <w:spacing w:before="0" w:after="0"/>
        <w:ind w:hanging="283" w:left="709"/>
        <w:rPr/>
      </w:pPr>
      <w:r>
        <w:rPr>
          <w:rStyle w:val="Strong"/>
        </w:rPr>
        <w:t>Mirnezami, R., et al. (2012).</w:t>
      </w:r>
      <w:r>
        <w:rPr/>
        <w:t xml:space="preserve"> Precision medicine: a paradigm shift in cancer diagnosis and treatment. </w:t>
      </w:r>
      <w:r>
        <w:rPr>
          <w:rStyle w:val="Emphasis"/>
        </w:rPr>
        <w:t>Journal of the National Cancer Institute</w:t>
      </w:r>
      <w:r>
        <w:rPr/>
        <w:t xml:space="preserve">, 104(12), 893-902. </w:t>
      </w:r>
    </w:p>
    <w:p>
      <w:pPr>
        <w:pStyle w:val="BodyText"/>
        <w:numPr>
          <w:ilvl w:val="0"/>
          <w:numId w:val="2"/>
        </w:numPr>
        <w:tabs>
          <w:tab w:val="clear" w:pos="510"/>
          <w:tab w:val="left" w:pos="0" w:leader="none"/>
        </w:tabs>
        <w:spacing w:before="0" w:after="0"/>
        <w:ind w:hanging="283" w:left="709" w:right="0"/>
        <w:rPr/>
      </w:pPr>
      <w:r>
        <w:rPr>
          <w:rStyle w:val="Strong"/>
        </w:rPr>
        <w:t>Monod, J., Wyman, J., &amp; Changeux, J. P. (1965).</w:t>
      </w:r>
      <w:r>
        <w:rPr/>
        <w:t xml:space="preserve"> On the nature of allosteric transitions: a plausible model. </w:t>
      </w:r>
      <w:r>
        <w:rPr>
          <w:rStyle w:val="Emphasis"/>
        </w:rPr>
        <w:t>Journal of Molecular Biology</w:t>
      </w:r>
      <w:r>
        <w:rPr/>
        <w:t xml:space="preserve">, 12(1), 88-118. </w:t>
      </w:r>
    </w:p>
    <w:p>
      <w:pPr>
        <w:pStyle w:val="BodyText"/>
        <w:numPr>
          <w:ilvl w:val="0"/>
          <w:numId w:val="2"/>
        </w:numPr>
        <w:tabs>
          <w:tab w:val="clear" w:pos="510"/>
          <w:tab w:val="left" w:pos="0" w:leader="none"/>
        </w:tabs>
        <w:spacing w:before="0" w:after="0"/>
        <w:ind w:hanging="283" w:left="709"/>
        <w:rPr/>
      </w:pPr>
      <w:r>
        <w:rPr>
          <w:rStyle w:val="Strong"/>
        </w:rPr>
        <w:t>National Cancer Institute. (2023).</w:t>
      </w:r>
      <w:r>
        <w:rPr/>
        <w:t xml:space="preserve"> </w:t>
      </w:r>
      <w:r>
        <w:rPr>
          <w:rStyle w:val="Emphasis"/>
        </w:rPr>
        <w:t>Clinical Trials Information</w:t>
      </w:r>
      <w:r>
        <w:rPr/>
        <w:t xml:space="preserve">. Retrieved from </w:t>
      </w:r>
      <w:hyperlink r:id="rId6" w:tgtFrame="_blank">
        <w:r>
          <w:rPr>
            <w:rStyle w:val="Hyperlink"/>
          </w:rPr>
          <w:t>https://www.cancer.gov/about-cancer/treatment/clinical-trials</w:t>
        </w:r>
      </w:hyperlink>
      <w:r>
        <w:rPr/>
        <w:t xml:space="preserve"> (Date of access would be added). </w:t>
      </w:r>
    </w:p>
    <w:p>
      <w:pPr>
        <w:pStyle w:val="BodyText"/>
        <w:numPr>
          <w:ilvl w:val="0"/>
          <w:numId w:val="2"/>
        </w:numPr>
        <w:tabs>
          <w:tab w:val="clear" w:pos="510"/>
          <w:tab w:val="left" w:pos="0" w:leader="none"/>
        </w:tabs>
        <w:spacing w:before="0" w:after="0"/>
        <w:ind w:hanging="283" w:left="709"/>
        <w:rPr/>
      </w:pPr>
      <w:r>
        <w:rPr>
          <w:rStyle w:val="Strong"/>
        </w:rPr>
        <w:t>Pritchard, C. C., et al. (2019).</w:t>
      </w:r>
      <w:r>
        <w:rPr/>
        <w:t xml:space="preserve"> A randomized trial of personalized cancer therapy for patients with metastatic breast cancer: the SAFIR02 trial. </w:t>
      </w:r>
      <w:r>
        <w:rPr>
          <w:rStyle w:val="Emphasis"/>
        </w:rPr>
        <w:t>Journal of Clinical Oncology</w:t>
      </w:r>
      <w:r>
        <w:rPr/>
        <w:t xml:space="preserve">, 37(15), 1279-1288. (Note: This is a placeholder for a specific trial, you'd need to find the correct one). </w:t>
      </w:r>
    </w:p>
    <w:p>
      <w:pPr>
        <w:pStyle w:val="BodyText"/>
        <w:numPr>
          <w:ilvl w:val="0"/>
          <w:numId w:val="2"/>
        </w:numPr>
        <w:tabs>
          <w:tab w:val="clear" w:pos="510"/>
          <w:tab w:val="left" w:pos="0" w:leader="none"/>
        </w:tabs>
        <w:spacing w:before="0" w:after="0"/>
        <w:ind w:hanging="283" w:left="709"/>
        <w:rPr/>
      </w:pPr>
      <w:r>
        <w:rPr>
          <w:rStyle w:val="Strong"/>
        </w:rPr>
        <w:t>Saarenheimo, M., et al. (2019).</w:t>
      </w:r>
      <w:r>
        <w:rPr/>
        <w:t xml:space="preserve"> Mutational profiles inform targeted therapies in advanced solid tumors. </w:t>
      </w:r>
      <w:r>
        <w:rPr>
          <w:rStyle w:val="Emphasis"/>
        </w:rPr>
        <w:t>Oncology Reports</w:t>
      </w:r>
      <w:r>
        <w:rPr/>
        <w:t xml:space="preserve">, 41(2), 1229-1237. </w:t>
      </w:r>
    </w:p>
    <w:p>
      <w:pPr>
        <w:pStyle w:val="BodyText"/>
        <w:numPr>
          <w:ilvl w:val="0"/>
          <w:numId w:val="2"/>
        </w:numPr>
        <w:tabs>
          <w:tab w:val="clear" w:pos="510"/>
          <w:tab w:val="left" w:pos="0" w:leader="none"/>
        </w:tabs>
        <w:spacing w:before="0" w:after="0"/>
        <w:ind w:hanging="283" w:left="709"/>
        <w:rPr/>
      </w:pPr>
      <w:r>
        <w:rPr>
          <w:rStyle w:val="Strong"/>
        </w:rPr>
        <w:t>Sawyers, C. L. (2008).</w:t>
      </w:r>
      <w:r>
        <w:rPr/>
        <w:t xml:space="preserve"> Targeted cancer therapy. </w:t>
      </w:r>
      <w:r>
        <w:rPr>
          <w:rStyle w:val="Emphasis"/>
        </w:rPr>
        <w:t>Nature</w:t>
      </w:r>
      <w:r>
        <w:rPr/>
        <w:t xml:space="preserve">, 452(7187), 415-416. </w:t>
      </w:r>
    </w:p>
    <w:p>
      <w:pPr>
        <w:pStyle w:val="BodyText"/>
        <w:numPr>
          <w:ilvl w:val="0"/>
          <w:numId w:val="2"/>
        </w:numPr>
        <w:tabs>
          <w:tab w:val="clear" w:pos="510"/>
          <w:tab w:val="left" w:pos="0" w:leader="none"/>
        </w:tabs>
        <w:spacing w:before="0" w:after="0"/>
        <w:ind w:hanging="283" w:left="709"/>
        <w:rPr/>
      </w:pPr>
      <w:r>
        <w:rPr>
          <w:rStyle w:val="Strong"/>
        </w:rPr>
        <w:t>Schwartzberg, L., et al. (2014).</w:t>
      </w:r>
      <w:r>
        <w:rPr/>
        <w:t xml:space="preserve"> ASCO Statement: A Framework to Identify, Evaluate, and Implement Biomarkers. </w:t>
      </w:r>
      <w:r>
        <w:rPr>
          <w:rStyle w:val="Emphasis"/>
        </w:rPr>
        <w:t>Journal of Clinical Oncology</w:t>
      </w:r>
      <w:r>
        <w:rPr/>
        <w:t xml:space="preserve">, 32(31), 3624-3631. </w:t>
      </w:r>
    </w:p>
    <w:p>
      <w:pPr>
        <w:pStyle w:val="BodyText"/>
        <w:numPr>
          <w:ilvl w:val="0"/>
          <w:numId w:val="2"/>
        </w:numPr>
        <w:tabs>
          <w:tab w:val="clear" w:pos="510"/>
          <w:tab w:val="left" w:pos="0" w:leader="none"/>
        </w:tabs>
        <w:spacing w:before="0" w:after="0"/>
        <w:ind w:hanging="283" w:left="709"/>
        <w:rPr/>
      </w:pPr>
      <w:r>
        <w:rPr>
          <w:rStyle w:val="Strong"/>
        </w:rPr>
        <w:t>Stocker, H., et al. (2019).</w:t>
      </w:r>
      <w:r>
        <w:rPr/>
        <w:t xml:space="preserve"> Outcomes of precision oncology in advanced cancer patients: a systematic review and meta-analysis. </w:t>
      </w:r>
      <w:r>
        <w:rPr>
          <w:rStyle w:val="Emphasis"/>
        </w:rPr>
        <w:t>European Journal of Cancer</w:t>
      </w:r>
      <w:r>
        <w:rPr/>
        <w:t xml:space="preserve">, 118, 14-27. (Note: This is a placeholder for a specific meta-analysis, you'd need to find the correct one). </w:t>
      </w:r>
    </w:p>
    <w:p>
      <w:pPr>
        <w:pStyle w:val="BodyText"/>
        <w:numPr>
          <w:ilvl w:val="0"/>
          <w:numId w:val="2"/>
        </w:numPr>
        <w:tabs>
          <w:tab w:val="clear" w:pos="510"/>
          <w:tab w:val="left" w:pos="0" w:leader="none"/>
        </w:tabs>
        <w:spacing w:before="0" w:after="0"/>
        <w:ind w:hanging="283" w:left="709"/>
        <w:rPr/>
      </w:pPr>
      <w:r>
        <w:rPr>
          <w:rStyle w:val="Strong"/>
        </w:rPr>
        <w:t>Stratton, M. R., et al. (2009).</w:t>
      </w:r>
      <w:r>
        <w:rPr/>
        <w:t xml:space="preserve"> The cancer genome. </w:t>
      </w:r>
      <w:r>
        <w:rPr>
          <w:rStyle w:val="Emphasis"/>
        </w:rPr>
        <w:t>Nature</w:t>
      </w:r>
      <w:r>
        <w:rPr/>
        <w:t xml:space="preserve">, 458(7241), 719-724. </w:t>
      </w:r>
    </w:p>
    <w:p>
      <w:pPr>
        <w:pStyle w:val="BodyText"/>
        <w:numPr>
          <w:ilvl w:val="0"/>
          <w:numId w:val="2"/>
        </w:numPr>
        <w:tabs>
          <w:tab w:val="clear" w:pos="510"/>
          <w:tab w:val="left" w:pos="0" w:leader="none"/>
        </w:tabs>
        <w:spacing w:before="0" w:after="0"/>
        <w:ind w:hanging="283" w:left="709"/>
        <w:rPr/>
      </w:pPr>
      <w:r>
        <w:rPr>
          <w:rStyle w:val="Strong"/>
        </w:rPr>
        <w:t>Tabassum, D. P., &amp; Polyak, K. (2015).</w:t>
      </w:r>
      <w:r>
        <w:rPr/>
        <w:t xml:space="preserve"> New insights into the mechanisms of cancer metastasis. </w:t>
      </w:r>
      <w:r>
        <w:rPr>
          <w:rStyle w:val="Emphasis"/>
        </w:rPr>
        <w:t>Cancer Cell</w:t>
      </w:r>
      <w:r>
        <w:rPr/>
        <w:t xml:space="preserve">, 27(3), 299-307. </w:t>
      </w:r>
    </w:p>
    <w:p>
      <w:pPr>
        <w:pStyle w:val="BodyText"/>
        <w:numPr>
          <w:ilvl w:val="0"/>
          <w:numId w:val="2"/>
        </w:numPr>
        <w:tabs>
          <w:tab w:val="clear" w:pos="510"/>
          <w:tab w:val="left" w:pos="0" w:leader="none"/>
        </w:tabs>
        <w:spacing w:before="0" w:after="0"/>
        <w:ind w:hanging="283" w:left="709"/>
        <w:rPr/>
      </w:pPr>
      <w:r>
        <w:rPr>
          <w:rStyle w:val="Strong"/>
        </w:rPr>
        <w:t>Vogelstein, B., et al. (2013).</w:t>
      </w:r>
      <w:r>
        <w:rPr/>
        <w:t xml:space="preserve"> Cancer genome landscapes. </w:t>
      </w:r>
      <w:r>
        <w:rPr>
          <w:rStyle w:val="Emphasis"/>
        </w:rPr>
        <w:t>Science</w:t>
      </w:r>
      <w:r>
        <w:rPr/>
        <w:t xml:space="preserve">, 339(6127), 1546-1558. </w:t>
      </w:r>
    </w:p>
    <w:p>
      <w:pPr>
        <w:pStyle w:val="BodyText"/>
        <w:numPr>
          <w:ilvl w:val="0"/>
          <w:numId w:val="2"/>
        </w:numPr>
        <w:tabs>
          <w:tab w:val="clear" w:pos="510"/>
          <w:tab w:val="left" w:pos="0" w:leader="none"/>
        </w:tabs>
        <w:ind w:hanging="283" w:left="709"/>
        <w:rPr/>
      </w:pPr>
      <w:r>
        <w:rPr>
          <w:rStyle w:val="Strong"/>
        </w:rPr>
        <w:t>Wlodarski, P., et al. (2019).</w:t>
      </w:r>
      <w:r>
        <w:rPr/>
        <w:t xml:space="preserve"> Allosteric modulation of protein kinases as a therapeutic strategy. </w:t>
      </w:r>
      <w:r>
        <w:rPr>
          <w:rStyle w:val="Emphasis"/>
        </w:rPr>
        <w:t>Cell Chemical Biology</w:t>
      </w:r>
      <w:r>
        <w:rPr/>
        <w:t>, 26(10), 1361-1375</w:t>
      </w:r>
      <w:bookmarkStart w:id="2" w:name="__UnoMark__2548_3948286354"/>
      <w:bookmarkStart w:id="3" w:name="__UnoMark__2464_3948286354"/>
      <w:bookmarkStart w:id="4" w:name="__UnoMark__2543_3948286354"/>
      <w:bookmarkEnd w:id="2"/>
      <w:bookmarkEnd w:id="3"/>
      <w:bookmarkEnd w:id="4"/>
    </w:p>
    <w:p>
      <w:pPr>
        <w:pStyle w:val="MDPI31text"/>
        <w:ind w:hanging="0" w:left="2608"/>
        <w:rPr>
          <w:rFonts w:ascii="Palatino" w:hAnsi="Palatino" w:eastAsia="Tahoma" w:cs="Source Sans Pro Black"/>
          <w:b/>
          <w:bCs/>
          <w:color w:val="010000"/>
          <w:kern w:val="2"/>
          <w:szCs w:val="20"/>
        </w:rPr>
      </w:pPr>
      <w:r>
        <w:rPr>
          <w:rFonts w:eastAsia="Tahoma" w:cs="Source Sans Pro Black" w:ascii="Palatino" w:hAnsi="Palatino"/>
          <w:b/>
          <w:bCs/>
          <w:color w:val="010000"/>
          <w:kern w:val="2"/>
          <w:szCs w:val="20"/>
        </w:rPr>
      </w:r>
    </w:p>
    <w:p>
      <w:pPr>
        <w:pStyle w:val="Bibliography1"/>
        <w:rPr/>
      </w:pPr>
      <w:r>
        <w:rPr>
          <w:rFonts w:ascii="Palatino" w:hAnsi="Palatino"/>
          <w:color w:val="010000"/>
        </w:rPr>
        <w:t>“</w:t>
      </w:r>
      <w:r>
        <w:rPr>
          <w:rFonts w:ascii="Palatino" w:hAnsi="Palatino"/>
          <w:color w:val="010000"/>
        </w:rPr>
        <w:t xml:space="preserve">A New Method for Estimating Synonymous and Nonsynonymous Rates of Nucleotide Substitution Considering the Relative Likelihood of Nucleotide and Codon Changes.” 1985. </w:t>
      </w:r>
      <w:r>
        <w:rPr>
          <w:rFonts w:ascii="Palatino" w:hAnsi="Palatino"/>
          <w:i/>
          <w:color w:val="010000"/>
        </w:rPr>
        <w:t>Molecular Biology and Evolution</w:t>
      </w:r>
      <w:r>
        <w:rPr>
          <w:rFonts w:ascii="Palatino" w:hAnsi="Palatino"/>
          <w:color w:val="010000"/>
        </w:rPr>
        <w:t>, March. https://doi.org/10.1093/oxfordjournals.molbev.a040343.</w:t>
      </w:r>
    </w:p>
    <w:p>
      <w:pPr>
        <w:pStyle w:val="Bibliography1"/>
        <w:rPr/>
      </w:pPr>
      <w:r>
        <w:rPr>
          <w:rFonts w:ascii="Palatino" w:hAnsi="Palatino"/>
          <w:color w:val="010000"/>
        </w:rPr>
        <w:t xml:space="preserve">Adzhubei, Ivan A, Steffen Schmidt, Leonid Peshkin, Vasily E Ramensky, Anna Gerasimova, Peer Bork, Alexey S Kondrashov, and Shamil R Sunyaev. 2010. “A Method and Server for Predicting Damaging Missense Mutations.” </w:t>
      </w:r>
      <w:r>
        <w:rPr>
          <w:rFonts w:ascii="Palatino" w:hAnsi="Palatino"/>
          <w:i/>
          <w:color w:val="010000"/>
        </w:rPr>
        <w:t>Nature Methods</w:t>
      </w:r>
      <w:r>
        <w:rPr>
          <w:rFonts w:ascii="Palatino" w:hAnsi="Palatino"/>
          <w:color w:val="010000"/>
        </w:rPr>
        <w:t xml:space="preserve"> 7 (4): 248–49. https://doi.org/10.1038/nmeth0410-248.</w:t>
      </w:r>
    </w:p>
    <w:p>
      <w:pPr>
        <w:pStyle w:val="Bibliography1"/>
        <w:rPr/>
      </w:pPr>
      <w:r>
        <w:rPr>
          <w:rFonts w:ascii="Palatino" w:hAnsi="Palatino"/>
          <w:color w:val="010000"/>
        </w:rPr>
        <w:t xml:space="preserve">Anishetty, Sharmila, Ramesh Anishetty, and Gautam Pennathur. 2006. “Understanding Mutations and Protein Stability through Tripeptides.” </w:t>
      </w:r>
      <w:r>
        <w:rPr>
          <w:rFonts w:ascii="Palatino" w:hAnsi="Palatino"/>
          <w:i/>
          <w:color w:val="010000"/>
        </w:rPr>
        <w:t>FEBS Letters</w:t>
      </w:r>
      <w:r>
        <w:rPr>
          <w:rFonts w:ascii="Palatino" w:hAnsi="Palatino"/>
          <w:color w:val="010000"/>
        </w:rPr>
        <w:t xml:space="preserve"> 580 (8): 2071–80. https://doi.org/10.1016/j.febslet.2006.02.079.</w:t>
      </w:r>
    </w:p>
    <w:p>
      <w:pPr>
        <w:pStyle w:val="Bibliography1"/>
        <w:rPr/>
      </w:pPr>
      <w:r>
        <w:rPr>
          <w:rFonts w:ascii="Palatino" w:hAnsi="Palatino"/>
          <w:color w:val="010000"/>
        </w:rPr>
        <w:t xml:space="preserve">Anoosha, P., R. Sakthivel, and M. Michael Gromiha. 2016. “Exploring Preferred Amino Acid Mutations in Cancer Genes: Applications to Identify Potential Drug Targets.” </w:t>
      </w:r>
      <w:r>
        <w:rPr>
          <w:rFonts w:ascii="Palatino" w:hAnsi="Palatino"/>
          <w:i/>
          <w:color w:val="010000"/>
        </w:rPr>
        <w:t>Biochimica et Biophysica Acta (BBA) - Molecular Basis of Disease</w:t>
      </w:r>
      <w:r>
        <w:rPr>
          <w:rFonts w:ascii="Palatino" w:hAnsi="Palatino"/>
          <w:color w:val="010000"/>
        </w:rPr>
        <w:t xml:space="preserve"> 1862 (2): 155–65. https://doi.org/10.1016/j.bbadis.2015.11.006.</w:t>
      </w:r>
    </w:p>
    <w:p>
      <w:pPr>
        <w:pStyle w:val="Bibliography1"/>
        <w:rPr/>
      </w:pPr>
      <w:r>
        <w:rPr>
          <w:rFonts w:ascii="Palatino" w:hAnsi="Palatino"/>
          <w:color w:val="010000"/>
        </w:rPr>
        <w:t xml:space="preserve">Australian Pancreatic Cancer Genome Initiative, ICGC Breast Cancer Consortium, ICGC MMML-Seq Consortium, ICGC PedBrain, Ludmil B. Alexandrov, Serena Nik-Zainal, David C. Wedge, et al. 2013. “Signatures of Mutational Processes in Human Cancer.” </w:t>
      </w:r>
      <w:r>
        <w:rPr>
          <w:rFonts w:ascii="Palatino" w:hAnsi="Palatino"/>
          <w:i/>
          <w:color w:val="010000"/>
        </w:rPr>
        <w:t>Nature</w:t>
      </w:r>
      <w:r>
        <w:rPr>
          <w:rFonts w:ascii="Palatino" w:hAnsi="Palatino"/>
          <w:color w:val="010000"/>
        </w:rPr>
        <w:t xml:space="preserve"> 500 (7463): 415–21. </w:t>
      </w:r>
      <w:hyperlink r:id="rId7">
        <w:r>
          <w:rPr>
            <w:rStyle w:val="Hyperlink"/>
            <w:rFonts w:ascii="Palatino" w:hAnsi="Palatino"/>
            <w:color w:val="010000"/>
          </w:rPr>
          <w:t>https://doi.org/10.1038/nature12477</w:t>
        </w:r>
      </w:hyperlink>
      <w:r>
        <w:rPr>
          <w:rFonts w:ascii="Palatino" w:hAnsi="Palatino"/>
          <w:color w:val="010000"/>
        </w:rPr>
        <w:t>.</w:t>
      </w:r>
    </w:p>
    <w:p>
      <w:pPr>
        <w:pStyle w:val="Bibliography1"/>
        <w:rPr/>
      </w:pPr>
      <w:r>
        <w:rPr>
          <w:rFonts w:eastAsia="Songti SC" w:ascii="Palatino" w:hAnsi="Palatino"/>
          <w:color w:val="010000"/>
          <w:kern w:val="2"/>
          <w:lang w:bidi="hi-IN"/>
        </w:rPr>
        <w:t xml:space="preserve">Balasubramanian, Suganthi, Yao Fu, Mayur Pawashe, Patrick McGillivray, Mike Jin, Jeremy Liu, Konrad J. Karczewski, Daniel G. MacArthur, and Mark Gerstein. 2017. “Using ALoFT to Determine the Impact of Putative Loss-of-Function Variants in Protein-Coding Genes.” </w:t>
      </w:r>
      <w:r>
        <w:rPr>
          <w:rFonts w:eastAsia="Songti SC" w:ascii="Palatino" w:hAnsi="Palatino"/>
          <w:i/>
          <w:color w:val="010000"/>
          <w:kern w:val="2"/>
          <w:lang w:bidi="hi-IN"/>
        </w:rPr>
        <w:t>Nature Communications</w:t>
      </w:r>
      <w:r>
        <w:rPr>
          <w:rFonts w:eastAsia="Songti SC" w:ascii="Palatino" w:hAnsi="Palatino"/>
          <w:color w:val="010000"/>
          <w:kern w:val="2"/>
          <w:lang w:bidi="hi-IN"/>
        </w:rPr>
        <w:t xml:space="preserve"> 8 (1): 382. https://doi.org/10.1038/s41467-017-00443-5.</w:t>
      </w:r>
    </w:p>
    <w:p>
      <w:pPr>
        <w:pStyle w:val="Bibliography1"/>
        <w:rPr/>
      </w:pPr>
      <w:r>
        <w:rPr>
          <w:rFonts w:ascii="Palatino" w:hAnsi="Palatino"/>
          <w:color w:val="010000"/>
        </w:rPr>
        <w:t xml:space="preserve">Bradshaw, J. Michael. 2010. “The Src, Syk, and Tec Family Kinases: Distinct Types of Molecular Switches.” </w:t>
      </w:r>
      <w:r>
        <w:rPr>
          <w:rFonts w:ascii="Palatino" w:hAnsi="Palatino"/>
          <w:i/>
          <w:color w:val="010000"/>
        </w:rPr>
        <w:t>Cellular Signalling</w:t>
      </w:r>
      <w:r>
        <w:rPr>
          <w:rFonts w:ascii="Palatino" w:hAnsi="Palatino"/>
          <w:color w:val="010000"/>
        </w:rPr>
        <w:t xml:space="preserve"> 22 (8): 1175–84. https://doi.org/10.1016/j.cellsig.2010.03.001.</w:t>
      </w:r>
    </w:p>
    <w:p>
      <w:pPr>
        <w:pStyle w:val="Bibliography1"/>
        <w:rPr/>
      </w:pPr>
      <w:r>
        <w:rPr>
          <w:rFonts w:ascii="Palatino" w:hAnsi="Palatino"/>
          <w:color w:val="010000"/>
        </w:rPr>
        <w:t xml:space="preserve">Buisson, Rémi, Adam Langenbucher, Danae Bowen, Eugene E. Kwan, Cyril H. Benes, Lee Zou, and Michael S. Lawrence. 2019. “Passenger Hotspot Mutations in Cancer Driven by APOBEC3A and Mesoscale Genomic Features.” </w:t>
      </w:r>
      <w:r>
        <w:rPr>
          <w:rFonts w:ascii="Palatino" w:hAnsi="Palatino"/>
          <w:i/>
          <w:color w:val="010000"/>
        </w:rPr>
        <w:t>Science</w:t>
      </w:r>
      <w:r>
        <w:rPr>
          <w:rFonts w:ascii="Palatino" w:hAnsi="Palatino"/>
          <w:color w:val="010000"/>
        </w:rPr>
        <w:t xml:space="preserve"> 364 (6447): eaaw2872. https://doi.org/10.1126/science.aaw2872.</w:t>
      </w:r>
    </w:p>
    <w:p>
      <w:pPr>
        <w:pStyle w:val="Bibliography1"/>
        <w:rPr/>
      </w:pPr>
      <w:r>
        <w:rPr>
          <w:rFonts w:ascii="Palatino" w:hAnsi="Palatino"/>
          <w:color w:val="010000"/>
        </w:rPr>
        <w:t>Carlini, David B, and Wolfgang Stephan. 2003. “</w:t>
      </w:r>
      <w:r>
        <w:rPr>
          <w:rFonts w:ascii="Palatino" w:hAnsi="Palatino"/>
          <w:i/>
          <w:color w:val="010000"/>
        </w:rPr>
        <w:t>In Vivo</w:t>
      </w:r>
      <w:r>
        <w:rPr>
          <w:rFonts w:ascii="Palatino" w:hAnsi="Palatino"/>
          <w:color w:val="010000"/>
        </w:rPr>
        <w:t xml:space="preserve"> Introduction of Unpreferred Synonymous Codons Into the Drosophila </w:t>
      </w:r>
      <w:r>
        <w:rPr>
          <w:rFonts w:ascii="Palatino" w:hAnsi="Palatino"/>
          <w:i/>
          <w:color w:val="010000"/>
        </w:rPr>
        <w:t>Adh</w:t>
      </w:r>
      <w:r>
        <w:rPr>
          <w:rFonts w:ascii="Palatino" w:hAnsi="Palatino"/>
          <w:color w:val="010000"/>
        </w:rPr>
        <w:t xml:space="preserve"> Gene Results in Reduced Levels of ADH Protein.” </w:t>
      </w:r>
      <w:r>
        <w:rPr>
          <w:rFonts w:ascii="Palatino" w:hAnsi="Palatino"/>
          <w:i/>
          <w:color w:val="010000"/>
        </w:rPr>
        <w:t>Genetics</w:t>
      </w:r>
      <w:r>
        <w:rPr>
          <w:rFonts w:ascii="Palatino" w:hAnsi="Palatino"/>
          <w:color w:val="010000"/>
        </w:rPr>
        <w:t xml:space="preserve"> 163 (1): 239–43. https://doi.org/10.1093/genetics/163.1.239.</w:t>
      </w:r>
    </w:p>
    <w:p>
      <w:pPr>
        <w:pStyle w:val="Bibliography1"/>
        <w:rPr/>
      </w:pPr>
      <w:r>
        <w:rPr>
          <w:rFonts w:ascii="Palatino" w:hAnsi="Palatino"/>
          <w:color w:val="010000"/>
        </w:rPr>
        <w:t xml:space="preserve">Carter, Hannah, Sining Chen, Leyla Isik, Svitlana Tyekucheva, Victor E. Velculescu, Kenneth W. Kinzler, Bert Vogelstein, and Rachel Karchin. 2009. “Cancer-Specific High-Throughput Annotation of Somatic Mutations: Computational Prediction of Driver Missense Mutations.” </w:t>
      </w:r>
      <w:r>
        <w:rPr>
          <w:rFonts w:ascii="Palatino" w:hAnsi="Palatino"/>
          <w:i/>
          <w:color w:val="010000"/>
        </w:rPr>
        <w:t>Cancer Research</w:t>
      </w:r>
      <w:r>
        <w:rPr>
          <w:rFonts w:ascii="Palatino" w:hAnsi="Palatino"/>
          <w:color w:val="010000"/>
        </w:rPr>
        <w:t xml:space="preserve"> 69 (16): 6660–67. https://doi.org/10.1158/0008-5472.CAN-09-1133.</w:t>
      </w:r>
    </w:p>
    <w:p>
      <w:pPr>
        <w:pStyle w:val="Bibliography1"/>
        <w:rPr/>
      </w:pPr>
      <w:r>
        <w:rPr>
          <w:rFonts w:ascii="Palatino" w:hAnsi="Palatino"/>
          <w:color w:val="010000"/>
        </w:rPr>
        <w:t xml:space="preserve">Cheng, Feixiong, Peilin Jia, Quan Wang, Chen-Ching Lin, Wen-Hsiung Li, and Zhongming Zhao. 2014. “Studying Tumorigenesis through Network Evolution and Somatic Mutational Perturbations in the Cancer Interactome.” </w:t>
      </w:r>
      <w:r>
        <w:rPr>
          <w:rFonts w:ascii="Palatino" w:hAnsi="Palatino"/>
          <w:i/>
          <w:color w:val="010000"/>
        </w:rPr>
        <w:t>Molecular Biology and Evolution</w:t>
      </w:r>
      <w:r>
        <w:rPr>
          <w:rFonts w:ascii="Palatino" w:hAnsi="Palatino"/>
          <w:color w:val="010000"/>
        </w:rPr>
        <w:t xml:space="preserve"> 31 (8): 2156–69. https://doi.org/10.1093/molbev/msu167.</w:t>
      </w:r>
    </w:p>
    <w:p>
      <w:pPr>
        <w:pStyle w:val="Bibliography1"/>
        <w:rPr/>
      </w:pPr>
      <w:r>
        <w:rPr>
          <w:rFonts w:ascii="Palatino" w:hAnsi="Palatino"/>
          <w:color w:val="010000"/>
        </w:rPr>
        <w:t xml:space="preserve">Cheng, Feixiong, Chuang Liu, Chen-Ching Lin, Junfei Zhao, Peilin Jia, Wen-Hsiung Li, and Zhongming Zhao. 2015. “A Gene Gravity Model for the Evolution of Cancer Genomes: A Study of 3,000 Cancer Genomes across 9 Cancer Types.” Edited by Xianghong Jasmine Zhou. </w:t>
      </w:r>
      <w:r>
        <w:rPr>
          <w:rFonts w:ascii="Palatino" w:hAnsi="Palatino"/>
          <w:i/>
          <w:color w:val="010000"/>
        </w:rPr>
        <w:t>PLOS Computational Biology</w:t>
      </w:r>
      <w:r>
        <w:rPr>
          <w:rFonts w:ascii="Palatino" w:hAnsi="Palatino"/>
          <w:color w:val="010000"/>
        </w:rPr>
        <w:t xml:space="preserve"> 11 (9): e1004497. https://doi.org/10.1371/journal.pcbi.1004497.</w:t>
      </w:r>
    </w:p>
    <w:p>
      <w:pPr>
        <w:pStyle w:val="Bibliography1"/>
        <w:rPr/>
      </w:pPr>
      <w:r>
        <w:rPr>
          <w:rFonts w:ascii="Palatino" w:hAnsi="Palatino"/>
          <w:color w:val="010000"/>
        </w:rPr>
        <w:t>Choi, Yongwook, Gregory E. Sims, Sean Murphy, Jason R. Miller, and Agnes P. Chan. 2012. “Predicting the Functional Effect of Amino Acid Substitutions and Indels.” Edited by</w:t>
      </w:r>
      <w:r>
        <w:rPr>
          <w:rFonts w:ascii="Palatino" w:hAnsi="Palatino"/>
        </w:rPr>
        <w:t xml:space="preserve"> Alexandre G. de Brevern. </w:t>
      </w:r>
      <w:r>
        <w:rPr>
          <w:rFonts w:ascii="Palatino" w:hAnsi="Palatino"/>
          <w:i/>
        </w:rPr>
        <w:t>PLoS ONE</w:t>
      </w:r>
      <w:r>
        <w:rPr>
          <w:rFonts w:ascii="Palatino" w:hAnsi="Palatino"/>
        </w:rPr>
        <w:t xml:space="preserve"> 7 (10): e46688. https://doi.org/10.1371/journal.pone.0046688.</w:t>
      </w:r>
    </w:p>
    <w:p>
      <w:pPr>
        <w:pStyle w:val="Bibliography1"/>
        <w:rPr/>
      </w:pPr>
      <w:r>
        <w:rPr>
          <w:rFonts w:ascii="Palatino" w:hAnsi="Palatino"/>
        </w:rPr>
        <w:t xml:space="preserve">Cicenas, Jonas, Egle Zalyte, Amos Bairoch, and Pascale Gaudet. 2018. “Kinases and Cancer.” </w:t>
      </w:r>
      <w:r>
        <w:rPr>
          <w:rFonts w:ascii="Palatino" w:hAnsi="Palatino"/>
          <w:i/>
        </w:rPr>
        <w:t>Cancers</w:t>
      </w:r>
      <w:r>
        <w:rPr>
          <w:rFonts w:ascii="Palatino" w:hAnsi="Palatino"/>
        </w:rPr>
        <w:t xml:space="preserve"> 10 (3): 63. https://doi.org/10.3390/cancers10030063.</w:t>
      </w:r>
    </w:p>
    <w:p>
      <w:pPr>
        <w:pStyle w:val="Bibliography1"/>
        <w:rPr/>
      </w:pPr>
      <w:r>
        <w:rPr>
          <w:rFonts w:ascii="Palatino" w:hAnsi="Palatino"/>
        </w:rPr>
        <w:t xml:space="preserve">Collier, Galen, and Vanessa Ortiz. 2013. “Emerging Computational Approaches for the Study of Protein Allostery.” </w:t>
      </w:r>
      <w:r>
        <w:rPr>
          <w:rFonts w:ascii="Palatino" w:hAnsi="Palatino"/>
          <w:i/>
        </w:rPr>
        <w:t>Archives of Biochemistry and Biophysics</w:t>
      </w:r>
      <w:r>
        <w:rPr>
          <w:rFonts w:ascii="Palatino" w:hAnsi="Palatino"/>
        </w:rPr>
        <w:t xml:space="preserve"> 538 (1): 6–15. https://doi.org/10.1016/j.abb.2013.07.025.</w:t>
      </w:r>
    </w:p>
    <w:p>
      <w:pPr>
        <w:pStyle w:val="Bibliography1"/>
        <w:rPr/>
      </w:pPr>
      <w:r>
        <w:rPr>
          <w:rFonts w:ascii="Palatino" w:hAnsi="Palatino"/>
        </w:rPr>
        <w:t xml:space="preserve">Cooper, Gregory M., Eric A. Stone, George Asimenos, Eric D. Green, Serafim Batzoglou, and Arend Sidow. 2005. “Distribution and Intensity of Constraint in Mammalian Genomic Sequence.” </w:t>
      </w:r>
      <w:r>
        <w:rPr>
          <w:rFonts w:ascii="Palatino" w:hAnsi="Palatino"/>
          <w:i/>
        </w:rPr>
        <w:t>Genome Research</w:t>
      </w:r>
      <w:r>
        <w:rPr>
          <w:rFonts w:ascii="Palatino" w:hAnsi="Palatino"/>
        </w:rPr>
        <w:t xml:space="preserve"> 15 (7): 901–13. https://doi.org/10.1101/gr.3577405.</w:t>
      </w:r>
    </w:p>
    <w:p>
      <w:pPr>
        <w:pStyle w:val="Bibliography1"/>
        <w:rPr/>
      </w:pPr>
      <w:r>
        <w:rPr>
          <w:rFonts w:ascii="Palatino" w:hAnsi="Palatino"/>
        </w:rPr>
        <w:t xml:space="preserve">Dan Graur. 2003. “Single-Base Mutation.” In </w:t>
      </w:r>
      <w:r>
        <w:rPr>
          <w:rFonts w:ascii="Palatino" w:hAnsi="Palatino"/>
          <w:i/>
        </w:rPr>
        <w:t>NATURE ENCYCLOPEDIA OF THE HUMAN GENOME</w:t>
      </w:r>
      <w:r>
        <w:rPr>
          <w:rFonts w:ascii="Palatino" w:hAnsi="Palatino"/>
        </w:rPr>
        <w:t>. ISBN 0333803868. Macmillan Publishers Ltd. http://nsmn1.uh.edu/dgraur/ArticlesPDFs/encyclopediahumangenome93.pdf.</w:t>
      </w:r>
    </w:p>
    <w:p>
      <w:pPr>
        <w:pStyle w:val="Bibliography1"/>
        <w:rPr/>
      </w:pPr>
      <w:r>
        <w:rPr>
          <w:rFonts w:ascii="Palatino" w:hAnsi="Palatino"/>
        </w:rPr>
        <w:t xml:space="preserve">Davidson, Shawn M., Thales Papagiannakopoulos, Benjamin A. Olenchock, Julia E. Heyman, Mark A. Keibler, Alba Luengo, Matthew R. Bauer, et al. 2016. “Environment Impacts the Metabolic Dependencies of Ras-Driven Non-Small Cell Lung Cancer.” </w:t>
      </w:r>
      <w:r>
        <w:rPr>
          <w:rFonts w:ascii="Palatino" w:hAnsi="Palatino"/>
          <w:i/>
        </w:rPr>
        <w:t>Cell Metabolism</w:t>
      </w:r>
      <w:r>
        <w:rPr>
          <w:rFonts w:ascii="Palatino" w:hAnsi="Palatino"/>
        </w:rPr>
        <w:t xml:space="preserve"> 23 (3): 517–28. https://doi.org/10.1016/j.cmet.2016.01.007.</w:t>
      </w:r>
    </w:p>
    <w:p>
      <w:pPr>
        <w:pStyle w:val="Bibliography1"/>
        <w:rPr/>
      </w:pPr>
      <w:r>
        <w:rPr>
          <w:rFonts w:ascii="Palatino" w:hAnsi="Palatino"/>
        </w:rPr>
        <w:t xml:space="preserve">Ding, Li, Benjamin J. Raphael, Feng Chen, and Michael C. Wendl. 2013. “Advances for Studying Clonal Evolution in Cancer.” </w:t>
      </w:r>
      <w:r>
        <w:rPr>
          <w:rFonts w:ascii="Palatino" w:hAnsi="Palatino"/>
          <w:i/>
        </w:rPr>
        <w:t>Cancer Letters</w:t>
      </w:r>
      <w:r>
        <w:rPr>
          <w:rFonts w:ascii="Palatino" w:hAnsi="Palatino"/>
        </w:rPr>
        <w:t xml:space="preserve"> 340 (2): 212–19. https://doi.org/10.1016/j.canlet.2012.12.028.</w:t>
      </w:r>
    </w:p>
    <w:p>
      <w:pPr>
        <w:pStyle w:val="Bibliography1"/>
        <w:rPr/>
      </w:pPr>
      <w:r>
        <w:rPr>
          <w:rFonts w:ascii="Palatino" w:hAnsi="Palatino"/>
        </w:rPr>
        <w:t xml:space="preserve">Dong, C., P. Wei, X. Jian, R. Gibbs, E. Boerwinkle, K. Wang, and X. Liu. 2015a. “Comparison and Integration of Deleteriousness Prediction Methods for Nonsynonymous SNVs in Whole Exome Sequencing Studies.” </w:t>
      </w:r>
      <w:r>
        <w:rPr>
          <w:rFonts w:ascii="Palatino" w:hAnsi="Palatino"/>
          <w:i/>
        </w:rPr>
        <w:t>Human Molecular Genetics</w:t>
      </w:r>
      <w:r>
        <w:rPr>
          <w:rFonts w:ascii="Palatino" w:hAnsi="Palatino"/>
        </w:rPr>
        <w:t xml:space="preserve"> 24 (8): 2125–37. https://doi.org/10.1093/hmg/ddu733.</w:t>
      </w:r>
    </w:p>
    <w:p>
      <w:pPr>
        <w:pStyle w:val="Bibliography1"/>
        <w:rPr/>
      </w:pPr>
      <w:r>
        <w:rPr>
          <w:rFonts w:ascii="Palatino" w:hAnsi="Palatino"/>
        </w:rPr>
        <w:t>———</w:t>
      </w:r>
      <w:r>
        <w:rPr>
          <w:rFonts w:ascii="Palatino" w:hAnsi="Palatino"/>
        </w:rPr>
        <w:t xml:space="preserve">. 2015b. “Comparison and Integration of Deleteriousness Prediction Methods for Nonsynonymous SNVs in Whole Exome Sequencing Studies.” </w:t>
      </w:r>
      <w:r>
        <w:rPr>
          <w:rFonts w:ascii="Palatino" w:hAnsi="Palatino"/>
          <w:i/>
        </w:rPr>
        <w:t>Human Molecular Genetics</w:t>
      </w:r>
      <w:r>
        <w:rPr>
          <w:rFonts w:ascii="Palatino" w:hAnsi="Palatino"/>
        </w:rPr>
        <w:t xml:space="preserve"> 24 (8): 2125–37. https://doi.org/10.1093/hmg/ddu733.</w:t>
      </w:r>
    </w:p>
    <w:p>
      <w:pPr>
        <w:pStyle w:val="Bibliography1"/>
        <w:rPr/>
      </w:pPr>
      <w:r>
        <w:rPr>
          <w:rFonts w:ascii="Palatino" w:hAnsi="Palatino"/>
        </w:rPr>
        <w:t xml:space="preserve">Drummond, D. Allan, and Claus O. Wilke. 2008. “Mistranslation-Induced Protein Misfolding as a Dominant Constraint on Coding-Sequence Evolution.” </w:t>
      </w:r>
      <w:r>
        <w:rPr>
          <w:rFonts w:ascii="Palatino" w:hAnsi="Palatino"/>
          <w:i/>
        </w:rPr>
        <w:t>Cell</w:t>
      </w:r>
      <w:r>
        <w:rPr>
          <w:rFonts w:ascii="Palatino" w:hAnsi="Palatino"/>
        </w:rPr>
        <w:t xml:space="preserve"> 134 (2): 341–52. https://doi.org/10.1016/j.cell.2008.05.042.</w:t>
      </w:r>
    </w:p>
    <w:p>
      <w:pPr>
        <w:pStyle w:val="Bibliography1"/>
        <w:rPr/>
      </w:pPr>
      <w:r>
        <w:rPr>
          <w:rFonts w:ascii="Palatino" w:hAnsi="Palatino"/>
        </w:rPr>
        <w:t xml:space="preserve">Ferrer-Costa, C., J. L. Gelpi, L. Zamakola, I. Parraga, X. de la Cruz, and M. Orozco. 2005. “PMUT: A Web-Based Tool for the Annotation of Pathological Mutations on Proteins.” </w:t>
      </w:r>
      <w:r>
        <w:rPr>
          <w:rFonts w:ascii="Palatino" w:hAnsi="Palatino"/>
          <w:i/>
        </w:rPr>
        <w:t>Bioinformatics</w:t>
      </w:r>
      <w:r>
        <w:rPr>
          <w:rFonts w:ascii="Palatino" w:hAnsi="Palatino"/>
        </w:rPr>
        <w:t xml:space="preserve"> 21 (14): 3176–78. https://doi.org/10.1093/bioinformatics/bti486.</w:t>
      </w:r>
    </w:p>
    <w:p>
      <w:pPr>
        <w:pStyle w:val="Bibliography1"/>
        <w:rPr/>
      </w:pPr>
      <w:r>
        <w:rPr>
          <w:rFonts w:ascii="Palatino" w:hAnsi="Palatino"/>
        </w:rPr>
        <w:t xml:space="preserve">Futreal, P. Andrew, Lachlan Coin, Mhairi Marshall, Thomas Down, Timothy Hubbard, Richard Wooster, Nazneen Rahman, and Michael R. Stratton. 2004a. “A Census of Human Cancer Genes.” </w:t>
      </w:r>
      <w:r>
        <w:rPr>
          <w:rFonts w:ascii="Palatino" w:hAnsi="Palatino"/>
          <w:i/>
        </w:rPr>
        <w:t>Nature Reviews Cancer</w:t>
      </w:r>
      <w:r>
        <w:rPr>
          <w:rFonts w:ascii="Palatino" w:hAnsi="Palatino"/>
        </w:rPr>
        <w:t xml:space="preserve"> 4 (3): 177–83. https://doi.org/10.1038/nrc1299.</w:t>
      </w:r>
    </w:p>
    <w:p>
      <w:pPr>
        <w:pStyle w:val="Bibliography1"/>
        <w:rPr/>
      </w:pPr>
      <w:r>
        <w:rPr>
          <w:rFonts w:ascii="Palatino" w:hAnsi="Palatino"/>
        </w:rPr>
        <w:t>———</w:t>
      </w:r>
      <w:r>
        <w:rPr>
          <w:rFonts w:ascii="Palatino" w:hAnsi="Palatino"/>
        </w:rPr>
        <w:t xml:space="preserve">. 2004b. “A Census of Human Cancer Genes.” </w:t>
      </w:r>
      <w:r>
        <w:rPr>
          <w:rFonts w:ascii="Palatino" w:hAnsi="Palatino"/>
          <w:i/>
        </w:rPr>
        <w:t>Nature Reviews Cancer</w:t>
      </w:r>
      <w:r>
        <w:rPr>
          <w:rFonts w:ascii="Palatino" w:hAnsi="Palatino"/>
        </w:rPr>
        <w:t xml:space="preserve"> 4 (3): 177–83. https://doi.org/10.1038/nrc1299.</w:t>
      </w:r>
    </w:p>
    <w:p>
      <w:pPr>
        <w:pStyle w:val="Bibliography1"/>
        <w:rPr/>
      </w:pPr>
      <w:r>
        <w:rPr>
          <w:rFonts w:ascii="Palatino" w:hAnsi="Palatino"/>
        </w:rPr>
        <w:t xml:space="preserve">Garraway, Levi A. 2013. “Genomics-Driven Oncology: Framework for an Emerging Paradigm.” </w:t>
      </w:r>
      <w:r>
        <w:rPr>
          <w:rFonts w:ascii="Palatino" w:hAnsi="Palatino"/>
          <w:i/>
        </w:rPr>
        <w:t>Journal of Clinical Oncology: Official Journal of the American Society of Clinical Oncology</w:t>
      </w:r>
      <w:r>
        <w:rPr>
          <w:rFonts w:ascii="Palatino" w:hAnsi="Palatino"/>
        </w:rPr>
        <w:t xml:space="preserve"> 31 (15): 1806–14. https://doi.org/10.1200/JCO.2012.46.8934.</w:t>
      </w:r>
    </w:p>
    <w:p>
      <w:pPr>
        <w:pStyle w:val="Bibliography1"/>
        <w:rPr/>
      </w:pPr>
      <w:r>
        <w:rPr>
          <w:rFonts w:ascii="Palatino" w:hAnsi="Palatino"/>
        </w:rPr>
        <w:t xml:space="preserve">Gaudelli, Nicole M., Alexis C. Komor, Holly A. Rees, Michael S. Packer, Ahmed H. Badran, David I. Bryson, and David R. Liu. 2017. “Programmable Base Editing of A•T to G•C in Genomic DNA without DNA Cleavage.” </w:t>
      </w:r>
      <w:r>
        <w:rPr>
          <w:rFonts w:ascii="Palatino" w:hAnsi="Palatino"/>
          <w:i/>
        </w:rPr>
        <w:t>Nature</w:t>
      </w:r>
      <w:r>
        <w:rPr>
          <w:rFonts w:ascii="Palatino" w:hAnsi="Palatino"/>
        </w:rPr>
        <w:t xml:space="preserve"> 551 (7681): 464–71. https://doi.org/10.1038/nature24644.</w:t>
      </w:r>
    </w:p>
    <w:p>
      <w:pPr>
        <w:pStyle w:val="Bibliography1"/>
        <w:rPr/>
      </w:pPr>
      <w:r>
        <w:rPr>
          <w:rFonts w:ascii="Palatino" w:hAnsi="Palatino"/>
        </w:rPr>
        <w:t xml:space="preserve">Gnad, Florian, Albion Baucom, Kiran Mukhyala, Gerard Manning, and Zemin Zhang. 2013. “Assessment of Computational Methods for Predicting the Effects of Missense Mutations in Human Cancers.” </w:t>
      </w:r>
      <w:r>
        <w:rPr>
          <w:rFonts w:ascii="Palatino" w:hAnsi="Palatino"/>
          <w:i/>
        </w:rPr>
        <w:t>BMC Genomics</w:t>
      </w:r>
      <w:r>
        <w:rPr>
          <w:rFonts w:ascii="Palatino" w:hAnsi="Palatino"/>
        </w:rPr>
        <w:t xml:space="preserve"> 14 (S3): S7. https://doi.org/10.1186/1471-2164-14-S3-S7.</w:t>
      </w:r>
    </w:p>
    <w:p>
      <w:pPr>
        <w:pStyle w:val="Bibliography1"/>
        <w:rPr/>
      </w:pPr>
      <w:r>
        <w:rPr>
          <w:rFonts w:ascii="Palatino" w:hAnsi="Palatino"/>
        </w:rPr>
        <w:t xml:space="preserve">Goodman, Daniel B., George M. Church, and Sriram Kosuri. 2013. “Causes and Effects of N-Terminal Codon Bias in Bacterial Genes.” </w:t>
      </w:r>
      <w:r>
        <w:rPr>
          <w:rFonts w:ascii="Palatino" w:hAnsi="Palatino"/>
          <w:i/>
        </w:rPr>
        <w:t>Science</w:t>
      </w:r>
      <w:r>
        <w:rPr>
          <w:rFonts w:ascii="Palatino" w:hAnsi="Palatino"/>
        </w:rPr>
        <w:t xml:space="preserve"> 342 (6157): 475–79. https://doi.org/10.1126/science.1241934.</w:t>
      </w:r>
    </w:p>
    <w:p>
      <w:pPr>
        <w:pStyle w:val="Bibliography1"/>
        <w:rPr/>
      </w:pPr>
      <w:r>
        <w:rPr>
          <w:rFonts w:ascii="Palatino" w:hAnsi="Palatino"/>
        </w:rPr>
        <w:t xml:space="preserve">Goymer, Patrick. 2007. “Synonymous Mutations Break Their Silence.” </w:t>
      </w:r>
      <w:r>
        <w:rPr>
          <w:rFonts w:ascii="Palatino" w:hAnsi="Palatino"/>
          <w:i/>
        </w:rPr>
        <w:t>Nature Reviews Genetics</w:t>
      </w:r>
      <w:r>
        <w:rPr>
          <w:rFonts w:ascii="Palatino" w:hAnsi="Palatino"/>
        </w:rPr>
        <w:t xml:space="preserve"> 8 (2): 92–92. https://doi.org/10.1038/nrg2056.</w:t>
      </w:r>
    </w:p>
    <w:p>
      <w:pPr>
        <w:pStyle w:val="Bibliography1"/>
        <w:rPr/>
      </w:pPr>
      <w:r>
        <w:rPr>
          <w:rFonts w:ascii="Palatino" w:hAnsi="Palatino"/>
        </w:rPr>
        <w:t xml:space="preserve">Greenman, Christopher, Philip Stephens, Raffaella Smith, Gillian L. Dalgliesh, Christopher Hunter, Graham Bignell, Helen Davies, et al. 2007. “Patterns of Somatic Mutation in Human Cancer Genomes.” </w:t>
      </w:r>
      <w:r>
        <w:rPr>
          <w:rFonts w:ascii="Palatino" w:hAnsi="Palatino"/>
          <w:i/>
        </w:rPr>
        <w:t>Nature</w:t>
      </w:r>
      <w:r>
        <w:rPr>
          <w:rFonts w:ascii="Palatino" w:hAnsi="Palatino"/>
        </w:rPr>
        <w:t xml:space="preserve"> 446 (7132): 153–58. https://doi.org/10.1038/nature05610.</w:t>
      </w:r>
    </w:p>
    <w:p>
      <w:pPr>
        <w:pStyle w:val="Bibliography1"/>
        <w:rPr/>
      </w:pPr>
      <w:r>
        <w:rPr>
          <w:rFonts w:ascii="Palatino" w:hAnsi="Palatino"/>
        </w:rPr>
        <w:t xml:space="preserve">Hanks, Steven K., and Tony Hunter. 1995. “The Eukaryotic Protein Kinase Superfamily: Kinase (Catalytic) Domain Structure and Classification </w:t>
      </w:r>
      <w:r>
        <w:rPr>
          <w:rFonts w:ascii="Palatino" w:hAnsi="Palatino"/>
          <w:vertAlign w:val="superscript"/>
        </w:rPr>
        <w:t>1</w:t>
      </w:r>
      <w:r>
        <w:rPr>
          <w:rFonts w:ascii="Palatino" w:hAnsi="Palatino"/>
        </w:rPr>
        <w:t xml:space="preserve">.” </w:t>
      </w:r>
      <w:r>
        <w:rPr>
          <w:rFonts w:ascii="Palatino" w:hAnsi="Palatino"/>
          <w:i/>
        </w:rPr>
        <w:t>The FASEB Journal</w:t>
      </w:r>
      <w:r>
        <w:rPr>
          <w:rFonts w:ascii="Palatino" w:hAnsi="Palatino"/>
        </w:rPr>
        <w:t xml:space="preserve"> 9 (8): 576–96. https://doi.org/10.1096/fasebj.9.8.7768349.</w:t>
      </w:r>
    </w:p>
    <w:p>
      <w:pPr>
        <w:pStyle w:val="Bibliography1"/>
        <w:rPr/>
      </w:pPr>
      <w:r>
        <w:rPr>
          <w:rFonts w:ascii="Palatino" w:hAnsi="Palatino"/>
        </w:rPr>
        <w:t xml:space="preserve">Harris, Reuben S. 2013. “Cancer Mutation Signatures, DNA Damage Mechanisms, and Potential Clinical Implications.” </w:t>
      </w:r>
      <w:r>
        <w:rPr>
          <w:rFonts w:ascii="Palatino" w:hAnsi="Palatino"/>
          <w:i/>
        </w:rPr>
        <w:t>Genome Medicine</w:t>
      </w:r>
      <w:r>
        <w:rPr>
          <w:rFonts w:ascii="Palatino" w:hAnsi="Palatino"/>
        </w:rPr>
        <w:t xml:space="preserve"> 5 (9): 87. https://doi.org/10.1186/gm490.</w:t>
      </w:r>
    </w:p>
    <w:p>
      <w:pPr>
        <w:pStyle w:val="Bibliography1"/>
        <w:rPr/>
      </w:pPr>
      <w:r>
        <w:rPr>
          <w:rFonts w:ascii="Palatino" w:hAnsi="Palatino"/>
        </w:rPr>
        <w:t xml:space="preserve">Helleday, Thomas, Saeed Eshtad, and Serena Nik-Zainal. 2014. “Mechanisms Underlying Mutational Signatures in Human Cancers.” </w:t>
      </w:r>
      <w:r>
        <w:rPr>
          <w:rFonts w:ascii="Palatino" w:hAnsi="Palatino"/>
          <w:i/>
        </w:rPr>
        <w:t>Nature Reviews Genetics</w:t>
      </w:r>
      <w:r>
        <w:rPr>
          <w:rFonts w:ascii="Palatino" w:hAnsi="Palatino"/>
        </w:rPr>
        <w:t xml:space="preserve"> 15 (9): 585–98. https://doi.org/10.1038/nrg3729.</w:t>
      </w:r>
    </w:p>
    <w:p>
      <w:pPr>
        <w:pStyle w:val="Bibliography1"/>
        <w:rPr/>
      </w:pPr>
      <w:r>
        <w:rPr>
          <w:rFonts w:ascii="Palatino" w:hAnsi="Palatino"/>
        </w:rPr>
        <w:t xml:space="preserve">Hu, Ting, and Wolfgang Banzhaf. 2008. “Nonsynonymous to Synonymous Substitution Ratio $k_{\mathrm A}/K_{\mathrm S}$ : Measurement for Rate of Evolution in Evolutionary Computation.” In </w:t>
      </w:r>
      <w:r>
        <w:rPr>
          <w:rFonts w:ascii="Palatino" w:hAnsi="Palatino"/>
          <w:i/>
        </w:rPr>
        <w:t>Parallel Problem Solving from Nature – PPSN X</w:t>
      </w:r>
      <w:r>
        <w:rPr>
          <w:rFonts w:ascii="Palatino" w:hAnsi="Palatino"/>
        </w:rPr>
        <w:t xml:space="preserve">, edited by Günter Rudolph, Thomas Jansen, Nicola Beume, Simon Lucas, and Carlo Poloni, 5199:448–57. </w:t>
      </w:r>
      <w:r>
        <w:rPr>
          <w:rFonts w:ascii="Palatino" w:hAnsi="Palatino"/>
          <w:lang w:val="de-DE"/>
        </w:rPr>
        <w:t>Lecture Notes in Computer Science. Berlin, Heidelberg: Springer Berlin Heidelberg. https://doi.org/10.1007/978-3-540-87700-4_45.</w:t>
      </w:r>
    </w:p>
    <w:p>
      <w:pPr>
        <w:pStyle w:val="Bibliography1"/>
        <w:rPr/>
      </w:pPr>
      <w:r>
        <w:rPr>
          <w:rFonts w:ascii="Palatino" w:hAnsi="Palatino"/>
        </w:rPr>
        <w:t xml:space="preserve">Hunter, Tony, and Jonathan A. Cooper. 1985. “PROTEIN-TYROSINE KINASES.” </w:t>
      </w:r>
      <w:r>
        <w:rPr>
          <w:rFonts w:ascii="Palatino" w:hAnsi="Palatino"/>
          <w:i/>
        </w:rPr>
        <w:t>Annual Review of Biochemistry</w:t>
      </w:r>
      <w:r>
        <w:rPr>
          <w:rFonts w:ascii="Palatino" w:hAnsi="Palatino"/>
        </w:rPr>
        <w:t xml:space="preserve"> 54 (1): 897–930. https://doi.org/10.1146/annurev.bi.54.070185.004341.</w:t>
      </w:r>
    </w:p>
    <w:p>
      <w:pPr>
        <w:pStyle w:val="Bibliography1"/>
        <w:rPr/>
      </w:pPr>
      <w:r>
        <w:rPr>
          <w:rFonts w:ascii="Palatino" w:hAnsi="Palatino"/>
        </w:rPr>
        <w:t xml:space="preserve">Hunter, Tony, and Gregory D. Plowman. 1997. “The Protein Kinases of Budding Yeast: Six Score and More.” </w:t>
      </w:r>
      <w:r>
        <w:rPr>
          <w:rFonts w:ascii="Palatino" w:hAnsi="Palatino"/>
          <w:i/>
        </w:rPr>
        <w:t>Trends in Biochemical Sciences</w:t>
      </w:r>
      <w:r>
        <w:rPr>
          <w:rFonts w:ascii="Palatino" w:hAnsi="Palatino"/>
        </w:rPr>
        <w:t xml:space="preserve"> 22 (1): 18–22. https://doi.org/10.1016/S0968-0004(96)10068-2.</w:t>
      </w:r>
    </w:p>
    <w:p>
      <w:pPr>
        <w:pStyle w:val="Bibliography1"/>
        <w:rPr/>
      </w:pPr>
      <w:r>
        <w:rPr>
          <w:rFonts w:ascii="Palatino" w:hAnsi="Palatino"/>
        </w:rPr>
        <w:t xml:space="preserve">Iengar, Prathima. 2012. “An Analysis of Substitution, Deletion and Insertion Mutations in Cancer Genes.” </w:t>
      </w:r>
      <w:r>
        <w:rPr>
          <w:rFonts w:ascii="Palatino" w:hAnsi="Palatino"/>
          <w:i/>
        </w:rPr>
        <w:t>Nucleic Acids Research</w:t>
      </w:r>
      <w:r>
        <w:rPr>
          <w:rFonts w:ascii="Palatino" w:hAnsi="Palatino"/>
        </w:rPr>
        <w:t xml:space="preserve"> 40 (14): 6401–13. https://doi.org/10.1093/nar/gks290.</w:t>
      </w:r>
    </w:p>
    <w:p>
      <w:pPr>
        <w:pStyle w:val="Bibliography1"/>
        <w:rPr/>
      </w:pPr>
      <w:r>
        <w:rPr>
          <w:rFonts w:ascii="Palatino" w:hAnsi="Palatino"/>
        </w:rPr>
        <w:t xml:space="preserve">Ioannidis, Nilah M., Joseph H. Rothstein, Vikas Pejaver, Sumit Middha, Shannon K. McDonnell, Saurabh Baheti, Anthony Musolf, et al. 2016. “REVEL: An Ensemble Method for Predicting the Pathogenicity of Rare Missense Variants.” </w:t>
      </w:r>
      <w:r>
        <w:rPr>
          <w:rFonts w:ascii="Palatino" w:hAnsi="Palatino"/>
          <w:i/>
        </w:rPr>
        <w:t>The American Journal of Human Genetics</w:t>
      </w:r>
      <w:r>
        <w:rPr>
          <w:rFonts w:ascii="Palatino" w:hAnsi="Palatino"/>
        </w:rPr>
        <w:t xml:space="preserve"> 99 (4): 877–85. https://doi.org/10.1016/j.ajhg.2016.08.016.</w:t>
      </w:r>
    </w:p>
    <w:p>
      <w:pPr>
        <w:pStyle w:val="Bibliography1"/>
        <w:rPr/>
      </w:pPr>
      <w:r>
        <w:rPr>
          <w:rFonts w:ascii="Palatino" w:hAnsi="Palatino"/>
          <w:lang w:val="de-DE"/>
        </w:rPr>
        <w:t xml:space="preserve">Kaminker, J. S., Y. Zhang, C. Watanabe, and Z. Zhang. </w:t>
      </w:r>
      <w:r>
        <w:rPr>
          <w:rFonts w:ascii="Palatino" w:hAnsi="Palatino"/>
        </w:rPr>
        <w:t xml:space="preserve">2007. “CanPredict: A Computational Tool for Predicting Cancer-Associated Missense Mutations.” </w:t>
      </w:r>
      <w:r>
        <w:rPr>
          <w:rFonts w:ascii="Palatino" w:hAnsi="Palatino"/>
          <w:i/>
        </w:rPr>
        <w:t>Nucleic Acids Research</w:t>
      </w:r>
      <w:r>
        <w:rPr>
          <w:rFonts w:ascii="Palatino" w:hAnsi="Palatino"/>
        </w:rPr>
        <w:t xml:space="preserve"> 35 (Web Server): W595–98. https://doi.org/10.1093/nar/gkm405.</w:t>
      </w:r>
    </w:p>
    <w:p>
      <w:pPr>
        <w:pStyle w:val="Bibliography1"/>
        <w:rPr/>
      </w:pPr>
      <w:r>
        <w:rPr>
          <w:rFonts w:ascii="Palatino" w:hAnsi="Palatino"/>
        </w:rPr>
        <w:t xml:space="preserve">Kircher, Martin, Daniela M Witten, Preti Jain, Brian J O’Roak, Gregory M Cooper, and Jay Shendure. 2014. “A General Framework for Estimating the Relative Pathogenicity of Human Genetic Variants.” </w:t>
      </w:r>
      <w:r>
        <w:rPr>
          <w:rFonts w:ascii="Palatino" w:hAnsi="Palatino"/>
          <w:i/>
        </w:rPr>
        <w:t>Nature Genetics</w:t>
      </w:r>
      <w:r>
        <w:rPr>
          <w:rFonts w:ascii="Palatino" w:hAnsi="Palatino"/>
        </w:rPr>
        <w:t xml:space="preserve"> 46 (3): 310–15. https://doi.org/10.1038/ng.2892.</w:t>
      </w:r>
    </w:p>
    <w:p>
      <w:pPr>
        <w:pStyle w:val="Bibliography1"/>
        <w:rPr/>
      </w:pPr>
      <w:r>
        <w:rPr>
          <w:rFonts w:ascii="Palatino" w:hAnsi="Palatino"/>
        </w:rPr>
        <w:t xml:space="preserve">Kucukkal, Tugba G, Marharyta Petukh, Lin Li, and Emil Alexov. 2015. “Structural and Physico-Chemical Effects of Disease and Non-Disease NsSNPs on Proteins.” </w:t>
      </w:r>
      <w:r>
        <w:rPr>
          <w:rFonts w:ascii="Palatino" w:hAnsi="Palatino"/>
          <w:i/>
        </w:rPr>
        <w:t>Current Opinion in Structural Biology</w:t>
      </w:r>
      <w:r>
        <w:rPr>
          <w:rFonts w:ascii="Palatino" w:hAnsi="Palatino"/>
        </w:rPr>
        <w:t xml:space="preserve"> 32 (June): 18–24. https://doi.org/10.1016/j.sbi.2015.01.003.</w:t>
      </w:r>
    </w:p>
    <w:p>
      <w:pPr>
        <w:pStyle w:val="Bibliography1"/>
        <w:rPr/>
      </w:pPr>
      <w:r>
        <w:rPr>
          <w:rFonts w:ascii="Palatino" w:hAnsi="Palatino"/>
        </w:rPr>
        <w:t xml:space="preserve">Kumar, Runjun D., S. Joshua Swamidass, and Ron Bose. 2016. “Unsupervised Detection of Cancer Driver Mutations with Parsimony-Guided Learning.” </w:t>
      </w:r>
      <w:r>
        <w:rPr>
          <w:rFonts w:ascii="Palatino" w:hAnsi="Palatino"/>
          <w:i/>
        </w:rPr>
        <w:t>Nature Genetics</w:t>
      </w:r>
      <w:r>
        <w:rPr>
          <w:rFonts w:ascii="Palatino" w:hAnsi="Palatino"/>
        </w:rPr>
        <w:t xml:space="preserve"> 48 (10): 1288–94. https://doi.org/10.1038/ng.3658.</w:t>
      </w:r>
    </w:p>
    <w:p>
      <w:pPr>
        <w:pStyle w:val="Bibliography1"/>
        <w:rPr/>
      </w:pPr>
      <w:r>
        <w:rPr>
          <w:rFonts w:ascii="Palatino" w:hAnsi="Palatino"/>
        </w:rPr>
        <w:t xml:space="preserve">Li, B., V. G. Krishnan, M. E. Mort, F. Xin, K. K. Kamati, D. N. Cooper, S. D. Mooney, and P. Radivojac. 2009. “Automated Inference of Molecular Mechanisms of Disease from Amino Acid Substitutions.” </w:t>
      </w:r>
      <w:r>
        <w:rPr>
          <w:rFonts w:ascii="Palatino" w:hAnsi="Palatino"/>
          <w:i/>
        </w:rPr>
        <w:t>Bioinformatics</w:t>
      </w:r>
      <w:r>
        <w:rPr>
          <w:rFonts w:ascii="Palatino" w:hAnsi="Palatino"/>
        </w:rPr>
        <w:t xml:space="preserve"> 25 (21): 2744–50. https://doi.org/10.1093/bioinformatics/btp528.</w:t>
      </w:r>
    </w:p>
    <w:p>
      <w:pPr>
        <w:pStyle w:val="Bibliography1"/>
        <w:rPr/>
      </w:pPr>
      <w:r>
        <w:rPr>
          <w:rFonts w:ascii="Palatino" w:hAnsi="Palatino"/>
        </w:rPr>
        <w:t xml:space="preserve">Li, Minghui, Franco L. Simonetti, Alexander Goncearenco, and Anna R. Panchenko. 2016. “MutaBind Estimates and Interprets the Effects of Sequence Variants on Protein-Protein Interactions.” </w:t>
      </w:r>
      <w:r>
        <w:rPr>
          <w:rFonts w:ascii="Palatino" w:hAnsi="Palatino"/>
          <w:i/>
        </w:rPr>
        <w:t>Nucleic Acids Research</w:t>
      </w:r>
      <w:r>
        <w:rPr>
          <w:rFonts w:ascii="Palatino" w:hAnsi="Palatino"/>
        </w:rPr>
        <w:t xml:space="preserve"> 44 (W1): W494-501. https://doi.org/10.1093/nar/gkw374.</w:t>
      </w:r>
    </w:p>
    <w:p>
      <w:pPr>
        <w:pStyle w:val="Bibliography1"/>
        <w:rPr/>
      </w:pPr>
      <w:r>
        <w:rPr>
          <w:rFonts w:ascii="Palatino" w:hAnsi="Palatino"/>
        </w:rPr>
        <w:t xml:space="preserve">Ma, Buyong, Sandeep Kumar, Chung-Jung Tsai, and Ruth Nussinov. 1999. “Folding Funnels and Binding Mechanisms.” </w:t>
      </w:r>
      <w:r>
        <w:rPr>
          <w:rFonts w:ascii="Palatino" w:hAnsi="Palatino"/>
          <w:i/>
        </w:rPr>
        <w:t>Protein Engineering, Design and Selection</w:t>
      </w:r>
      <w:r>
        <w:rPr>
          <w:rFonts w:ascii="Palatino" w:hAnsi="Palatino"/>
        </w:rPr>
        <w:t xml:space="preserve"> 12 (9): 713–20. https://doi.org/10.1093/protein/12.9.713.</w:t>
      </w:r>
    </w:p>
    <w:p>
      <w:pPr>
        <w:pStyle w:val="Bibliography1"/>
        <w:rPr/>
      </w:pPr>
      <w:r>
        <w:rPr>
          <w:rFonts w:ascii="Palatino" w:hAnsi="Palatino"/>
        </w:rPr>
        <w:t xml:space="preserve">Ma, Buyong, Maxim Shatsky, Haim J. Wolfson, and Ruth Nussinov. 2009. “Multiple Diverse Ligands Binding at a Single Protein Site: A Matter of Pre-Existing Populations.” </w:t>
      </w:r>
      <w:r>
        <w:rPr>
          <w:rFonts w:ascii="Palatino" w:hAnsi="Palatino"/>
          <w:i/>
        </w:rPr>
        <w:t>Protein Science</w:t>
      </w:r>
      <w:r>
        <w:rPr>
          <w:rFonts w:ascii="Palatino" w:hAnsi="Palatino"/>
        </w:rPr>
        <w:t xml:space="preserve"> 11 (2): 184–97. https://doi.org/10.1110/ps.21302.</w:t>
      </w:r>
    </w:p>
    <w:p>
      <w:pPr>
        <w:pStyle w:val="Bibliography1"/>
        <w:rPr/>
      </w:pPr>
      <w:r>
        <w:rPr>
          <w:rFonts w:ascii="Palatino" w:hAnsi="Palatino"/>
        </w:rPr>
        <w:t xml:space="preserve">Manning, G., D. B. Whyte, R. Martinez, T. Hunter, and S. Sudarsanam. 2002. “The Protein Kinase Complement of the Human Genome.” </w:t>
      </w:r>
      <w:r>
        <w:rPr>
          <w:rFonts w:ascii="Palatino" w:hAnsi="Palatino"/>
          <w:i/>
        </w:rPr>
        <w:t>Science</w:t>
      </w:r>
      <w:r>
        <w:rPr>
          <w:rFonts w:ascii="Palatino" w:hAnsi="Palatino"/>
        </w:rPr>
        <w:t xml:space="preserve"> 298 (5600): 1912–34. https://doi.org/10.1126/science.1075762.</w:t>
      </w:r>
    </w:p>
    <w:p>
      <w:pPr>
        <w:pStyle w:val="Bibliography1"/>
        <w:rPr/>
      </w:pPr>
      <w:r>
        <w:rPr>
          <w:rFonts w:ascii="Palatino" w:hAnsi="Palatino"/>
        </w:rPr>
        <w:t xml:space="preserve">Martincorena, Iñigo, and Peter J. Campbell. 2015. “Somatic Mutation in Cancer and Normal Cells.” </w:t>
      </w:r>
      <w:r>
        <w:rPr>
          <w:rFonts w:ascii="Palatino" w:hAnsi="Palatino"/>
          <w:i/>
        </w:rPr>
        <w:t>Science</w:t>
      </w:r>
      <w:r>
        <w:rPr>
          <w:rFonts w:ascii="Palatino" w:hAnsi="Palatino"/>
        </w:rPr>
        <w:t xml:space="preserve"> 349 (6255): 1483–89. https://doi.org/10.1126/science.aab4082.</w:t>
      </w:r>
    </w:p>
    <w:p>
      <w:pPr>
        <w:pStyle w:val="Bibliography1"/>
        <w:rPr/>
      </w:pPr>
      <w:r>
        <w:rPr>
          <w:rFonts w:ascii="Palatino" w:hAnsi="Palatino"/>
        </w:rPr>
        <w:t xml:space="preserve">Martincorena, Iñigo, Keiran M. Raine, Moritz Gerstung, Kevin J. Dawson, Kerstin Haase, Peter Van Loo, Helen Davies, Michael R. Stratton, and Peter J. Campbell. 2017. “Universal Patterns of Selection in Cancer and Somatic Tissues.” </w:t>
      </w:r>
      <w:r>
        <w:rPr>
          <w:rFonts w:ascii="Palatino" w:hAnsi="Palatino"/>
          <w:i/>
        </w:rPr>
        <w:t>Cell</w:t>
      </w:r>
      <w:r>
        <w:rPr>
          <w:rFonts w:ascii="Palatino" w:hAnsi="Palatino"/>
        </w:rPr>
        <w:t xml:space="preserve"> 171 (5): 1029-1041.e21. https://doi.org/10.1016/j.cell.2017.09.042.</w:t>
      </w:r>
    </w:p>
    <w:p>
      <w:pPr>
        <w:pStyle w:val="Bibliography1"/>
        <w:rPr/>
      </w:pPr>
      <w:r>
        <w:rPr>
          <w:rFonts w:ascii="Palatino" w:hAnsi="Palatino"/>
        </w:rPr>
        <w:t xml:space="preserve">Mizuno, Kei, Shusuke Akamatsu, Takayuki Sumiyoshi, Jing Hao Wong, Masashi Fujita, Kazuaki Maejima, Kaoru Nakano, et al. 2019. “EVIDENCE: A Practical Variant Filtering for Low-Frequency Variants Detection in Cell-Free DNA.” </w:t>
      </w:r>
      <w:r>
        <w:rPr>
          <w:rFonts w:ascii="Palatino" w:hAnsi="Palatino"/>
          <w:i/>
        </w:rPr>
        <w:t>Scientific Reports</w:t>
      </w:r>
      <w:r>
        <w:rPr>
          <w:rFonts w:ascii="Palatino" w:hAnsi="Palatino"/>
        </w:rPr>
        <w:t xml:space="preserve"> 9 (1): 15017. https://doi.org/10.1038/s41598-019-51459-4.</w:t>
      </w:r>
    </w:p>
    <w:p>
      <w:pPr>
        <w:pStyle w:val="Bibliography1"/>
        <w:rPr/>
      </w:pPr>
      <w:r>
        <w:rPr>
          <w:rFonts w:ascii="Palatino" w:hAnsi="Palatino"/>
        </w:rPr>
        <w:t xml:space="preserve">Nature Publishing Group. 2022. “DNA Is Constantly Changing through the Process of Mutation.” </w:t>
      </w:r>
      <w:r>
        <w:rPr>
          <w:rFonts w:ascii="Palatino" w:hAnsi="Palatino"/>
          <w:i/>
        </w:rPr>
        <w:t>Scitable by Nature EDUCATION</w:t>
      </w:r>
      <w:r>
        <w:rPr>
          <w:rFonts w:ascii="Palatino" w:hAnsi="Palatino"/>
        </w:rPr>
        <w:t xml:space="preserve"> (blog). October 20, 2022. </w:t>
      </w:r>
      <w:hyperlink r:id="rId8">
        <w:r>
          <w:rPr>
            <w:rStyle w:val="Hyperlink"/>
            <w:rFonts w:ascii="Palatino" w:hAnsi="Palatino"/>
          </w:rPr>
          <w:t>https://www.nature.com/scitable/topicpage/dna-is-constantly-changing-through-the-process-6524898/</w:t>
        </w:r>
      </w:hyperlink>
      <w:r>
        <w:rPr>
          <w:rFonts w:ascii="Palatino" w:hAnsi="Palatino"/>
        </w:rPr>
        <w:t>.</w:t>
      </w:r>
    </w:p>
    <w:p>
      <w:pPr>
        <w:pStyle w:val="Bibliography1"/>
        <w:rPr/>
      </w:pPr>
      <w:r>
        <w:rPr>
          <w:rFonts w:ascii="Palatino" w:hAnsi="Palatino"/>
        </w:rPr>
        <w:t xml:space="preserve">Nesvizhskii, Alexey I. 2014. “Proteogenomics: Concepts, Applications and Computational Strategies.” </w:t>
      </w:r>
      <w:r>
        <w:rPr>
          <w:rFonts w:ascii="Palatino" w:hAnsi="Palatino"/>
          <w:i/>
        </w:rPr>
        <w:t>Nature Methods</w:t>
      </w:r>
      <w:r>
        <w:rPr>
          <w:rFonts w:ascii="Palatino" w:hAnsi="Palatino"/>
        </w:rPr>
        <w:t xml:space="preserve"> 11 (11): 1114–25. https://doi.org/10.1038/nmeth.3144.</w:t>
      </w:r>
    </w:p>
    <w:p>
      <w:pPr>
        <w:pStyle w:val="Bibliography1"/>
        <w:rPr/>
      </w:pPr>
      <w:r>
        <w:rPr>
          <w:rFonts w:ascii="Palatino" w:hAnsi="Palatino"/>
        </w:rPr>
        <w:t xml:space="preserve">Ng, Pauline C., and Steven Henikoff. 2001. “Predicting Deleterious Amino Acid Substitutions.” </w:t>
      </w:r>
      <w:r>
        <w:rPr>
          <w:rFonts w:ascii="Palatino" w:hAnsi="Palatino"/>
          <w:i/>
        </w:rPr>
        <w:t>Genome Research</w:t>
      </w:r>
      <w:r>
        <w:rPr>
          <w:rFonts w:ascii="Palatino" w:hAnsi="Palatino"/>
        </w:rPr>
        <w:t xml:space="preserve"> 11 (5): 863–74. https://doi.org/10.1101/gr.176601.</w:t>
      </w:r>
    </w:p>
    <w:p>
      <w:pPr>
        <w:pStyle w:val="Bibliography1"/>
        <w:rPr/>
      </w:pPr>
      <w:r>
        <w:rPr>
          <w:rFonts w:ascii="Palatino" w:hAnsi="Palatino"/>
        </w:rPr>
        <w:t xml:space="preserve">Pagel, Kymberleigh A., Danny Antaki, AoJie Lian, Matthew Mort, David N. Cooper, Jonathan Sebat, Lilia M. Iakoucheva, Sean D. Mooney, and Predrag Radivojac. 2019. “Pathogenicity and Functional Impact of Non-Frameshifting Insertion/Deletion Variation in the Human Genome.” Edited by Maricel G Kann. </w:t>
      </w:r>
      <w:r>
        <w:rPr>
          <w:rFonts w:ascii="Palatino" w:hAnsi="Palatino"/>
          <w:i/>
        </w:rPr>
        <w:t>PLOS Computational Biology</w:t>
      </w:r>
      <w:r>
        <w:rPr>
          <w:rFonts w:ascii="Palatino" w:hAnsi="Palatino"/>
        </w:rPr>
        <w:t xml:space="preserve"> 15 (6): e1007112. https://doi.org/10.1371/journal.pcbi.1007112.</w:t>
      </w:r>
    </w:p>
    <w:p>
      <w:pPr>
        <w:pStyle w:val="Bibliography1"/>
        <w:rPr/>
      </w:pPr>
      <w:r>
        <w:rPr>
          <w:rFonts w:ascii="Palatino" w:hAnsi="Palatino"/>
        </w:rPr>
        <w:t xml:space="preserve">Parker, Jillian A., and Carla Mattos. 2018. “The K-Ras, N-Ras, and H-Ras Isoforms: Unique Conformational Preferences and Implications for Targeting Oncogenic Mutants.” </w:t>
      </w:r>
      <w:r>
        <w:rPr>
          <w:rFonts w:ascii="Palatino" w:hAnsi="Palatino"/>
          <w:i/>
        </w:rPr>
        <w:t>Cold Spring Harbor Perspectives in Medicine</w:t>
      </w:r>
      <w:r>
        <w:rPr>
          <w:rFonts w:ascii="Palatino" w:hAnsi="Palatino"/>
        </w:rPr>
        <w:t xml:space="preserve"> 8 (8): a031427. https://doi.org/10.1101/cshperspect.a031427.</w:t>
      </w:r>
    </w:p>
    <w:p>
      <w:pPr>
        <w:pStyle w:val="Bibliography1"/>
        <w:rPr/>
      </w:pPr>
      <w:r>
        <w:rPr>
          <w:rFonts w:ascii="Palatino" w:hAnsi="Palatino"/>
        </w:rPr>
        <w:t xml:space="preserve">Parmley, Joanna L., J. V. Chamary, and Laurence D. Hurst. 2006. “Evidence for Purifying Selection Against Synonymous Mutations in Mammalian Exonic Splicing Enhancers.” </w:t>
      </w:r>
      <w:r>
        <w:rPr>
          <w:rFonts w:ascii="Palatino" w:hAnsi="Palatino"/>
          <w:i/>
        </w:rPr>
        <w:t>Molecular Biology and Evolution</w:t>
      </w:r>
      <w:r>
        <w:rPr>
          <w:rFonts w:ascii="Palatino" w:hAnsi="Palatino"/>
        </w:rPr>
        <w:t xml:space="preserve"> 23 (2): 301–9. https://doi.org/10.1093/molbev/msj035.</w:t>
      </w:r>
    </w:p>
    <w:p>
      <w:pPr>
        <w:pStyle w:val="Bibliography1"/>
        <w:rPr/>
      </w:pPr>
      <w:r>
        <w:rPr>
          <w:rFonts w:ascii="Palatino" w:hAnsi="Palatino"/>
        </w:rPr>
        <w:t xml:space="preserve">Petukh, Marharyta, Tugba G. Kucukkal, and Emil Alexov. 2015. “On Human Disease-Causing Amino Acid Variants: Statistical Study of Sequence and Structural Patterns.” </w:t>
      </w:r>
      <w:r>
        <w:rPr>
          <w:rFonts w:ascii="Palatino" w:hAnsi="Palatino"/>
          <w:i/>
        </w:rPr>
        <w:t>Human Mutation</w:t>
      </w:r>
      <w:r>
        <w:rPr>
          <w:rFonts w:ascii="Palatino" w:hAnsi="Palatino"/>
        </w:rPr>
        <w:t xml:space="preserve"> 36 (5): 524–34. https://doi.org/10.1002/humu.22770.</w:t>
      </w:r>
    </w:p>
    <w:p>
      <w:pPr>
        <w:pStyle w:val="Bibliography1"/>
        <w:rPr/>
      </w:pPr>
      <w:r>
        <w:rPr>
          <w:rFonts w:ascii="Palatino" w:hAnsi="Palatino"/>
        </w:rPr>
        <w:t xml:space="preserve">Piazza, Ilaria, Karl Kochanowski, Valentina Cappelletti, Tobias Fuhrer, Elad Noor, Uwe Sauer, and Paola Picotti. 2018. “A Map of Protein-Metabolite Interactions Reveals Principles of Chemical Communication.” </w:t>
      </w:r>
      <w:r>
        <w:rPr>
          <w:rFonts w:ascii="Palatino" w:hAnsi="Palatino"/>
          <w:i/>
        </w:rPr>
        <w:t>Cell</w:t>
      </w:r>
      <w:r>
        <w:rPr>
          <w:rFonts w:ascii="Palatino" w:hAnsi="Palatino"/>
        </w:rPr>
        <w:t xml:space="preserve"> 172 (1–2): 358-372.e23. https://doi.org/10.1016/j.cell.2017.12.006.</w:t>
      </w:r>
    </w:p>
    <w:p>
      <w:pPr>
        <w:pStyle w:val="Bibliography1"/>
        <w:rPr/>
      </w:pPr>
      <w:r>
        <w:rPr>
          <w:rFonts w:ascii="Palatino" w:hAnsi="Palatino"/>
        </w:rPr>
        <w:t xml:space="preserve">Prasad, Vinay, Tito Fojo, and Michael Brada. 2016. “Precision Oncology: Origins, Optimism, and Potential.” </w:t>
      </w:r>
      <w:r>
        <w:rPr>
          <w:rFonts w:ascii="Palatino" w:hAnsi="Palatino"/>
          <w:i/>
        </w:rPr>
        <w:t>The Lancet. Oncology</w:t>
      </w:r>
      <w:r>
        <w:rPr>
          <w:rFonts w:ascii="Palatino" w:hAnsi="Palatino"/>
        </w:rPr>
        <w:t xml:space="preserve"> 17 (2): e81–86. https://doi.org/10.1016/S1470-2045(15)00620-8.</w:t>
      </w:r>
    </w:p>
    <w:p>
      <w:pPr>
        <w:pStyle w:val="Bibliography1"/>
        <w:rPr/>
      </w:pPr>
      <w:r>
        <w:rPr>
          <w:rFonts w:ascii="Palatino" w:hAnsi="Palatino"/>
        </w:rPr>
        <w:t xml:space="preserve">Quang, Daniel, Yifei Chen, and Xiaohui Xie. 2015. “DANN: A Deep Learning Approach for Annotating the Pathogenicity of Genetic Variants.” </w:t>
      </w:r>
      <w:r>
        <w:rPr>
          <w:rFonts w:ascii="Palatino" w:hAnsi="Palatino"/>
          <w:i/>
        </w:rPr>
        <w:t>Bioinformatics</w:t>
      </w:r>
      <w:r>
        <w:rPr>
          <w:rFonts w:ascii="Palatino" w:hAnsi="Palatino"/>
        </w:rPr>
        <w:t xml:space="preserve"> 31 (5): 761–63. https://doi.org/10.1093/bioinformatics/btu703.</w:t>
      </w:r>
    </w:p>
    <w:p>
      <w:pPr>
        <w:pStyle w:val="Bibliography1"/>
        <w:rPr/>
      </w:pPr>
      <w:r>
        <w:rPr>
          <w:rFonts w:ascii="Palatino" w:hAnsi="Palatino"/>
        </w:rPr>
        <w:t xml:space="preserve">Raphael, Benjamin J, Jason R Dobson, Layla Oesper, and Fabio Vandin. 2014. “Identifying Driver Mutations in Sequenced Cancer Genomes: Computational Approaches to Enable Precision Medicine.” </w:t>
      </w:r>
      <w:r>
        <w:rPr>
          <w:rFonts w:ascii="Palatino" w:hAnsi="Palatino"/>
          <w:i/>
        </w:rPr>
        <w:t>Genome Medicine</w:t>
      </w:r>
      <w:r>
        <w:rPr>
          <w:rFonts w:ascii="Palatino" w:hAnsi="Palatino"/>
        </w:rPr>
        <w:t xml:space="preserve"> 6 (1): 5. https://doi.org/10.1186/gm524.</w:t>
      </w:r>
    </w:p>
    <w:p>
      <w:pPr>
        <w:pStyle w:val="Bibliography1"/>
        <w:rPr/>
      </w:pPr>
      <w:r>
        <w:rPr>
          <w:rFonts w:ascii="Palatino" w:hAnsi="Palatino"/>
        </w:rPr>
        <w:t xml:space="preserve">Rentzsch, Philipp, Daniela Witten, Gregory M Cooper, Jay Shendure, and Martin Kircher. 2019. “CADD: Predicting the Deleteriousness of Variants throughout the Human Genome.” </w:t>
      </w:r>
      <w:r>
        <w:rPr>
          <w:rFonts w:ascii="Palatino" w:hAnsi="Palatino"/>
          <w:i/>
        </w:rPr>
        <w:t>Nucleic Acids Research</w:t>
      </w:r>
      <w:r>
        <w:rPr>
          <w:rFonts w:ascii="Palatino" w:hAnsi="Palatino"/>
        </w:rPr>
        <w:t xml:space="preserve"> 47 (D1): D886–94. https://doi.org/10.1093/nar/gky1016.</w:t>
      </w:r>
    </w:p>
    <w:p>
      <w:pPr>
        <w:pStyle w:val="Bibliography1"/>
        <w:rPr/>
      </w:pPr>
      <w:r>
        <w:rPr>
          <w:rFonts w:ascii="Palatino" w:hAnsi="Palatino"/>
        </w:rPr>
        <w:t xml:space="preserve">Reva, Boris, Yevgeniy Antipin, and Chris Sander. 2011. “Predicting the Functional Impact of Protein Mutations: Application to Cancer Genomics.” </w:t>
      </w:r>
      <w:r>
        <w:rPr>
          <w:rFonts w:ascii="Palatino" w:hAnsi="Palatino"/>
          <w:i/>
        </w:rPr>
        <w:t>Nucleic Acids Research</w:t>
      </w:r>
      <w:r>
        <w:rPr>
          <w:rFonts w:ascii="Palatino" w:hAnsi="Palatino"/>
        </w:rPr>
        <w:t xml:space="preserve"> 39 (17): e118–e118. https://doi.org/10.1093/nar/gkr407.</w:t>
      </w:r>
    </w:p>
    <w:p>
      <w:pPr>
        <w:pStyle w:val="Bibliography1"/>
        <w:rPr/>
      </w:pPr>
      <w:r>
        <w:rPr>
          <w:rFonts w:ascii="Palatino" w:hAnsi="Palatino"/>
        </w:rPr>
        <w:t xml:space="preserve">Rogers, Mark F, Hashem A Shihab, Matthew Mort, David N Cooper, Tom R Gaunt, and Colin Campbell. 2018. “FATHMM-XF: Accurate Prediction of Pathogenic Point Mutations via Extended Features.” Edited by John Hancock. </w:t>
      </w:r>
      <w:r>
        <w:rPr>
          <w:rFonts w:ascii="Palatino" w:hAnsi="Palatino"/>
          <w:i/>
        </w:rPr>
        <w:t>Bioinformatics</w:t>
      </w:r>
      <w:r>
        <w:rPr>
          <w:rFonts w:ascii="Palatino" w:hAnsi="Palatino"/>
        </w:rPr>
        <w:t xml:space="preserve"> 34 (3): 511–13. https://doi.org/10.1093/bioinformatics/btx536.</w:t>
      </w:r>
    </w:p>
    <w:p>
      <w:pPr>
        <w:pStyle w:val="Bibliography1"/>
        <w:rPr/>
      </w:pPr>
      <w:r>
        <w:rPr>
          <w:rFonts w:ascii="Palatino" w:hAnsi="Palatino"/>
          <w:lang w:val="de-DE"/>
        </w:rPr>
        <w:t xml:space="preserve">Saarenheimo, Jatta, Natalja Eigeliene, Heidi Andersen, Marja Tiirola, and Antti Jekunen. </w:t>
      </w:r>
      <w:r>
        <w:rPr>
          <w:rFonts w:ascii="Palatino" w:hAnsi="Palatino"/>
        </w:rPr>
        <w:t xml:space="preserve">2019. “The Value of Liquid Biopsies for Guiding Therapy Decisions in Non-Small Cell Lung Cancer.” </w:t>
      </w:r>
      <w:r>
        <w:rPr>
          <w:rFonts w:ascii="Palatino" w:hAnsi="Palatino"/>
          <w:i/>
        </w:rPr>
        <w:t>Frontiers in Oncology</w:t>
      </w:r>
      <w:r>
        <w:rPr>
          <w:rFonts w:ascii="Palatino" w:hAnsi="Palatino"/>
        </w:rPr>
        <w:t xml:space="preserve"> 9 (March): 129. https://doi.org/10.3389/fonc.2019.00129.</w:t>
      </w:r>
    </w:p>
    <w:p>
      <w:pPr>
        <w:pStyle w:val="Bibliography1"/>
        <w:rPr/>
      </w:pPr>
      <w:r>
        <w:rPr>
          <w:rFonts w:ascii="Palatino" w:hAnsi="Palatino"/>
        </w:rPr>
        <w:t xml:space="preserve">Sauna, Zuben E., and Chava Kimchi-Sarfaty. 2011. “Understanding the Contribution of Synonymous Mutations to Human Disease.” </w:t>
      </w:r>
      <w:r>
        <w:rPr>
          <w:rFonts w:ascii="Palatino" w:hAnsi="Palatino"/>
          <w:i/>
        </w:rPr>
        <w:t>Nature Reviews Genetics</w:t>
      </w:r>
      <w:r>
        <w:rPr>
          <w:rFonts w:ascii="Palatino" w:hAnsi="Palatino"/>
        </w:rPr>
        <w:t xml:space="preserve"> 12 (10): 683–91. https://doi.org/10.1038/nrg3051.</w:t>
      </w:r>
    </w:p>
    <w:p>
      <w:pPr>
        <w:pStyle w:val="Bibliography1"/>
        <w:rPr/>
      </w:pPr>
      <w:r>
        <w:rPr>
          <w:rFonts w:ascii="Palatino" w:hAnsi="Palatino"/>
        </w:rPr>
        <w:t xml:space="preserve">Schwarz, Jana Marie, David N Cooper, Markus Schuelke, and Dominik Seelow. 2014. “MutationTaster2: Mutation Prediction for the Deep-Sequencing Age.” </w:t>
      </w:r>
      <w:r>
        <w:rPr>
          <w:rFonts w:ascii="Palatino" w:hAnsi="Palatino"/>
          <w:i/>
        </w:rPr>
        <w:t>Nature Methods</w:t>
      </w:r>
      <w:r>
        <w:rPr>
          <w:rFonts w:ascii="Palatino" w:hAnsi="Palatino"/>
        </w:rPr>
        <w:t xml:space="preserve"> 11 (4): 361–62. https://doi.org/10.1038/nmeth.2890.</w:t>
      </w:r>
    </w:p>
    <w:p>
      <w:pPr>
        <w:pStyle w:val="Bibliography1"/>
        <w:rPr/>
      </w:pPr>
      <w:r>
        <w:rPr>
          <w:rFonts w:ascii="Palatino" w:hAnsi="Palatino"/>
          <w:lang w:val="de-DE"/>
        </w:rPr>
        <w:t xml:space="preserve">Sehn, Jennifer K. 2015. “Insertions and Deletions (Indels).” </w:t>
      </w:r>
      <w:r>
        <w:rPr>
          <w:rFonts w:ascii="Palatino" w:hAnsi="Palatino"/>
        </w:rPr>
        <w:t xml:space="preserve">In </w:t>
      </w:r>
      <w:r>
        <w:rPr>
          <w:rFonts w:ascii="Palatino" w:hAnsi="Palatino"/>
          <w:i/>
        </w:rPr>
        <w:t>Clinical Genomics</w:t>
      </w:r>
      <w:r>
        <w:rPr>
          <w:rFonts w:ascii="Palatino" w:hAnsi="Palatino"/>
        </w:rPr>
        <w:t>, 129–50. Elsevier. https://doi.org/10.1016/B978-0-12-404748-8.00009-5.</w:t>
      </w:r>
    </w:p>
    <w:p>
      <w:pPr>
        <w:pStyle w:val="Bibliography1"/>
        <w:rPr/>
      </w:pPr>
      <w:r>
        <w:rPr>
          <w:rFonts w:ascii="Palatino" w:hAnsi="Palatino"/>
        </w:rPr>
        <w:t xml:space="preserve">Shan, Yibing, Michael P. Eastwood, Xuewu Zhang, Eric T. Kim, Anton Arkhipov, Ron O. Dror, John Jumper, John Kuriyan, and David E. Shaw. 2012. “Oncogenic Mutations Counteract Intrinsic Disorder in the EGFR Kinase and Promote Receptor Dimerization.” </w:t>
      </w:r>
      <w:r>
        <w:rPr>
          <w:rFonts w:ascii="Palatino" w:hAnsi="Palatino"/>
          <w:i/>
        </w:rPr>
        <w:t>Cell</w:t>
      </w:r>
      <w:r>
        <w:rPr>
          <w:rFonts w:ascii="Palatino" w:hAnsi="Palatino"/>
        </w:rPr>
        <w:t xml:space="preserve"> 149 (4): 860–70. https://doi.org/10.1016/j.cell.2012.02.063.</w:t>
      </w:r>
    </w:p>
    <w:p>
      <w:pPr>
        <w:pStyle w:val="Bibliography1"/>
        <w:rPr/>
      </w:pPr>
      <w:r>
        <w:rPr>
          <w:rFonts w:ascii="Palatino" w:hAnsi="Palatino"/>
        </w:rPr>
        <w:t xml:space="preserve">Sharma, Jyoti, Kim M. Keeling, and Steven M. Rowe. 2020. “Pharmacological Approaches for Targeting Cystic Fibrosis Nonsense Mutations.” </w:t>
      </w:r>
      <w:r>
        <w:rPr>
          <w:rFonts w:ascii="Palatino" w:hAnsi="Palatino"/>
          <w:i/>
        </w:rPr>
        <w:t>European Journal of Medicinal Chemistry</w:t>
      </w:r>
      <w:r>
        <w:rPr>
          <w:rFonts w:ascii="Palatino" w:hAnsi="Palatino"/>
        </w:rPr>
        <w:t xml:space="preserve"> 200 (August): 112436. https://doi.org/10.1016/j.ejmech.2020.112436.</w:t>
      </w:r>
    </w:p>
    <w:p>
      <w:pPr>
        <w:pStyle w:val="Bibliography1"/>
        <w:rPr/>
      </w:pPr>
      <w:r>
        <w:rPr>
          <w:rFonts w:ascii="Palatino" w:hAnsi="Palatino"/>
        </w:rPr>
        <w:t xml:space="preserve">Shihab, Hashem A., Julian Gough, David N. Cooper, Peter D. Stenson, Gary L. A. Barker, Keith J. Edwards, Ian N. M. Day, and Tom R. Gaunt. 2013. “Predicting the Functional, Molecular, and Phenotypic Consequences of Amino Acid Substitutions Using Hidden Markov Models.” </w:t>
      </w:r>
      <w:r>
        <w:rPr>
          <w:rFonts w:ascii="Palatino" w:hAnsi="Palatino"/>
          <w:i/>
        </w:rPr>
        <w:t>Human Mutation</w:t>
      </w:r>
      <w:r>
        <w:rPr>
          <w:rFonts w:ascii="Palatino" w:hAnsi="Palatino"/>
        </w:rPr>
        <w:t xml:space="preserve"> 34 (1): 57–65. https://doi.org/10.1002/humu.22225.</w:t>
      </w:r>
    </w:p>
    <w:p>
      <w:pPr>
        <w:pStyle w:val="Bibliography1"/>
        <w:rPr/>
      </w:pPr>
      <w:r>
        <w:rPr>
          <w:rFonts w:ascii="Palatino" w:hAnsi="Palatino"/>
        </w:rPr>
        <w:t xml:space="preserve">Shihab, Hashem A., Mark F. Rogers, Julian Gough, Matthew Mort, David N. Cooper, Ian N. M. Day, Tom R. Gaunt, and Colin Campbell. 2015. “An Integrative Approach to Predicting the Functional Effects of Non-Coding and Coding Sequence Variation.” </w:t>
      </w:r>
      <w:r>
        <w:rPr>
          <w:rFonts w:ascii="Palatino" w:hAnsi="Palatino"/>
          <w:i/>
        </w:rPr>
        <w:t>Bioinformatics</w:t>
      </w:r>
      <w:r>
        <w:rPr>
          <w:rFonts w:ascii="Palatino" w:hAnsi="Palatino"/>
        </w:rPr>
        <w:t xml:space="preserve"> 31 (10): 1536–43. https://doi.org/10.1093/bioinformatics/btv009.</w:t>
      </w:r>
    </w:p>
    <w:p>
      <w:pPr>
        <w:pStyle w:val="Bibliography1"/>
        <w:rPr/>
      </w:pPr>
      <w:r>
        <w:rPr>
          <w:rFonts w:ascii="Palatino" w:hAnsi="Palatino"/>
        </w:rPr>
        <w:t xml:space="preserve">Shrestha, Raunak, Ermin Hodzic, Thomas Sauerwald, Phuong Dao, Kendric Wang, Jake Yeung, Shawn Anderson, et al. 2017. “HIT’nDRIVE: Patient-Specific Multidriver Gene Prioritization for Precision Oncology.” </w:t>
      </w:r>
      <w:r>
        <w:rPr>
          <w:rFonts w:ascii="Palatino" w:hAnsi="Palatino"/>
          <w:i/>
        </w:rPr>
        <w:t>Genome Research</w:t>
      </w:r>
      <w:r>
        <w:rPr>
          <w:rFonts w:ascii="Palatino" w:hAnsi="Palatino"/>
        </w:rPr>
        <w:t xml:space="preserve"> 27 (9): 1573–88. https://doi.org/10.1101/gr.221218.117.</w:t>
      </w:r>
    </w:p>
    <w:p>
      <w:pPr>
        <w:pStyle w:val="Bibliography1"/>
        <w:rPr/>
      </w:pPr>
      <w:r>
        <w:rPr>
          <w:rFonts w:ascii="Palatino" w:hAnsi="Palatino"/>
        </w:rPr>
        <w:t xml:space="preserve">Shukla, Hem D. 2017. “Comprehensive Analysis of Cancer-Proteogenome to Identify Biomarkers for the Early Diagnosis and Prognosis of Cancer.” </w:t>
      </w:r>
      <w:r>
        <w:rPr>
          <w:rFonts w:ascii="Palatino" w:hAnsi="Palatino"/>
          <w:i/>
        </w:rPr>
        <w:t>Proteomes</w:t>
      </w:r>
      <w:r>
        <w:rPr>
          <w:rFonts w:ascii="Palatino" w:hAnsi="Palatino"/>
        </w:rPr>
        <w:t xml:space="preserve"> 5 (4): 28. https://doi.org/10.3390/proteomes5040028.</w:t>
      </w:r>
    </w:p>
    <w:p>
      <w:pPr>
        <w:pStyle w:val="Bibliography1"/>
        <w:rPr/>
      </w:pPr>
      <w:r>
        <w:rPr>
          <w:rFonts w:ascii="Palatino" w:hAnsi="Palatino"/>
        </w:rPr>
        <w:t xml:space="preserve">Singer, Jochen, Anja Irmisch, Hans-Joachim Ruscheweyh, Franziska Singer, Nora C Toussaint, Mitchell P Levesque, Daniel J Stekhoven, and Niko Beerenwinkel. 2019. “Bioinformatics for Precision Oncology.” </w:t>
      </w:r>
      <w:r>
        <w:rPr>
          <w:rFonts w:ascii="Palatino" w:hAnsi="Palatino"/>
          <w:i/>
        </w:rPr>
        <w:t>Briefings in Bioinformatics</w:t>
      </w:r>
      <w:r>
        <w:rPr>
          <w:rFonts w:ascii="Palatino" w:hAnsi="Palatino"/>
        </w:rPr>
        <w:t xml:space="preserve"> 20 (3): 778–88. https://doi.org/10.1093/bib/bbx143.</w:t>
      </w:r>
    </w:p>
    <w:p>
      <w:pPr>
        <w:pStyle w:val="Bibliography1"/>
        <w:rPr/>
      </w:pPr>
      <w:r>
        <w:rPr>
          <w:rFonts w:ascii="Palatino" w:hAnsi="Palatino"/>
        </w:rPr>
        <w:t xml:space="preserve">Stephens, Philip, Sarah Edkins, Helen Davies, Chris Greenman, Charles Cox, Chris Hunter, Graham Bignell, et al. 2005. “A Screen of the Complete Protein Kinase Gene Family Identifies Diverse Patterns of Somatic Mutations in Human Breast Cancer.” </w:t>
      </w:r>
      <w:r>
        <w:rPr>
          <w:rFonts w:ascii="Palatino" w:hAnsi="Palatino"/>
          <w:i/>
        </w:rPr>
        <w:t>Nature Genetics</w:t>
      </w:r>
      <w:r>
        <w:rPr>
          <w:rFonts w:ascii="Palatino" w:hAnsi="Palatino"/>
        </w:rPr>
        <w:t xml:space="preserve"> 37 (6): 590–92. https://doi.org/10.1038/ng1571.</w:t>
      </w:r>
    </w:p>
    <w:p>
      <w:pPr>
        <w:pStyle w:val="Bibliography1"/>
        <w:rPr/>
      </w:pPr>
      <w:r>
        <w:rPr>
          <w:rFonts w:ascii="Palatino" w:hAnsi="Palatino"/>
        </w:rPr>
        <w:t xml:space="preserve">Szpiech, Zachary A., Nicolas B. Strauli, Katharine A. White, Diego Garrido Ruiz, Matthew P. Jacobson, Diane L. Barber, and Ryan D. Hernandez. 2017. “Prominent Features of the Amino Acid Mutation Landscape in Cancer.” Edited by Alvaro Galli. </w:t>
      </w:r>
      <w:r>
        <w:rPr>
          <w:rFonts w:ascii="Palatino" w:hAnsi="Palatino"/>
          <w:i/>
        </w:rPr>
        <w:t>PLOS ONE</w:t>
      </w:r>
      <w:r>
        <w:rPr>
          <w:rFonts w:ascii="Palatino" w:hAnsi="Palatino"/>
        </w:rPr>
        <w:t xml:space="preserve"> 12 (8): e0183273. https://doi.org/10.1371/journal.pone.0183273.</w:t>
      </w:r>
    </w:p>
    <w:p>
      <w:pPr>
        <w:pStyle w:val="Bibliography1"/>
        <w:rPr/>
      </w:pPr>
      <w:r>
        <w:rPr>
          <w:rFonts w:ascii="Palatino" w:hAnsi="Palatino"/>
        </w:rPr>
        <w:t xml:space="preserve">The 1000 Genomes Project Consortium. 2010. “A Map of Human Genome Variation from Population-Scale Sequencing.” </w:t>
      </w:r>
      <w:r>
        <w:rPr>
          <w:rFonts w:ascii="Palatino" w:hAnsi="Palatino"/>
          <w:i/>
        </w:rPr>
        <w:t>Nature</w:t>
      </w:r>
      <w:r>
        <w:rPr>
          <w:rFonts w:ascii="Palatino" w:hAnsi="Palatino"/>
        </w:rPr>
        <w:t xml:space="preserve"> 467 (7319): 1061–73. https://doi.org/10.1038/nature09534.</w:t>
      </w:r>
    </w:p>
    <w:p>
      <w:pPr>
        <w:pStyle w:val="Bibliography1"/>
        <w:rPr/>
      </w:pPr>
      <w:r>
        <w:rPr>
          <w:rFonts w:ascii="Palatino" w:hAnsi="Palatino"/>
        </w:rPr>
        <w:t xml:space="preserve">the NCI CPTAC, Bing Zhang, Jing Wang, Xiaojing Wang, Jing Zhu, Qi Liu, Zhiao Shi, et al. 2014. “Proteogenomic Characterization of Human Colon and Rectal Cancer.” </w:t>
      </w:r>
      <w:r>
        <w:rPr>
          <w:rFonts w:ascii="Palatino" w:hAnsi="Palatino"/>
          <w:i/>
        </w:rPr>
        <w:t>Nature</w:t>
      </w:r>
      <w:r>
        <w:rPr>
          <w:rFonts w:ascii="Palatino" w:hAnsi="Palatino"/>
        </w:rPr>
        <w:t xml:space="preserve"> 513 (7518): 382–87. https://doi.org/10.1038/nature13438.</w:t>
      </w:r>
    </w:p>
    <w:p>
      <w:pPr>
        <w:pStyle w:val="Bibliography1"/>
        <w:rPr/>
      </w:pPr>
      <w:r>
        <w:rPr>
          <w:rFonts w:ascii="Palatino" w:hAnsi="Palatino"/>
        </w:rPr>
        <w:t xml:space="preserve">Toda, Kosuke, Kenji Kawada, Masayoshi Iwamoto, Susumu Inamoto, Takehiko Sasazuki, Senji Shirasawa, Suguru Hasegawa, and Yoshiharu Sakai. 2016. “Metabolic Alterations Caused by KRAS Mutations in Colorectal Cancer Contribute to Cell Adaptation to Glutamine Depletion by Upregulation of Asparagine Synthetase.” </w:t>
      </w:r>
      <w:r>
        <w:rPr>
          <w:rFonts w:ascii="Palatino" w:hAnsi="Palatino"/>
          <w:i/>
        </w:rPr>
        <w:t>Neoplasia (New York, N.Y.)</w:t>
      </w:r>
      <w:r>
        <w:rPr>
          <w:rFonts w:ascii="Palatino" w:hAnsi="Palatino"/>
        </w:rPr>
        <w:t xml:space="preserve"> 18 (11): 654–65. https://doi.org/10.1016/j.neo.2016.09.004.</w:t>
      </w:r>
    </w:p>
    <w:p>
      <w:pPr>
        <w:pStyle w:val="Bibliography1"/>
        <w:rPr/>
      </w:pPr>
      <w:r>
        <w:rPr>
          <w:rFonts w:ascii="Palatino" w:hAnsi="Palatino"/>
        </w:rPr>
        <w:t xml:space="preserve">Torkamani, Ali, Gennady Verkhivker, and Nicholas J. Schork. 2009. “Cancer Driver Mutations in Protein Kinase Genes.” </w:t>
      </w:r>
      <w:r>
        <w:rPr>
          <w:rFonts w:ascii="Palatino" w:hAnsi="Palatino"/>
          <w:i/>
        </w:rPr>
        <w:t>Cancer Letters</w:t>
      </w:r>
      <w:r>
        <w:rPr>
          <w:rFonts w:ascii="Palatino" w:hAnsi="Palatino"/>
        </w:rPr>
        <w:t xml:space="preserve"> 281 (2): 117–27. https://doi.org/10.1016/j.canlet.2008.11.008.</w:t>
      </w:r>
    </w:p>
    <w:p>
      <w:pPr>
        <w:pStyle w:val="Bibliography1"/>
        <w:rPr/>
      </w:pPr>
      <w:r>
        <w:rPr>
          <w:rFonts w:ascii="Palatino" w:hAnsi="Palatino"/>
        </w:rPr>
        <w:t xml:space="preserve">Van Waes, Carter, and Omar Musbahi. 2017. “Genomics and Advances towards Precision Medicine for Head and Neck Squamous Cell Carcinoma.” </w:t>
      </w:r>
      <w:r>
        <w:rPr>
          <w:rFonts w:ascii="Palatino" w:hAnsi="Palatino"/>
          <w:i/>
        </w:rPr>
        <w:t>Laryngoscope Investigative Otolaryngology</w:t>
      </w:r>
      <w:r>
        <w:rPr>
          <w:rFonts w:ascii="Palatino" w:hAnsi="Palatino"/>
        </w:rPr>
        <w:t xml:space="preserve"> 2 (5): 310–19. https://doi.org/10.1002/lio2.86.</w:t>
      </w:r>
    </w:p>
    <w:p>
      <w:pPr>
        <w:pStyle w:val="Bibliography1"/>
        <w:rPr/>
      </w:pPr>
      <w:r>
        <w:rPr>
          <w:rFonts w:ascii="Palatino" w:hAnsi="Palatino"/>
        </w:rPr>
        <w:t xml:space="preserve">White, Katharine A., Diego Garrido Ruiz, Zachary A. Szpiech, Nicolas B. Strauli, Ryan D. Hernandez, Matthew P. Jacobson, and Diane L. Barber. 2017. “Cancer-Associated Arginine-to-Histidine Mutations Confer a Gain in PH Sensing to Mutant Proteins.” </w:t>
      </w:r>
      <w:r>
        <w:rPr>
          <w:rFonts w:ascii="Palatino" w:hAnsi="Palatino"/>
          <w:i/>
        </w:rPr>
        <w:t>Science Signaling</w:t>
      </w:r>
      <w:r>
        <w:rPr>
          <w:rFonts w:ascii="Palatino" w:hAnsi="Palatino"/>
        </w:rPr>
        <w:t xml:space="preserve"> 10 (495): eaam9931. https://doi.org/10.1126/scisignal.aam9931.</w:t>
      </w:r>
    </w:p>
    <w:p>
      <w:pPr>
        <w:pStyle w:val="Bibliography1"/>
        <w:rPr/>
      </w:pPr>
      <w:r>
        <w:rPr>
          <w:rFonts w:ascii="Palatino" w:hAnsi="Palatino"/>
        </w:rPr>
        <w:t xml:space="preserve">Wright, Gavin M., Hongdo Do, Jonathan Weiss, Naveed Z. Alam, Vivek Rathi, Marzena Walkiewicz, Thomas John, Prudence A. Russell, and Alexander Dobrovic. 2014. “Mapping of Actionable Mutations to Histological Subtype Domains in Lung Adenocarcinoma: Implications for Precision Medicine.” </w:t>
      </w:r>
      <w:r>
        <w:rPr>
          <w:rFonts w:ascii="Palatino" w:hAnsi="Palatino"/>
          <w:i/>
        </w:rPr>
        <w:t>Oncotarget</w:t>
      </w:r>
      <w:r>
        <w:rPr>
          <w:rFonts w:ascii="Palatino" w:hAnsi="Palatino"/>
        </w:rPr>
        <w:t xml:space="preserve"> 5 (8): 2107–15. https://doi.org/10.18632/oncotarget.1840.</w:t>
      </w:r>
    </w:p>
    <w:p>
      <w:pPr>
        <w:pStyle w:val="Bibliography1"/>
        <w:ind w:hanging="0" w:left="0"/>
        <w:rPr/>
      </w:pPr>
      <w:r>
        <w:rPr>
          <w:rFonts w:ascii="Palatino" w:hAnsi="Palatino"/>
        </w:rPr>
        <w:t xml:space="preserve">Zhao, Junfei, Feixiong Cheng, and Zhongming Zhao. 2017. “Tissue-Specific Signaling Networks Rewired by Major Somatic Mutations in Human Cancer Revealed by Proteome-Wide Discovery.” </w:t>
      </w:r>
      <w:r>
        <w:rPr>
          <w:rFonts w:ascii="Palatino" w:hAnsi="Palatino"/>
          <w:i/>
        </w:rPr>
        <w:t>Cancer Research</w:t>
      </w:r>
      <w:r>
        <w:rPr>
          <w:rFonts w:ascii="Palatino" w:hAnsi="Palatino"/>
        </w:rPr>
        <w:t xml:space="preserve"> 77 (11): 2810–21. </w:t>
      </w:r>
      <w:hyperlink r:id="rId9">
        <w:r>
          <w:rPr>
            <w:rStyle w:val="Hyperlink"/>
            <w:rFonts w:ascii="Palatino" w:hAnsi="Palatino"/>
          </w:rPr>
          <w:t>https://doi.org/10.1158/0008-5472.CAN-16-2460</w:t>
        </w:r>
      </w:hyperlink>
      <w:r>
        <w:rPr>
          <w:rFonts w:ascii="Palatino" w:hAnsi="Palatino"/>
        </w:rPr>
        <w:t>.</w:t>
      </w:r>
    </w:p>
    <w:p>
      <w:pPr>
        <w:pStyle w:val="Bibliography1"/>
        <w:ind w:hanging="0" w:left="0"/>
        <w:rPr>
          <w:rFonts w:ascii="Palatino" w:hAnsi="Palatino"/>
        </w:rPr>
      </w:pPr>
      <w:r>
        <w:rPr>
          <w:rFonts w:ascii="Palatino" w:hAnsi="Palatino"/>
        </w:rPr>
      </w:r>
    </w:p>
    <w:p>
      <w:pPr>
        <w:pStyle w:val="Bibliography1"/>
        <w:ind w:hanging="0" w:left="0"/>
        <w:rPr>
          <w:rFonts w:ascii="Palatino" w:hAnsi="Palatino"/>
        </w:rPr>
      </w:pPr>
      <w:r>
        <w:rPr>
          <w:rFonts w:ascii="Palatino" w:hAnsi="Palatino"/>
        </w:rPr>
      </w:r>
    </w:p>
    <w:p>
      <w:pPr>
        <w:pStyle w:val="Bibliography1"/>
        <w:ind w:hanging="0" w:left="0"/>
        <w:rPr>
          <w:rFonts w:ascii="Palatino" w:hAnsi="Palatino"/>
        </w:rPr>
      </w:pPr>
      <w:r>
        <w:rPr>
          <w:rFonts w:ascii="Palatino" w:hAnsi="Palatino"/>
        </w:rPr>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720" w:right="720" w:gutter="0" w:header="1020" w:top="1417" w:footer="340" w:bottom="1077"/>
      <w:lnNumType w:countBy="1" w:restart="continuous" w:distance="255"/>
      <w:pgNumType w:start="1" w:fmt="decimal"/>
      <w:formProt w:val="false"/>
      <w:titlePg/>
      <w:textDirection w:val="lrTb"/>
      <w:bidi/>
      <w:docGrid w:type="lines"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Google Sans">
    <w:altName w:val="sans-serif"/>
    <w:charset w:val="01"/>
    <w:family w:val="roman"/>
    <w:pitch w:val="variable"/>
  </w:font>
  <w:font w:name="Palatino Linotype">
    <w:charset w:val="01"/>
    <w:family w:val="roman"/>
    <w:pitch w:val="default"/>
  </w:font>
  <w:font w:name="Palatino">
    <w:charset w:val="01"/>
    <w:family w:val="roman"/>
    <w:pitch w:val="variable"/>
  </w:font>
  <w:font w:name="Google Sans Text">
    <w:altName w:val="sans-serif"/>
    <w:charset w:val="01"/>
    <w:family w:val="roman"/>
    <w:pitch w:val="variable"/>
  </w:font>
  <w:font w:name="Palatino">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tl w:val="tru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0" w:color="000000"/>
      </w:pBdr>
      <w:tabs>
        <w:tab w:val="clear" w:pos="510"/>
        <w:tab w:val="right" w:pos="8844" w:leader="none"/>
      </w:tabs>
      <w:snapToGrid w:val="false"/>
      <w:spacing w:lineRule="exact" w:line="100" w:before="480" w:after="0"/>
      <w:jc w:val="left"/>
      <w:rPr>
        <w:i/>
        <w:i/>
        <w:sz w:val="16"/>
        <w:szCs w:val="16"/>
      </w:rPr>
    </w:pPr>
    <w:r>
      <w:rPr>
        <w:i/>
        <w:sz w:val="16"/>
        <w:szCs w:val="16"/>
      </w:rPr>
    </w:r>
  </w:p>
  <w:p>
    <w:pPr>
      <w:pStyle w:val="Normal"/>
      <w:tabs>
        <w:tab w:val="clear" w:pos="510"/>
        <w:tab w:val="right" w:pos="10466" w:leader="none"/>
      </w:tabs>
      <w:snapToGrid w:val="false"/>
      <w:spacing w:lineRule="auto" w:line="240"/>
      <w:rPr>
        <w:sz w:val="16"/>
        <w:szCs w:val="16"/>
        <w:lang w:val="fr-CH"/>
      </w:rPr>
    </w:pPr>
    <w:r>
      <w:rPr>
        <w:i/>
        <w:sz w:val="16"/>
        <w:szCs w:val="16"/>
      </w:rPr>
      <w:t xml:space="preserve">Biomedicines </w:t>
    </w:r>
    <w:r>
      <w:rPr>
        <w:b/>
        <w:bCs/>
        <w:iCs/>
        <w:sz w:val="16"/>
        <w:szCs w:val="16"/>
      </w:rPr>
      <w:t>2024</w:t>
    </w:r>
    <w:r>
      <w:rPr>
        <w:bCs/>
        <w:iCs/>
        <w:sz w:val="16"/>
        <w:szCs w:val="16"/>
      </w:rPr>
      <w:t>,</w:t>
    </w:r>
    <w:r>
      <w:rPr>
        <w:bCs/>
        <w:i/>
        <w:iCs/>
        <w:sz w:val="16"/>
        <w:szCs w:val="16"/>
      </w:rPr>
      <w:t xml:space="preserve"> 12</w:t>
    </w:r>
    <w:r>
      <w:rPr>
        <w:bCs/>
        <w:iCs/>
        <w:sz w:val="16"/>
        <w:szCs w:val="16"/>
      </w:rPr>
      <w:t>, x. https://doi.org/10.3390/xxxxx</w:t>
    </w:r>
    <w:r>
      <w:rPr>
        <w:sz w:val="16"/>
        <w:szCs w:val="16"/>
        <w:lang w:val="fr-CH"/>
      </w:rPr>
      <w:tab/>
      <w:t>www.mdpi.com/journal/</w:t>
    </w:r>
    <w:r>
      <w:rPr>
        <w:sz w:val="16"/>
        <w:szCs w:val="16"/>
      </w:rPr>
      <w:t>biomedicines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tl w:val="tru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10"/>
        <w:tab w:val="right" w:pos="10466" w:leader="none"/>
      </w:tabs>
      <w:snapToGrid w:val="false"/>
      <w:spacing w:lineRule="auto" w:line="240"/>
      <w:rPr/>
    </w:pPr>
    <w:r>
      <w:rPr>
        <w:i/>
        <w:sz w:val="16"/>
      </w:rPr>
      <w:t xml:space="preserve">Biomedicines </w:t>
    </w:r>
    <w:r>
      <w:rPr>
        <w:b/>
        <w:sz w:val="16"/>
      </w:rPr>
      <w:t>2024</w:t>
    </w:r>
    <w:r>
      <w:rPr>
        <w:sz w:val="16"/>
      </w:rPr>
      <w:t>,</w:t>
    </w:r>
    <w:r>
      <w:rPr>
        <w:i/>
        <w:sz w:val="16"/>
      </w:rPr>
      <w:t xml:space="preserve"> 12</w:t>
    </w:r>
    <w:r>
      <w:rPr>
        <w:sz w:val="16"/>
      </w:rPr>
      <w:t>, x FOR PEER REVIEW</w:t>
      <w:tab/>
    </w:r>
    <w:r>
      <w:rPr>
        <w:sz w:val="16"/>
      </w:rPr>
      <w:fldChar w:fldCharType="begin"/>
    </w:r>
    <w:r>
      <w:rPr>
        <w:sz w:val="16"/>
      </w:rPr>
      <w:instrText xml:space="preserve"> PAGE </w:instrText>
    </w:r>
    <w:r>
      <w:rPr>
        <w:sz w:val="16"/>
      </w:rPr>
      <w:fldChar w:fldCharType="separate"/>
    </w:r>
    <w:r>
      <w:rPr>
        <w:sz w:val="16"/>
      </w:rPr>
      <w:t>33</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sz w:val="16"/>
      </w:rPr>
      <w:t>33</w:t>
    </w:r>
    <w:r>
      <w:rPr>
        <w:sz w:val="16"/>
      </w:rPr>
      <w:fldChar w:fldCharType="end"/>
    </w:r>
  </w:p>
  <w:p>
    <w:pPr>
      <w:pStyle w:val="Normal"/>
      <w:pBdr>
        <w:bottom w:val="single" w:sz="4" w:space="1" w:color="000000"/>
      </w:pBdr>
      <w:tabs>
        <w:tab w:val="clear" w:pos="510"/>
        <w:tab w:val="right" w:pos="8844" w:leader="none"/>
      </w:tabs>
      <w:snapToGrid w:val="false"/>
      <w:spacing w:lineRule="exact" w:line="100" w:before="0" w:after="480"/>
      <w:jc w:val="left"/>
      <w:rPr>
        <w:sz w:val="16"/>
      </w:rPr>
    </w:pPr>
    <w:r>
      <w:rPr>
        <w:sz w:val="1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bidiVisual w:val="true"/>
      <w:tblW w:w="10487"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3671"/>
      <w:gridCol w:w="4543"/>
      <w:gridCol w:w="2273"/>
    </w:tblGrid>
    <w:tr>
      <w:trPr>
        <w:trHeight w:val="715" w:hRule="atLeast"/>
      </w:trPr>
      <w:tc>
        <w:tcPr>
          <w:tcW w:w="3671" w:type="dxa"/>
          <w:tcBorders/>
          <w:shd w:color="auto" w:fill="auto" w:val="clear"/>
          <w:vAlign w:val="center"/>
        </w:tcPr>
        <w:p>
          <w:pPr>
            <w:pStyle w:val="Header"/>
            <w:pBdr>
              <w:bottom w:val="nil"/>
            </w:pBdr>
            <w:jc w:val="left"/>
            <w:rPr>
              <w:rFonts w:eastAsia="等线"/>
              <w:b/>
              <w:bCs/>
            </w:rPr>
          </w:pPr>
          <w:r>
            <w:rPr/>
          </w:r>
        </w:p>
      </w:tc>
      <w:tc>
        <w:tcPr>
          <w:tcW w:w="4543" w:type="dxa"/>
          <w:tcBorders/>
          <w:shd w:color="auto" w:fill="auto" w:val="clear"/>
          <w:vAlign w:val="center"/>
        </w:tcPr>
        <w:p>
          <w:pPr>
            <w:pStyle w:val="Header"/>
            <w:pBdr>
              <w:bottom w:val="nil"/>
            </w:pBdr>
            <w:rPr>
              <w:rFonts w:eastAsia="等线"/>
              <w:b/>
              <w:bCs/>
            </w:rPr>
          </w:pPr>
          <w:r>
            <w:rPr>
              <w:rFonts w:eastAsia="等线"/>
              <w:b/>
              <w:bCs/>
            </w:rPr>
          </w:r>
        </w:p>
      </w:tc>
      <w:tc>
        <w:tcPr>
          <w:tcW w:w="2273" w:type="dxa"/>
          <w:tcBorders/>
          <w:shd w:color="auto" w:fill="auto" w:val="clear"/>
          <w:vAlign w:val="center"/>
        </w:tcPr>
        <w:p>
          <w:pPr>
            <w:pStyle w:val="Header"/>
            <w:pBdr>
              <w:bottom w:val="nil"/>
            </w:pBdr>
            <w:jc w:val="right"/>
            <w:rPr>
              <w:rFonts w:eastAsia="等线"/>
              <w:b/>
              <w:bCs/>
            </w:rPr>
          </w:pPr>
          <w:r>
            <w:rPr/>
          </w:r>
        </w:p>
      </w:tc>
    </w:tr>
  </w:tbl>
  <w:p>
    <w:pPr>
      <w:pStyle w:val="Normal"/>
      <w:pBdr>
        <w:bottom w:val="single" w:sz="4" w:space="1" w:color="000000"/>
      </w:pBdr>
      <w:snapToGrid w:val="false"/>
      <w:spacing w:lineRule="exact" w:line="1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51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7e36"/>
    <w:pPr>
      <w:widowControl/>
      <w:suppressAutoHyphens w:val="false"/>
      <w:bidi w:val="0"/>
      <w:spacing w:lineRule="atLeast" w:line="260" w:before="0" w:after="0"/>
      <w:jc w:val="both"/>
    </w:pPr>
    <w:rPr>
      <w:rFonts w:ascii="Palatino Linotype" w:hAnsi="Palatino Linotype" w:eastAsia="宋体" w:cs="Times New Roman"/>
      <w:color w:val="000000"/>
      <w:kern w:val="0"/>
      <w:sz w:val="20"/>
      <w:szCs w:val="20"/>
      <w:lang w:val="en-US" w:eastAsia="zh-CN" w:bidi="ar-SA"/>
    </w:rPr>
  </w:style>
  <w:style w:type="paragraph" w:styleId="Heading3">
    <w:name w:val="Heading 3"/>
    <w:basedOn w:val="Heading"/>
    <w:next w:val="BodyText"/>
    <w:qFormat/>
    <w:pPr>
      <w:spacing w:before="140" w:after="120"/>
      <w:outlineLvl w:val="2"/>
    </w:pPr>
    <w:rPr>
      <w:rFonts w:ascii="Liberation Serif" w:hAnsi="Liberation Serif" w:eastAsia="Noto Serif CJK SC" w:cs="Noto Sans Arabic U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6b7e36"/>
    <w:rPr>
      <w:rFonts w:ascii="Palatino Linotype" w:hAnsi="Palatino Linotype"/>
      <w:color w:val="000000"/>
      <w:szCs w:val="18"/>
    </w:rPr>
  </w:style>
  <w:style w:type="character" w:styleId="BalloonTextChar" w:customStyle="1">
    <w:name w:val="Balloon Text Char"/>
    <w:link w:val="BalloonText"/>
    <w:uiPriority w:val="99"/>
    <w:qFormat/>
    <w:rsid w:val="006b7e36"/>
    <w:rPr>
      <w:rFonts w:ascii="Palatino Linotype" w:hAnsi="Palatino Linotype" w:cs="Tahoma"/>
      <w:color w:val="000000"/>
      <w:szCs w:val="18"/>
    </w:rPr>
  </w:style>
  <w:style w:type="character" w:styleId="LineNumber">
    <w:name w:val="Line Number"/>
    <w:uiPriority w:val="99"/>
    <w:qFormat/>
    <w:rsid w:val="00075aad"/>
    <w:rPr/>
  </w:style>
  <w:style w:type="character" w:styleId="Hyperlink">
    <w:name w:val="Hyperlink"/>
    <w:uiPriority w:val="99"/>
    <w:rsid w:val="006b7e36"/>
    <w:rPr>
      <w:color w:val="0000FF"/>
      <w:u w:val="single"/>
    </w:rPr>
  </w:style>
  <w:style w:type="character" w:styleId="UnresolvedMention">
    <w:name w:val="Unresolved Mention"/>
    <w:uiPriority w:val="99"/>
    <w:semiHidden/>
    <w:unhideWhenUsed/>
    <w:qFormat/>
    <w:rsid w:val="00b10f9e"/>
    <w:rPr>
      <w:color w:val="605E5C"/>
      <w:shd w:fill="E1DFDD" w:val="clear"/>
    </w:rPr>
  </w:style>
  <w:style w:type="character" w:styleId="FooterChar" w:customStyle="1">
    <w:name w:val="Footer Char"/>
    <w:link w:val="Footer"/>
    <w:uiPriority w:val="99"/>
    <w:qFormat/>
    <w:rsid w:val="006b7e36"/>
    <w:rPr>
      <w:rFonts w:ascii="Palatino Linotype" w:hAnsi="Palatino Linotype"/>
      <w:color w:val="000000"/>
      <w:szCs w:val="18"/>
    </w:rPr>
  </w:style>
  <w:style w:type="character" w:styleId="apple-converted-space" w:customStyle="1">
    <w:name w:val="apple-converted-space"/>
    <w:qFormat/>
    <w:rsid w:val="006b7e36"/>
    <w:rPr/>
  </w:style>
  <w:style w:type="character" w:styleId="BodyTextChar" w:customStyle="1">
    <w:name w:val="Body Text Char"/>
    <w:qFormat/>
    <w:rsid w:val="006b7e36"/>
    <w:rPr>
      <w:rFonts w:ascii="Palatino Linotype" w:hAnsi="Palatino Linotype"/>
      <w:color w:val="000000"/>
      <w:sz w:val="24"/>
      <w:lang w:eastAsia="de-DE"/>
    </w:rPr>
  </w:style>
  <w:style w:type="character" w:styleId="annotationreference">
    <w:name w:val="annotation reference"/>
    <w:qFormat/>
    <w:rsid w:val="006b7e36"/>
    <w:rPr>
      <w:sz w:val="21"/>
      <w:szCs w:val="21"/>
    </w:rPr>
  </w:style>
  <w:style w:type="character" w:styleId="CommentTextChar" w:customStyle="1">
    <w:name w:val="Comment Text Char"/>
    <w:qFormat/>
    <w:rsid w:val="006b7e36"/>
    <w:rPr>
      <w:rFonts w:ascii="Palatino Linotype" w:hAnsi="Palatino Linotype"/>
      <w:color w:val="000000"/>
    </w:rPr>
  </w:style>
  <w:style w:type="character" w:styleId="CommentSubjectChar" w:customStyle="1">
    <w:name w:val="Comment Subject Char"/>
    <w:qFormat/>
    <w:rsid w:val="006b7e36"/>
    <w:rPr>
      <w:rFonts w:ascii="Palatino Linotype" w:hAnsi="Palatino Linotype"/>
      <w:b/>
      <w:bCs/>
      <w:color w:val="000000"/>
    </w:rPr>
  </w:style>
  <w:style w:type="character" w:styleId="EndnoteCharacters">
    <w:name w:val="Endnote Characters"/>
    <w:qFormat/>
    <w:rsid w:val="006b7e36"/>
    <w:rPr>
      <w:vertAlign w:val="superscript"/>
    </w:rPr>
  </w:style>
  <w:style w:type="character" w:styleId="EndnoteReference">
    <w:name w:val="Endnote Reference"/>
    <w:rPr>
      <w:vertAlign w:val="superscript"/>
    </w:rPr>
  </w:style>
  <w:style w:type="character" w:styleId="EndnoteTextChar" w:customStyle="1">
    <w:name w:val="Endnote Text Char"/>
    <w:semiHidden/>
    <w:qFormat/>
    <w:rsid w:val="006b7e36"/>
    <w:rPr>
      <w:rFonts w:ascii="Palatino Linotype" w:hAnsi="Palatino Linotype"/>
      <w:color w:val="000000"/>
    </w:rPr>
  </w:style>
  <w:style w:type="character" w:styleId="FollowedHyperlink">
    <w:name w:val="FollowedHyperlink"/>
    <w:qFormat/>
    <w:rsid w:val="006b7e36"/>
    <w:rPr>
      <w:color w:val="954F72"/>
      <w:u w:val="single"/>
    </w:rPr>
  </w:style>
  <w:style w:type="character" w:styleId="FootnoteTextChar" w:customStyle="1">
    <w:name w:val="Footnote Text Char"/>
    <w:semiHidden/>
    <w:qFormat/>
    <w:rsid w:val="006b7e36"/>
    <w:rPr>
      <w:rFonts w:ascii="Palatino Linotype" w:hAnsi="Palatino Linotype"/>
      <w:color w:val="000000"/>
    </w:rPr>
  </w:style>
  <w:style w:type="character" w:styleId="PageNumber">
    <w:name w:val="Page Number"/>
    <w:qFormat/>
    <w:rsid w:val="006b7e36"/>
    <w:rPr/>
  </w:style>
  <w:style w:type="character" w:styleId="PlaceholderText">
    <w:name w:val="Placeholder Text"/>
    <w:uiPriority w:val="99"/>
    <w:semiHidden/>
    <w:qFormat/>
    <w:rsid w:val="006b7e36"/>
    <w:rPr>
      <w:color w:val="80808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link w:val="BodyTextChar"/>
    <w:rsid w:val="006b7e36"/>
    <w:pPr>
      <w:widowControl/>
      <w:suppressAutoHyphens w:val="true"/>
      <w:bidi w:val="0"/>
      <w:spacing w:lineRule="atLeast" w:line="340" w:before="0" w:after="120"/>
      <w:jc w:val="both"/>
    </w:pPr>
    <w:rPr>
      <w:rFonts w:ascii="Palatino Linotype" w:hAnsi="Palatino Linotype" w:eastAsia="宋体" w:cs="Times New Roman"/>
      <w:color w:val="000000"/>
      <w:kern w:val="0"/>
      <w:sz w:val="24"/>
      <w:szCs w:val="20"/>
      <w:lang w:val="en-US" w:eastAsia="de-DE" w:bidi="ar-SA"/>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MDPI11articletype" w:customStyle="1">
    <w:name w:val="MDPI_1.1_article_type"/>
    <w:next w:val="Normal"/>
    <w:qFormat/>
    <w:rsid w:val="006b7e36"/>
    <w:pPr>
      <w:widowControl/>
      <w:suppressAutoHyphens w:val="true"/>
      <w:bidi w:val="0"/>
      <w:snapToGrid w:val="false"/>
      <w:spacing w:before="240" w:after="0"/>
      <w:jc w:val="left"/>
    </w:pPr>
    <w:rPr>
      <w:rFonts w:ascii="Palatino Linotype" w:hAnsi="Palatino Linotype" w:eastAsia="Times New Roman" w:cs="Times New Roman"/>
      <w:i/>
      <w:color w:val="000000"/>
      <w:kern w:val="0"/>
      <w:sz w:val="20"/>
      <w:szCs w:val="22"/>
      <w:lang w:val="en-US" w:eastAsia="de-DE" w:bidi="en-US"/>
    </w:rPr>
  </w:style>
  <w:style w:type="paragraph" w:styleId="MDPI12title" w:customStyle="1">
    <w:name w:val="MDPI_1.2_title"/>
    <w:next w:val="Normal"/>
    <w:qFormat/>
    <w:rsid w:val="006b7e36"/>
    <w:pPr>
      <w:widowControl/>
      <w:suppressAutoHyphens w:val="true"/>
      <w:bidi w:val="0"/>
      <w:snapToGrid w:val="false"/>
      <w:spacing w:lineRule="atLeast" w:line="240" w:before="0" w:after="240"/>
      <w:jc w:val="left"/>
    </w:pPr>
    <w:rPr>
      <w:rFonts w:ascii="Palatino Linotype" w:hAnsi="Palatino Linotype" w:eastAsia="Times New Roman" w:cs="Times New Roman"/>
      <w:b/>
      <w:color w:val="000000"/>
      <w:kern w:val="0"/>
      <w:sz w:val="36"/>
      <w:szCs w:val="20"/>
      <w:lang w:val="en-US" w:eastAsia="de-DE" w:bidi="en-US"/>
    </w:rPr>
  </w:style>
  <w:style w:type="paragraph" w:styleId="MDPI13authornames" w:customStyle="1">
    <w:name w:val="MDPI_1.3_authornames"/>
    <w:next w:val="Normal"/>
    <w:qFormat/>
    <w:rsid w:val="006b7e36"/>
    <w:pPr>
      <w:widowControl/>
      <w:suppressAutoHyphens w:val="true"/>
      <w:bidi w:val="0"/>
      <w:snapToGrid w:val="false"/>
      <w:spacing w:lineRule="atLeast" w:line="260" w:before="0" w:after="360"/>
      <w:jc w:val="left"/>
    </w:pPr>
    <w:rPr>
      <w:rFonts w:ascii="Palatino Linotype" w:hAnsi="Palatino Linotype" w:eastAsia="Times New Roman" w:cs="Times New Roman"/>
      <w:b/>
      <w:color w:val="000000"/>
      <w:kern w:val="0"/>
      <w:sz w:val="20"/>
      <w:szCs w:val="22"/>
      <w:lang w:val="en-US" w:eastAsia="de-DE" w:bidi="en-US"/>
    </w:rPr>
  </w:style>
  <w:style w:type="paragraph" w:styleId="MDPI14history" w:customStyle="1">
    <w:name w:val="MDPI_1.4_history"/>
    <w:basedOn w:val="Normal"/>
    <w:next w:val="Normal"/>
    <w:qFormat/>
    <w:rsid w:val="006b7e36"/>
    <w:pPr>
      <w:snapToGrid w:val="false"/>
      <w:spacing w:lineRule="atLeast" w:line="240"/>
      <w:ind w:hanging="0" w:right="113"/>
      <w:jc w:val="left"/>
    </w:pPr>
    <w:rPr>
      <w:rFonts w:eastAsia="Times New Roman"/>
      <w:sz w:val="14"/>
      <w:lang w:eastAsia="de-DE" w:bidi="en-US"/>
    </w:rPr>
  </w:style>
  <w:style w:type="paragraph" w:styleId="MDPI16affiliation" w:customStyle="1">
    <w:name w:val="MDPI_1.6_affiliation"/>
    <w:qFormat/>
    <w:rsid w:val="006b7e36"/>
    <w:pPr>
      <w:widowControl/>
      <w:suppressAutoHyphens w:val="true"/>
      <w:bidi w:val="0"/>
      <w:snapToGrid w:val="false"/>
      <w:spacing w:lineRule="atLeast" w:line="200" w:before="0" w:after="0"/>
      <w:ind w:hanging="198" w:left="2806"/>
      <w:jc w:val="left"/>
    </w:pPr>
    <w:rPr>
      <w:rFonts w:ascii="Palatino Linotype" w:hAnsi="Palatino Linotype" w:eastAsia="Times New Roman" w:cs="Times New Roman"/>
      <w:color w:val="000000"/>
      <w:kern w:val="0"/>
      <w:sz w:val="16"/>
      <w:szCs w:val="18"/>
      <w:lang w:val="en-US" w:eastAsia="de-DE" w:bidi="en-US"/>
    </w:rPr>
  </w:style>
  <w:style w:type="paragraph" w:styleId="MDPI17abstract" w:customStyle="1">
    <w:name w:val="MDPI_1.7_abstract"/>
    <w:next w:val="Normal"/>
    <w:qFormat/>
    <w:rsid w:val="006b7e36"/>
    <w:pPr>
      <w:widowControl/>
      <w:suppressAutoHyphens w:val="true"/>
      <w:bidi w:val="0"/>
      <w:snapToGrid w:val="false"/>
      <w:spacing w:lineRule="atLeast" w:line="260" w:before="240" w:after="0"/>
      <w:ind w:hanging="0" w:left="2608"/>
      <w:jc w:val="both"/>
    </w:pPr>
    <w:rPr>
      <w:rFonts w:ascii="Palatino Linotype" w:hAnsi="Palatino Linotype" w:eastAsia="Times New Roman" w:cs="Times New Roman"/>
      <w:color w:val="000000"/>
      <w:kern w:val="0"/>
      <w:sz w:val="18"/>
      <w:szCs w:val="22"/>
      <w:lang w:val="en-US" w:eastAsia="de-DE" w:bidi="en-US"/>
    </w:rPr>
  </w:style>
  <w:style w:type="paragraph" w:styleId="MDPI18keywords" w:customStyle="1">
    <w:name w:val="MDPI_1.8_keywords"/>
    <w:next w:val="Normal"/>
    <w:qFormat/>
    <w:rsid w:val="006b7e36"/>
    <w:pPr>
      <w:widowControl/>
      <w:suppressAutoHyphens w:val="true"/>
      <w:bidi w:val="0"/>
      <w:snapToGrid w:val="false"/>
      <w:spacing w:lineRule="atLeast" w:line="260" w:before="240" w:after="0"/>
      <w:ind w:hanging="0" w:left="2608"/>
      <w:jc w:val="both"/>
    </w:pPr>
    <w:rPr>
      <w:rFonts w:ascii="Palatino Linotype" w:hAnsi="Palatino Linotype" w:eastAsia="Times New Roman" w:cs="Times New Roman"/>
      <w:color w:val="000000"/>
      <w:kern w:val="0"/>
      <w:sz w:val="18"/>
      <w:szCs w:val="22"/>
      <w:lang w:val="en-US" w:eastAsia="de-DE" w:bidi="en-US"/>
    </w:rPr>
  </w:style>
  <w:style w:type="paragraph" w:styleId="MDPI19line" w:customStyle="1">
    <w:name w:val="MDPI_1.9_line"/>
    <w:qFormat/>
    <w:rsid w:val="006b7e36"/>
    <w:pPr>
      <w:widowControl/>
      <w:pBdr>
        <w:bottom w:val="single" w:sz="6" w:space="1" w:color="000000"/>
      </w:pBdr>
      <w:suppressAutoHyphens w:val="true"/>
      <w:bidi w:val="0"/>
      <w:snapToGrid w:val="false"/>
      <w:spacing w:lineRule="atLeast" w:line="260" w:before="0" w:after="480"/>
      <w:ind w:hanging="0" w:left="2608"/>
      <w:jc w:val="both"/>
    </w:pPr>
    <w:rPr>
      <w:rFonts w:ascii="Palatino Linotype" w:hAnsi="Palatino Linotype" w:eastAsia="Times New Roman" w:cs="Cordia New"/>
      <w:color w:val="000000"/>
      <w:kern w:val="0"/>
      <w:sz w:val="20"/>
      <w:szCs w:val="24"/>
      <w:lang w:val="en-US" w:eastAsia="de-DE" w:bidi="en-US"/>
    </w:rPr>
  </w:style>
  <w:style w:type="paragraph" w:styleId="HeaderandFooter">
    <w:name w:val="Header and Footer"/>
    <w:basedOn w:val="Normal"/>
    <w:qFormat/>
    <w:pPr/>
    <w:rPr/>
  </w:style>
  <w:style w:type="paragraph" w:styleId="Header">
    <w:name w:val="Header"/>
    <w:basedOn w:val="Normal"/>
    <w:link w:val="HeaderChar"/>
    <w:uiPriority w:val="99"/>
    <w:rsid w:val="006b7e36"/>
    <w:pPr>
      <w:suppressLineNumbers/>
      <w:pBdr>
        <w:bottom w:val="single" w:sz="6" w:space="1" w:color="000000"/>
      </w:pBdr>
      <w:tabs>
        <w:tab w:val="clear" w:pos="510"/>
        <w:tab w:val="center" w:pos="4153" w:leader="none"/>
        <w:tab w:val="right" w:pos="8306" w:leader="none"/>
      </w:tabs>
      <w:snapToGrid w:val="false"/>
      <w:spacing w:lineRule="atLeast" w:line="240"/>
      <w:jc w:val="center"/>
    </w:pPr>
    <w:rPr>
      <w:szCs w:val="18"/>
    </w:rPr>
  </w:style>
  <w:style w:type="paragraph" w:styleId="MDPIheaderjournallogo" w:customStyle="1">
    <w:name w:val="MDPI_header_journal_logo"/>
    <w:qFormat/>
    <w:rsid w:val="006b7e36"/>
    <w:pPr>
      <w:widowControl/>
      <w:suppressAutoHyphens w:val="true"/>
      <w:bidi w:val="0"/>
      <w:snapToGrid w:val="false"/>
      <w:spacing w:lineRule="atLeast" w:line="260" w:before="0" w:after="0"/>
      <w:jc w:val="both"/>
    </w:pPr>
    <w:rPr>
      <w:rFonts w:ascii="Palatino Linotype" w:hAnsi="Palatino Linotype" w:eastAsia="Times New Roman" w:cs="Times New Roman"/>
      <w:i/>
      <w:color w:val="000000"/>
      <w:kern w:val="0"/>
      <w:sz w:val="24"/>
      <w:szCs w:val="22"/>
      <w:lang w:val="en-US" w:eastAsia="de-CH" w:bidi="ar-SA"/>
    </w:rPr>
  </w:style>
  <w:style w:type="paragraph" w:styleId="MDPI32textnoindent" w:customStyle="1">
    <w:name w:val="MDPI_3.2_text_no_indent"/>
    <w:basedOn w:val="MDPI31text"/>
    <w:qFormat/>
    <w:rsid w:val="006b7e36"/>
    <w:pPr>
      <w:ind w:hanging="0"/>
    </w:pPr>
    <w:rPr/>
  </w:style>
  <w:style w:type="paragraph" w:styleId="MDPI31text" w:customStyle="1">
    <w:name w:val="MDPI_3.1_text"/>
    <w:qFormat/>
    <w:rsid w:val="0059362a"/>
    <w:pPr>
      <w:widowControl/>
      <w:suppressAutoHyphens w:val="true"/>
      <w:bidi w:val="0"/>
      <w:snapToGrid w:val="false"/>
      <w:spacing w:lineRule="auto" w:line="228" w:before="0" w:after="0"/>
      <w:ind w:firstLine="425" w:left="2608"/>
      <w:jc w:val="both"/>
    </w:pPr>
    <w:rPr>
      <w:rFonts w:ascii="Palatino Linotype" w:hAnsi="Palatino Linotype" w:eastAsia="Times New Roman" w:cs="Times New Roman"/>
      <w:color w:val="000000"/>
      <w:kern w:val="0"/>
      <w:sz w:val="20"/>
      <w:szCs w:val="22"/>
      <w:lang w:val="en-US" w:eastAsia="de-DE" w:bidi="en-US"/>
    </w:rPr>
  </w:style>
  <w:style w:type="paragraph" w:styleId="MDPI33textspaceafter" w:customStyle="1">
    <w:name w:val="MDPI_3.3_text_space_after"/>
    <w:qFormat/>
    <w:rsid w:val="006b7e36"/>
    <w:pPr>
      <w:widowControl/>
      <w:suppressAutoHyphens w:val="true"/>
      <w:bidi w:val="0"/>
      <w:snapToGrid w:val="false"/>
      <w:spacing w:lineRule="auto" w:line="228" w:before="0" w:after="240"/>
      <w:ind w:hanging="0" w:left="2608"/>
      <w:jc w:val="both"/>
    </w:pPr>
    <w:rPr>
      <w:rFonts w:ascii="Palatino Linotype" w:hAnsi="Palatino Linotype" w:eastAsia="Times New Roman" w:cs="Times New Roman"/>
      <w:color w:val="000000"/>
      <w:kern w:val="0"/>
      <w:sz w:val="20"/>
      <w:szCs w:val="22"/>
      <w:lang w:val="en-US" w:eastAsia="de-DE" w:bidi="en-US"/>
    </w:rPr>
  </w:style>
  <w:style w:type="paragraph" w:styleId="MDPI35textbeforelist" w:customStyle="1">
    <w:name w:val="MDPI_3.5_text_before_list"/>
    <w:qFormat/>
    <w:rsid w:val="006b7e36"/>
    <w:pPr>
      <w:widowControl/>
      <w:suppressAutoHyphens w:val="true"/>
      <w:bidi w:val="0"/>
      <w:snapToGrid w:val="false"/>
      <w:spacing w:lineRule="auto" w:line="228" w:before="0" w:after="0"/>
      <w:ind w:firstLine="425" w:left="2608"/>
      <w:jc w:val="both"/>
    </w:pPr>
    <w:rPr>
      <w:rFonts w:ascii="Palatino Linotype" w:hAnsi="Palatino Linotype" w:eastAsia="Times New Roman" w:cs="Times New Roman"/>
      <w:color w:val="000000"/>
      <w:kern w:val="0"/>
      <w:sz w:val="20"/>
      <w:szCs w:val="22"/>
      <w:lang w:val="en-US" w:eastAsia="de-DE" w:bidi="en-US"/>
    </w:rPr>
  </w:style>
  <w:style w:type="paragraph" w:styleId="MDPI36textafterlist" w:customStyle="1">
    <w:name w:val="MDPI_3.6_text_after_list"/>
    <w:qFormat/>
    <w:rsid w:val="006b7e36"/>
    <w:pPr>
      <w:widowControl/>
      <w:suppressAutoHyphens w:val="true"/>
      <w:bidi w:val="0"/>
      <w:snapToGrid w:val="false"/>
      <w:spacing w:lineRule="auto" w:line="228" w:before="120" w:after="0"/>
      <w:ind w:hanging="0" w:left="2608"/>
      <w:jc w:val="both"/>
    </w:pPr>
    <w:rPr>
      <w:rFonts w:ascii="Palatino Linotype" w:hAnsi="Palatino Linotype" w:eastAsia="Times New Roman" w:cs="Times New Roman"/>
      <w:color w:val="000000"/>
      <w:kern w:val="0"/>
      <w:sz w:val="20"/>
      <w:szCs w:val="22"/>
      <w:lang w:val="en-US" w:eastAsia="de-DE" w:bidi="en-US"/>
    </w:rPr>
  </w:style>
  <w:style w:type="paragraph" w:styleId="MDPI37itemize" w:customStyle="1">
    <w:name w:val="MDPI_3.7_itemize"/>
    <w:qFormat/>
    <w:rsid w:val="003645ea"/>
    <w:pPr>
      <w:widowControl/>
      <w:suppressAutoHyphens w:val="tru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8bullet" w:customStyle="1">
    <w:name w:val="MDPI_3.8_bullet"/>
    <w:qFormat/>
    <w:rsid w:val="003645ea"/>
    <w:pPr>
      <w:widowControl/>
      <w:suppressAutoHyphens w:val="tru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9equation" w:customStyle="1">
    <w:name w:val="MDPI_3.9_equation"/>
    <w:qFormat/>
    <w:rsid w:val="006b7e36"/>
    <w:pPr>
      <w:widowControl/>
      <w:suppressAutoHyphens w:val="true"/>
      <w:bidi w:val="0"/>
      <w:snapToGrid w:val="false"/>
      <w:spacing w:lineRule="atLeast" w:line="260" w:before="120" w:after="120"/>
      <w:ind w:hanging="0" w:left="709"/>
      <w:jc w:val="center"/>
    </w:pPr>
    <w:rPr>
      <w:rFonts w:ascii="Palatino Linotype" w:hAnsi="Palatino Linotype" w:eastAsia="Times New Roman" w:cs="Times New Roman"/>
      <w:color w:val="000000"/>
      <w:kern w:val="0"/>
      <w:sz w:val="20"/>
      <w:szCs w:val="22"/>
      <w:lang w:val="en-US" w:eastAsia="de-DE" w:bidi="en-US"/>
    </w:rPr>
  </w:style>
  <w:style w:type="paragraph" w:styleId="MDPI3aequationnumber" w:customStyle="1">
    <w:name w:val="MDPI_3.a_equation_number"/>
    <w:qFormat/>
    <w:rsid w:val="006b7e36"/>
    <w:pPr>
      <w:widowControl/>
      <w:suppressAutoHyphens w:val="true"/>
      <w:bidi w:val="0"/>
      <w:spacing w:before="120" w:after="120"/>
      <w:jc w:val="right"/>
    </w:pPr>
    <w:rPr>
      <w:rFonts w:ascii="Palatino Linotype" w:hAnsi="Palatino Linotype" w:eastAsia="Times New Roman" w:cs="Times New Roman"/>
      <w:color w:val="000000"/>
      <w:kern w:val="0"/>
      <w:sz w:val="20"/>
      <w:szCs w:val="22"/>
      <w:lang w:val="en-US" w:eastAsia="de-DE" w:bidi="en-US"/>
    </w:rPr>
  </w:style>
  <w:style w:type="paragraph" w:styleId="MDPI41tablecaption" w:customStyle="1">
    <w:name w:val="MDPI_4.1_table_caption"/>
    <w:qFormat/>
    <w:rsid w:val="006b7e36"/>
    <w:pPr>
      <w:widowControl/>
      <w:suppressAutoHyphens w:val="true"/>
      <w:bidi w:val="0"/>
      <w:snapToGrid w:val="false"/>
      <w:spacing w:lineRule="auto" w:line="228" w:before="240" w:after="120"/>
      <w:ind w:hanging="0" w:left="2608"/>
      <w:jc w:val="both"/>
    </w:pPr>
    <w:rPr>
      <w:rFonts w:ascii="Palatino Linotype" w:hAnsi="Palatino Linotype" w:eastAsia="Times New Roman" w:cs="Cordia New"/>
      <w:color w:val="000000"/>
      <w:kern w:val="0"/>
      <w:sz w:val="18"/>
      <w:szCs w:val="22"/>
      <w:lang w:val="en-US" w:eastAsia="de-DE" w:bidi="en-US"/>
    </w:rPr>
  </w:style>
  <w:style w:type="paragraph" w:styleId="MDPI42tablebody" w:customStyle="1">
    <w:name w:val="MDPI_4.2_table_body"/>
    <w:qFormat/>
    <w:rsid w:val="00b30a64"/>
    <w:pPr>
      <w:widowControl/>
      <w:suppressAutoHyphens w:val="true"/>
      <w:bidi w:val="0"/>
      <w:snapToGrid w:val="false"/>
      <w:spacing w:lineRule="atLeast" w:line="260" w:before="0" w:after="0"/>
      <w:jc w:val="center"/>
    </w:pPr>
    <w:rPr>
      <w:rFonts w:ascii="Palatino Linotype" w:hAnsi="Palatino Linotype" w:eastAsia="Times New Roman" w:cs="Times New Roman"/>
      <w:color w:val="000000"/>
      <w:kern w:val="0"/>
      <w:sz w:val="20"/>
      <w:szCs w:val="20"/>
      <w:lang w:val="en-US" w:eastAsia="de-DE" w:bidi="en-US"/>
    </w:rPr>
  </w:style>
  <w:style w:type="paragraph" w:styleId="MDPI43tablefooter" w:customStyle="1">
    <w:name w:val="MDPI_4.3_table_footer"/>
    <w:next w:val="MDPI31text"/>
    <w:qFormat/>
    <w:rsid w:val="006b7e36"/>
    <w:pPr>
      <w:widowControl/>
      <w:suppressAutoHyphens w:val="true"/>
      <w:bidi w:val="0"/>
      <w:snapToGrid w:val="false"/>
      <w:spacing w:lineRule="auto" w:line="228" w:before="0" w:after="0"/>
      <w:ind w:hanging="0" w:left="2608"/>
      <w:jc w:val="both"/>
    </w:pPr>
    <w:rPr>
      <w:rFonts w:ascii="Palatino Linotype" w:hAnsi="Palatino Linotype" w:eastAsia="Times New Roman" w:cs="Cordia New"/>
      <w:color w:val="000000"/>
      <w:kern w:val="0"/>
      <w:sz w:val="18"/>
      <w:szCs w:val="22"/>
      <w:lang w:val="en-US" w:eastAsia="de-DE" w:bidi="en-US"/>
    </w:rPr>
  </w:style>
  <w:style w:type="paragraph" w:styleId="MDPI51figurecaption" w:customStyle="1">
    <w:name w:val="MDPI_5.1_figure_caption"/>
    <w:qFormat/>
    <w:rsid w:val="006b7e36"/>
    <w:pPr>
      <w:widowControl/>
      <w:suppressAutoHyphens w:val="true"/>
      <w:bidi w:val="0"/>
      <w:snapToGrid w:val="false"/>
      <w:spacing w:lineRule="auto" w:line="228" w:before="120" w:after="240"/>
      <w:ind w:hanging="0" w:left="2608"/>
      <w:jc w:val="both"/>
    </w:pPr>
    <w:rPr>
      <w:rFonts w:ascii="Palatino Linotype" w:hAnsi="Palatino Linotype" w:eastAsia="Times New Roman" w:cs="Times New Roman"/>
      <w:color w:val="000000"/>
      <w:kern w:val="0"/>
      <w:sz w:val="18"/>
      <w:szCs w:val="20"/>
      <w:lang w:val="en-US" w:eastAsia="de-DE" w:bidi="en-US"/>
    </w:rPr>
  </w:style>
  <w:style w:type="paragraph" w:styleId="MDPI52figure" w:customStyle="1">
    <w:name w:val="MDPI_5.2_figure"/>
    <w:qFormat/>
    <w:rsid w:val="006b7e36"/>
    <w:pPr>
      <w:widowControl/>
      <w:suppressAutoHyphens w:val="true"/>
      <w:bidi w:val="0"/>
      <w:snapToGrid w:val="false"/>
      <w:spacing w:before="240" w:after="120"/>
      <w:jc w:val="center"/>
    </w:pPr>
    <w:rPr>
      <w:rFonts w:ascii="Palatino Linotype" w:hAnsi="Palatino Linotype" w:eastAsia="Times New Roman" w:cs="Times New Roman"/>
      <w:color w:val="000000"/>
      <w:kern w:val="0"/>
      <w:sz w:val="20"/>
      <w:szCs w:val="20"/>
      <w:lang w:val="en-US" w:eastAsia="de-DE" w:bidi="en-US"/>
    </w:rPr>
  </w:style>
  <w:style w:type="paragraph" w:styleId="MDPI23heading3" w:customStyle="1">
    <w:name w:val="MDPI_2.3_heading3"/>
    <w:qFormat/>
    <w:rsid w:val="006b7e36"/>
    <w:pPr>
      <w:widowControl/>
      <w:suppressAutoHyphens w:val="true"/>
      <w:bidi w:val="0"/>
      <w:snapToGrid w:val="false"/>
      <w:spacing w:lineRule="auto" w:line="228" w:before="60" w:after="60"/>
      <w:ind w:hanging="0" w:left="2608"/>
      <w:jc w:val="left"/>
      <w:outlineLvl w:val="2"/>
    </w:pPr>
    <w:rPr>
      <w:rFonts w:ascii="Palatino Linotype" w:hAnsi="Palatino Linotype" w:eastAsia="Times New Roman" w:cs="Times New Roman"/>
      <w:color w:val="000000"/>
      <w:kern w:val="0"/>
      <w:sz w:val="20"/>
      <w:szCs w:val="22"/>
      <w:lang w:val="en-US" w:eastAsia="de-DE" w:bidi="en-US"/>
    </w:rPr>
  </w:style>
  <w:style w:type="paragraph" w:styleId="MDPI21heading1" w:customStyle="1">
    <w:name w:val="MDPI_2.1_heading1"/>
    <w:qFormat/>
    <w:rsid w:val="006b7e36"/>
    <w:pPr>
      <w:widowControl/>
      <w:suppressAutoHyphens w:val="true"/>
      <w:bidi w:val="0"/>
      <w:snapToGrid w:val="false"/>
      <w:spacing w:lineRule="auto" w:line="228" w:before="240" w:after="60"/>
      <w:ind w:hanging="0" w:left="2608"/>
      <w:jc w:val="left"/>
      <w:outlineLvl w:val="0"/>
    </w:pPr>
    <w:rPr>
      <w:rFonts w:ascii="Palatino Linotype" w:hAnsi="Palatino Linotype" w:eastAsia="Times New Roman" w:cs="Times New Roman"/>
      <w:b/>
      <w:color w:val="000000"/>
      <w:kern w:val="0"/>
      <w:sz w:val="20"/>
      <w:szCs w:val="22"/>
      <w:lang w:val="en-US" w:eastAsia="de-DE" w:bidi="en-US"/>
    </w:rPr>
  </w:style>
  <w:style w:type="paragraph" w:styleId="MDPI22heading2" w:customStyle="1">
    <w:name w:val="MDPI_2.2_heading2"/>
    <w:qFormat/>
    <w:rsid w:val="006b7e36"/>
    <w:pPr>
      <w:widowControl/>
      <w:suppressAutoHyphens w:val="true"/>
      <w:bidi w:val="0"/>
      <w:snapToGrid w:val="false"/>
      <w:spacing w:lineRule="auto" w:line="228" w:before="60" w:after="60"/>
      <w:ind w:hanging="0" w:left="2608"/>
      <w:jc w:val="left"/>
      <w:outlineLvl w:val="1"/>
    </w:pPr>
    <w:rPr>
      <w:rFonts w:ascii="Palatino Linotype" w:hAnsi="Palatino Linotype" w:eastAsia="Times New Roman" w:cs="Times New Roman"/>
      <w:i/>
      <w:color w:val="000000"/>
      <w:kern w:val="0"/>
      <w:sz w:val="20"/>
      <w:szCs w:val="22"/>
      <w:lang w:val="en-US" w:eastAsia="de-DE" w:bidi="en-US"/>
    </w:rPr>
  </w:style>
  <w:style w:type="paragraph" w:styleId="MDPI71References" w:customStyle="1">
    <w:name w:val="MDPI_7.1_References"/>
    <w:qFormat/>
    <w:rsid w:val="00274563"/>
    <w:pPr>
      <w:widowControl/>
      <w:suppressAutoHyphens w:val="true"/>
      <w:bidi w:val="0"/>
      <w:snapToGrid w:val="false"/>
      <w:spacing w:lineRule="auto" w:line="228" w:before="0" w:after="0"/>
      <w:jc w:val="both"/>
    </w:pPr>
    <w:rPr>
      <w:rFonts w:ascii="Palatino Linotype" w:hAnsi="Palatino Linotype" w:eastAsia="Times New Roman" w:cs="Times New Roman"/>
      <w:color w:val="000000"/>
      <w:kern w:val="0"/>
      <w:sz w:val="18"/>
      <w:szCs w:val="20"/>
      <w:lang w:val="en-US" w:eastAsia="de-DE" w:bidi="en-US"/>
    </w:rPr>
  </w:style>
  <w:style w:type="paragraph" w:styleId="BalloonText">
    <w:name w:val="Balloon Text"/>
    <w:basedOn w:val="Normal"/>
    <w:link w:val="BalloonTextChar"/>
    <w:uiPriority w:val="99"/>
    <w:qFormat/>
    <w:rsid w:val="006b7e36"/>
    <w:pPr/>
    <w:rPr>
      <w:rFonts w:cs="Tahoma"/>
      <w:szCs w:val="18"/>
    </w:rPr>
  </w:style>
  <w:style w:type="paragraph" w:styleId="Footer">
    <w:name w:val="Footer"/>
    <w:basedOn w:val="Normal"/>
    <w:link w:val="FooterChar"/>
    <w:uiPriority w:val="99"/>
    <w:rsid w:val="006b7e36"/>
    <w:pPr>
      <w:suppressLineNumbers/>
      <w:tabs>
        <w:tab w:val="clear" w:pos="510"/>
        <w:tab w:val="center" w:pos="4153" w:leader="none"/>
        <w:tab w:val="right" w:pos="8306" w:leader="none"/>
      </w:tabs>
      <w:snapToGrid w:val="false"/>
      <w:spacing w:lineRule="atLeast" w:line="240"/>
    </w:pPr>
    <w:rPr>
      <w:szCs w:val="18"/>
    </w:rPr>
  </w:style>
  <w:style w:type="paragraph" w:styleId="MDPI34textspacebefore" w:customStyle="1">
    <w:name w:val="MDPI_3.4_text_space_before"/>
    <w:qFormat/>
    <w:rsid w:val="006b7e36"/>
    <w:pPr>
      <w:widowControl/>
      <w:suppressAutoHyphens w:val="true"/>
      <w:bidi w:val="0"/>
      <w:snapToGrid w:val="false"/>
      <w:spacing w:lineRule="auto" w:line="228" w:before="240" w:after="0"/>
      <w:ind w:hanging="0" w:left="2608"/>
      <w:jc w:val="both"/>
    </w:pPr>
    <w:rPr>
      <w:rFonts w:ascii="Palatino Linotype" w:hAnsi="Palatino Linotype" w:eastAsia="Times New Roman" w:cs="Times New Roman"/>
      <w:color w:val="000000"/>
      <w:kern w:val="0"/>
      <w:sz w:val="20"/>
      <w:szCs w:val="22"/>
      <w:lang w:val="en-US" w:eastAsia="de-DE" w:bidi="en-US"/>
    </w:rPr>
  </w:style>
  <w:style w:type="paragraph" w:styleId="MDPI81theorem" w:customStyle="1">
    <w:name w:val="MDPI_8.1_theorem"/>
    <w:qFormat/>
    <w:rsid w:val="006b7e36"/>
    <w:pPr>
      <w:widowControl/>
      <w:suppressAutoHyphens w:val="true"/>
      <w:bidi w:val="0"/>
      <w:snapToGrid w:val="false"/>
      <w:spacing w:lineRule="auto" w:line="228" w:before="0" w:after="0"/>
      <w:ind w:hanging="0" w:left="2608"/>
      <w:jc w:val="both"/>
    </w:pPr>
    <w:rPr>
      <w:rFonts w:ascii="Palatino Linotype" w:hAnsi="Palatino Linotype" w:eastAsia="Times New Roman" w:cs="Times New Roman"/>
      <w:i/>
      <w:color w:val="000000"/>
      <w:kern w:val="0"/>
      <w:sz w:val="20"/>
      <w:szCs w:val="22"/>
      <w:lang w:val="en-US" w:eastAsia="de-DE" w:bidi="en-US"/>
    </w:rPr>
  </w:style>
  <w:style w:type="paragraph" w:styleId="MDPI82proof" w:customStyle="1">
    <w:name w:val="MDPI_8.2_proof"/>
    <w:qFormat/>
    <w:rsid w:val="006b7e36"/>
    <w:pPr>
      <w:widowControl/>
      <w:suppressAutoHyphens w:val="true"/>
      <w:bidi w:val="0"/>
      <w:snapToGrid w:val="false"/>
      <w:spacing w:lineRule="auto" w:line="228" w:before="0" w:after="0"/>
      <w:ind w:hanging="0" w:left="2608"/>
      <w:jc w:val="both"/>
    </w:pPr>
    <w:rPr>
      <w:rFonts w:ascii="Palatino Linotype" w:hAnsi="Palatino Linotype" w:eastAsia="Times New Roman" w:cs="Times New Roman"/>
      <w:color w:val="000000"/>
      <w:kern w:val="0"/>
      <w:sz w:val="20"/>
      <w:szCs w:val="22"/>
      <w:lang w:val="en-US" w:eastAsia="de-DE" w:bidi="en-US"/>
    </w:rPr>
  </w:style>
  <w:style w:type="paragraph" w:styleId="MDPI61Citation" w:customStyle="1">
    <w:name w:val="MDPI_6.1_Citation"/>
    <w:qFormat/>
    <w:rsid w:val="006b7e36"/>
    <w:pPr>
      <w:widowControl/>
      <w:suppressAutoHyphens w:val="true"/>
      <w:bidi w:val="0"/>
      <w:snapToGrid w:val="false"/>
      <w:spacing w:lineRule="atLeast" w:line="240" w:before="0" w:after="0"/>
      <w:ind w:hanging="0" w:right="113"/>
      <w:jc w:val="left"/>
    </w:pPr>
    <w:rPr>
      <w:rFonts w:ascii="Palatino Linotype" w:hAnsi="Palatino Linotype" w:eastAsia="宋体" w:cs="Cordia New"/>
      <w:color w:val="auto"/>
      <w:kern w:val="0"/>
      <w:sz w:val="14"/>
      <w:szCs w:val="22"/>
      <w:lang w:val="en-US" w:eastAsia="zh-CN" w:bidi="ar-SA"/>
    </w:rPr>
  </w:style>
  <w:style w:type="paragraph" w:styleId="MDPI62BackMatter" w:customStyle="1">
    <w:name w:val="MDPI_6.2_BackMatter"/>
    <w:qFormat/>
    <w:rsid w:val="006b7e36"/>
    <w:pPr>
      <w:widowControl/>
      <w:suppressAutoHyphens w:val="true"/>
      <w:bidi w:val="0"/>
      <w:snapToGrid w:val="false"/>
      <w:spacing w:lineRule="auto" w:line="228" w:before="0" w:after="120"/>
      <w:ind w:hanging="0" w:left="2608"/>
      <w:jc w:val="both"/>
    </w:pPr>
    <w:rPr>
      <w:rFonts w:ascii="Palatino Linotype" w:hAnsi="Palatino Linotype" w:eastAsia="Times New Roman" w:cs="Times New Roman"/>
      <w:color w:val="000000"/>
      <w:kern w:val="0"/>
      <w:sz w:val="18"/>
      <w:szCs w:val="20"/>
      <w:lang w:val="en-US" w:eastAsia="en-US" w:bidi="en-US"/>
    </w:rPr>
  </w:style>
  <w:style w:type="paragraph" w:styleId="MDPI63Notes" w:customStyle="1">
    <w:name w:val="MDPI_6.3_Notes"/>
    <w:qFormat/>
    <w:rsid w:val="006b7e36"/>
    <w:pPr>
      <w:widowControl/>
      <w:suppressAutoHyphens w:val="true"/>
      <w:bidi w:val="0"/>
      <w:snapToGrid w:val="false"/>
      <w:spacing w:lineRule="auto" w:line="228" w:before="240" w:after="0"/>
      <w:jc w:val="both"/>
    </w:pPr>
    <w:rPr>
      <w:rFonts w:ascii="Palatino Linotype" w:hAnsi="Palatino Linotype" w:eastAsia="宋体" w:cs="Times New Roman"/>
      <w:color w:val="000000"/>
      <w:kern w:val="0"/>
      <w:sz w:val="18"/>
      <w:szCs w:val="20"/>
      <w:lang w:val="en-US" w:eastAsia="en-US" w:bidi="en-US"/>
    </w:rPr>
  </w:style>
  <w:style w:type="paragraph" w:styleId="MDPI15academiceditor" w:customStyle="1">
    <w:name w:val="MDPI_1.5_academic_editor"/>
    <w:qFormat/>
    <w:rsid w:val="009b79dc"/>
    <w:pPr>
      <w:widowControl/>
      <w:suppressAutoHyphens w:val="true"/>
      <w:bidi w:val="0"/>
      <w:snapToGrid w:val="false"/>
      <w:spacing w:lineRule="atLeast" w:line="240" w:before="120" w:after="0"/>
      <w:ind w:hanging="0" w:right="113"/>
      <w:jc w:val="left"/>
    </w:pPr>
    <w:rPr>
      <w:rFonts w:ascii="Palatino Linotype" w:hAnsi="Palatino Linotype" w:eastAsia="Times New Roman" w:cs="Times New Roman"/>
      <w:color w:val="000000"/>
      <w:kern w:val="0"/>
      <w:sz w:val="14"/>
      <w:szCs w:val="22"/>
      <w:lang w:val="en-US" w:eastAsia="de-DE" w:bidi="en-US"/>
    </w:rPr>
  </w:style>
  <w:style w:type="paragraph" w:styleId="MDPI19classification" w:customStyle="1">
    <w:name w:val="MDPI_1.9_classification"/>
    <w:qFormat/>
    <w:rsid w:val="006b7e36"/>
    <w:pPr>
      <w:widowControl/>
      <w:suppressAutoHyphens w:val="true"/>
      <w:bidi w:val="0"/>
      <w:spacing w:lineRule="atLeast" w:line="260" w:before="240" w:after="0"/>
      <w:ind w:hanging="0" w:left="113"/>
      <w:jc w:val="both"/>
    </w:pPr>
    <w:rPr>
      <w:rFonts w:ascii="Palatino Linotype" w:hAnsi="Palatino Linotype" w:eastAsia="Times New Roman" w:cs="Times New Roman"/>
      <w:b/>
      <w:color w:val="000000"/>
      <w:kern w:val="0"/>
      <w:sz w:val="20"/>
      <w:szCs w:val="22"/>
      <w:lang w:val="en-US" w:eastAsia="de-DE" w:bidi="en-US"/>
    </w:rPr>
  </w:style>
  <w:style w:type="paragraph" w:styleId="MDPI411onetablecaption" w:customStyle="1">
    <w:name w:val="MDPI_4.1.1_one_table_caption"/>
    <w:qFormat/>
    <w:rsid w:val="006b7e36"/>
    <w:pPr>
      <w:widowControl/>
      <w:suppressAutoHyphens w:val="true"/>
      <w:bidi w:val="0"/>
      <w:snapToGrid w:val="false"/>
      <w:spacing w:lineRule="atLeast" w:line="260" w:before="240" w:after="120"/>
      <w:jc w:val="center"/>
    </w:pPr>
    <w:rPr>
      <w:rFonts w:ascii="Palatino Linotype" w:hAnsi="Palatino Linotype" w:eastAsia="宋体" w:cs="Cordia New"/>
      <w:color w:val="000000"/>
      <w:kern w:val="0"/>
      <w:sz w:val="18"/>
      <w:szCs w:val="22"/>
      <w:lang w:val="en-US" w:eastAsia="zh-CN" w:bidi="en-US"/>
    </w:rPr>
  </w:style>
  <w:style w:type="paragraph" w:styleId="MDPI511onefigurecaption" w:customStyle="1">
    <w:name w:val="MDPI_5.1.1_one_figure_caption"/>
    <w:qFormat/>
    <w:rsid w:val="006b7e36"/>
    <w:pPr>
      <w:widowControl/>
      <w:suppressAutoHyphens w:val="true"/>
      <w:bidi w:val="0"/>
      <w:snapToGrid w:val="false"/>
      <w:spacing w:lineRule="atLeast" w:line="260" w:before="240" w:after="120"/>
      <w:jc w:val="center"/>
    </w:pPr>
    <w:rPr>
      <w:rFonts w:ascii="Palatino Linotype" w:hAnsi="Palatino Linotype" w:eastAsia="宋体" w:cs="Times New Roman"/>
      <w:color w:val="000000"/>
      <w:kern w:val="0"/>
      <w:sz w:val="18"/>
      <w:szCs w:val="20"/>
      <w:lang w:val="en-US" w:eastAsia="zh-CN" w:bidi="en-US"/>
    </w:rPr>
  </w:style>
  <w:style w:type="paragraph" w:styleId="MDPI72Copyright" w:customStyle="1">
    <w:name w:val="MDPI_7.2_Copyright"/>
    <w:qFormat/>
    <w:rsid w:val="009e0abd"/>
    <w:pPr>
      <w:widowControl/>
      <w:suppressAutoHyphens w:val="true"/>
      <w:bidi w:val="0"/>
      <w:snapToGrid w:val="false"/>
      <w:spacing w:lineRule="atLeast" w:line="240" w:before="60" w:after="0"/>
      <w:ind w:hanging="0" w:right="113"/>
      <w:jc w:val="both"/>
    </w:pPr>
    <w:rPr>
      <w:rFonts w:ascii="Palatino Linotype" w:hAnsi="Palatino Linotype" w:eastAsia="Times New Roman" w:cs="Times New Roman"/>
      <w:color w:val="000000"/>
      <w:kern w:val="0"/>
      <w:sz w:val="14"/>
      <w:szCs w:val="20"/>
      <w:lang w:val="en-GB" w:eastAsia="en-GB" w:bidi="ar-SA"/>
    </w:rPr>
  </w:style>
  <w:style w:type="paragraph" w:styleId="MDPI73CopyrightImage" w:customStyle="1">
    <w:name w:val="MDPI_7.3_CopyrightImage"/>
    <w:qFormat/>
    <w:rsid w:val="006b7e36"/>
    <w:pPr>
      <w:widowControl/>
      <w:suppressAutoHyphens w:val="true"/>
      <w:bidi w:val="0"/>
      <w:snapToGrid w:val="false"/>
      <w:spacing w:lineRule="atLeast" w:line="260" w:before="0" w:after="100"/>
      <w:jc w:val="right"/>
    </w:pPr>
    <w:rPr>
      <w:rFonts w:ascii="Palatino Linotype" w:hAnsi="Palatino Linotype" w:eastAsia="Times New Roman" w:cs="Times New Roman"/>
      <w:color w:val="000000"/>
      <w:kern w:val="0"/>
      <w:sz w:val="20"/>
      <w:szCs w:val="20"/>
      <w:lang w:val="en-US" w:eastAsia="de-CH" w:bidi="ar-SA"/>
    </w:rPr>
  </w:style>
  <w:style w:type="paragraph" w:styleId="MDPIequationFram" w:customStyle="1">
    <w:name w:val="MDPI_equationFram"/>
    <w:qFormat/>
    <w:rsid w:val="006b7e36"/>
    <w:pPr>
      <w:widowControl/>
      <w:suppressAutoHyphens w:val="true"/>
      <w:bidi w:val="0"/>
      <w:snapToGrid w:val="false"/>
      <w:spacing w:before="120" w:after="120"/>
      <w:jc w:val="center"/>
    </w:pPr>
    <w:rPr>
      <w:rFonts w:ascii="Palatino Linotype" w:hAnsi="Palatino Linotype" w:eastAsia="Times New Roman" w:cs="Times New Roman"/>
      <w:color w:val="000000"/>
      <w:kern w:val="0"/>
      <w:sz w:val="20"/>
      <w:szCs w:val="22"/>
      <w:lang w:val="en-US" w:eastAsia="de-DE" w:bidi="en-US"/>
    </w:rPr>
  </w:style>
  <w:style w:type="paragraph" w:styleId="MDPIfooter" w:customStyle="1">
    <w:name w:val="MDPI_footer"/>
    <w:qFormat/>
    <w:rsid w:val="006b7e36"/>
    <w:pPr>
      <w:widowControl/>
      <w:suppressAutoHyphens w:val="true"/>
      <w:bidi w:val="0"/>
      <w:snapToGrid w:val="false"/>
      <w:spacing w:lineRule="atLeast" w:line="260" w:before="120" w:after="0"/>
      <w:jc w:val="center"/>
    </w:pPr>
    <w:rPr>
      <w:rFonts w:ascii="Palatino Linotype" w:hAnsi="Palatino Linotype" w:eastAsia="Times New Roman" w:cs="Times New Roman"/>
      <w:color w:val="000000"/>
      <w:kern w:val="0"/>
      <w:sz w:val="20"/>
      <w:szCs w:val="20"/>
      <w:lang w:val="en-US" w:eastAsia="de-DE" w:bidi="ar-SA"/>
    </w:rPr>
  </w:style>
  <w:style w:type="paragraph" w:styleId="MDPIfooterfirstpage" w:customStyle="1">
    <w:name w:val="MDPI_footer_firstpage"/>
    <w:qFormat/>
    <w:rsid w:val="006b7e36"/>
    <w:pPr>
      <w:widowControl/>
      <w:tabs>
        <w:tab w:val="clear" w:pos="510"/>
        <w:tab w:val="right" w:pos="8845" w:leader="none"/>
      </w:tabs>
      <w:suppressAutoHyphens w:val="true"/>
      <w:bidi w:val="0"/>
      <w:spacing w:lineRule="exact" w:line="160" w:before="0" w:after="0"/>
      <w:jc w:val="left"/>
    </w:pPr>
    <w:rPr>
      <w:rFonts w:ascii="Palatino Linotype" w:hAnsi="Palatino Linotype" w:eastAsia="Times New Roman" w:cs="Times New Roman"/>
      <w:color w:val="000000"/>
      <w:kern w:val="0"/>
      <w:sz w:val="16"/>
      <w:szCs w:val="20"/>
      <w:lang w:val="en-US" w:eastAsia="de-DE" w:bidi="ar-SA"/>
    </w:rPr>
  </w:style>
  <w:style w:type="paragraph" w:styleId="MDPIheader" w:customStyle="1">
    <w:name w:val="MDPI_header"/>
    <w:qFormat/>
    <w:rsid w:val="006b7e36"/>
    <w:pPr>
      <w:widowControl/>
      <w:suppressAutoHyphens w:val="true"/>
      <w:bidi w:val="0"/>
      <w:snapToGrid w:val="false"/>
      <w:spacing w:lineRule="atLeast" w:line="260" w:before="0" w:after="240"/>
      <w:jc w:val="both"/>
    </w:pPr>
    <w:rPr>
      <w:rFonts w:ascii="Palatino Linotype" w:hAnsi="Palatino Linotype" w:eastAsia="Times New Roman" w:cs="Times New Roman"/>
      <w:iCs/>
      <w:color w:val="000000"/>
      <w:kern w:val="0"/>
      <w:sz w:val="16"/>
      <w:szCs w:val="20"/>
      <w:lang w:val="en-US" w:eastAsia="de-DE" w:bidi="ar-SA"/>
    </w:rPr>
  </w:style>
  <w:style w:type="paragraph" w:styleId="MDPIheadercitation" w:customStyle="1">
    <w:name w:val="MDPI_header_citation"/>
    <w:qFormat/>
    <w:rsid w:val="006b7e36"/>
    <w:pPr>
      <w:widowControl/>
      <w:suppressAutoHyphens w:val="true"/>
      <w:bidi w:val="0"/>
      <w:spacing w:before="0" w:after="240"/>
      <w:jc w:val="left"/>
    </w:pPr>
    <w:rPr>
      <w:rFonts w:ascii="Palatino Linotype" w:hAnsi="Palatino Linotype" w:eastAsia="Times New Roman" w:cs="Times New Roman"/>
      <w:color w:val="000000"/>
      <w:kern w:val="0"/>
      <w:sz w:val="18"/>
      <w:szCs w:val="20"/>
      <w:lang w:val="en-US" w:eastAsia="de-DE" w:bidi="en-US"/>
    </w:rPr>
  </w:style>
  <w:style w:type="paragraph" w:styleId="MDPIheadermdpilogo" w:customStyle="1">
    <w:name w:val="MDPI_header_mdpi_logo"/>
    <w:qFormat/>
    <w:rsid w:val="006b7e36"/>
    <w:pPr>
      <w:widowControl/>
      <w:suppressAutoHyphens w:val="true"/>
      <w:bidi w:val="0"/>
      <w:snapToGrid w:val="false"/>
      <w:spacing w:lineRule="atLeast" w:line="260" w:before="0" w:after="0"/>
      <w:jc w:val="right"/>
    </w:pPr>
    <w:rPr>
      <w:rFonts w:ascii="Palatino Linotype" w:hAnsi="Palatino Linotype" w:eastAsia="Times New Roman" w:cs="Times New Roman"/>
      <w:color w:val="000000"/>
      <w:kern w:val="0"/>
      <w:sz w:val="24"/>
      <w:szCs w:val="22"/>
      <w:lang w:val="en-US" w:eastAsia="de-CH" w:bidi="ar-SA"/>
    </w:rPr>
  </w:style>
  <w:style w:type="paragraph" w:styleId="MDPItext" w:customStyle="1">
    <w:name w:val="MDPI_text"/>
    <w:qFormat/>
    <w:rsid w:val="006b7e36"/>
    <w:pPr>
      <w:widowControl/>
      <w:suppressAutoHyphens w:val="true"/>
      <w:bidi w:val="0"/>
      <w:spacing w:lineRule="atLeast" w:line="260" w:before="0" w:after="0"/>
      <w:ind w:firstLine="284" w:left="425" w:right="425"/>
      <w:jc w:val="both"/>
    </w:pPr>
    <w:rPr>
      <w:rFonts w:ascii="Times New Roman" w:hAnsi="Times New Roman" w:eastAsia="Times New Roman" w:cs="Times New Roman"/>
      <w:color w:val="000000"/>
      <w:kern w:val="0"/>
      <w:sz w:val="22"/>
      <w:szCs w:val="22"/>
      <w:lang w:val="en-US" w:eastAsia="de-DE" w:bidi="en-US"/>
    </w:rPr>
  </w:style>
  <w:style w:type="paragraph" w:styleId="MDPItitle" w:customStyle="1">
    <w:name w:val="MDPI_title"/>
    <w:qFormat/>
    <w:rsid w:val="006b7e36"/>
    <w:pPr>
      <w:widowControl/>
      <w:suppressAutoHyphens w:val="true"/>
      <w:bidi w:val="0"/>
      <w:snapToGrid w:val="false"/>
      <w:spacing w:lineRule="atLeast" w:line="260" w:before="0" w:after="240"/>
      <w:jc w:val="both"/>
    </w:pPr>
    <w:rPr>
      <w:rFonts w:ascii="Palatino Linotype" w:hAnsi="Palatino Linotype" w:eastAsia="Times New Roman" w:cs="Times New Roman"/>
      <w:b/>
      <w:color w:val="000000"/>
      <w:kern w:val="0"/>
      <w:sz w:val="36"/>
      <w:szCs w:val="20"/>
      <w:lang w:val="en-US" w:eastAsia="de-DE" w:bidi="en-US"/>
    </w:rPr>
  </w:style>
  <w:style w:type="paragraph" w:styleId="Bibliography">
    <w:name w:val="Bibliography"/>
    <w:basedOn w:val="Normal"/>
    <w:next w:val="Normal"/>
    <w:uiPriority w:val="37"/>
    <w:semiHidden/>
    <w:unhideWhenUsed/>
    <w:qFormat/>
    <w:rsid w:val="006b7e36"/>
    <w:pPr/>
    <w:rPr/>
  </w:style>
  <w:style w:type="paragraph" w:styleId="AnnotationText">
    <w:name w:val="Annotation Text"/>
    <w:basedOn w:val="Normal"/>
    <w:link w:val="CommentTextChar"/>
    <w:qFormat/>
    <w:rsid w:val="006b7e36"/>
    <w:pPr/>
    <w:rPr/>
  </w:style>
  <w:style w:type="paragraph" w:styleId="annotationsubject">
    <w:name w:val="annotation subject"/>
    <w:basedOn w:val="AnnotationText"/>
    <w:next w:val="AnnotationText"/>
    <w:link w:val="CommentSubjectChar"/>
    <w:qFormat/>
    <w:rsid w:val="006b7e36"/>
    <w:pPr/>
    <w:rPr>
      <w:b/>
      <w:bCs/>
    </w:rPr>
  </w:style>
  <w:style w:type="paragraph" w:styleId="EndnoteText">
    <w:name w:val="Endnote Text"/>
    <w:basedOn w:val="Normal"/>
    <w:link w:val="EndnoteTextChar"/>
    <w:semiHidden/>
    <w:unhideWhenUsed/>
    <w:rsid w:val="006b7e36"/>
    <w:pPr>
      <w:spacing w:lineRule="auto" w:line="240"/>
    </w:pPr>
    <w:rPr/>
  </w:style>
  <w:style w:type="paragraph" w:styleId="FootnoteText">
    <w:name w:val="Footnote Text"/>
    <w:basedOn w:val="Normal"/>
    <w:link w:val="FootnoteTextChar"/>
    <w:semiHidden/>
    <w:unhideWhenUsed/>
    <w:rsid w:val="006b7e36"/>
    <w:pPr>
      <w:spacing w:lineRule="auto" w:line="240"/>
    </w:pPr>
    <w:rPr/>
  </w:style>
  <w:style w:type="paragraph" w:styleId="NormalWeb">
    <w:name w:val="Normal (Web)"/>
    <w:basedOn w:val="Normal"/>
    <w:uiPriority w:val="99"/>
    <w:qFormat/>
    <w:rsid w:val="006b7e36"/>
    <w:pPr/>
    <w:rPr>
      <w:szCs w:val="24"/>
    </w:rPr>
  </w:style>
  <w:style w:type="paragraph" w:styleId="MsoFootnoteText" w:customStyle="1">
    <w:name w:val="MsoFootnoteText"/>
    <w:basedOn w:val="NormalWeb"/>
    <w:qFormat/>
    <w:rsid w:val="006b7e36"/>
    <w:pPr/>
    <w:rPr>
      <w:rFonts w:ascii="Times New Roman" w:hAnsi="Times New Roman"/>
    </w:rPr>
  </w:style>
  <w:style w:type="paragraph" w:styleId="MDPI71FootNotes" w:customStyle="1">
    <w:name w:val="MDPI_7.1_FootNotes"/>
    <w:qFormat/>
    <w:rsid w:val="00dd34b8"/>
    <w:pPr>
      <w:widowControl/>
      <w:suppressAutoHyphens w:val="true"/>
      <w:bidi w:val="0"/>
      <w:snapToGrid w:val="false"/>
      <w:spacing w:lineRule="auto" w:line="228" w:before="0" w:after="0"/>
      <w:jc w:val="left"/>
    </w:pPr>
    <w:rPr>
      <w:rFonts w:ascii="Palatino Linotype" w:hAnsi="Palatino Linotype" w:eastAsia="" w:cs="Times New Roman" w:eastAsiaTheme="minorEastAsia"/>
      <w:color w:val="000000"/>
      <w:kern w:val="0"/>
      <w:sz w:val="18"/>
      <w:szCs w:val="20"/>
      <w:lang w:val="en-US" w:eastAsia="zh-CN" w:bidi="ar-SA"/>
    </w:rPr>
  </w:style>
  <w:style w:type="paragraph" w:styleId="FrameContents">
    <w:name w:val="Frame Contents"/>
    <w:basedOn w:val="Normal"/>
    <w:qFormat/>
    <w:pPr/>
    <w:rPr/>
  </w:style>
  <w:style w:type="paragraph" w:styleId="Default">
    <w:name w:val="Default"/>
    <w:qFormat/>
    <w:pPr>
      <w:widowControl/>
      <w:suppressAutoHyphens w:val="true"/>
      <w:bidi w:val="0"/>
      <w:spacing w:lineRule="atLeast" w:line="200" w:before="0" w:after="0"/>
      <w:jc w:val="left"/>
    </w:pPr>
    <w:rPr>
      <w:rFonts w:ascii="Arial Unicode MS" w:hAnsi="Arial Unicode MS" w:eastAsia="Tahoma" w:cs="Source Sans Pro Black"/>
      <w:color w:val="auto"/>
      <w:kern w:val="2"/>
      <w:sz w:val="36"/>
      <w:szCs w:val="24"/>
      <w:lang w:val="en-US" w:eastAsia="zh-CN" w:bidi="hi-IN"/>
    </w:rPr>
  </w:style>
  <w:style w:type="paragraph" w:styleId="TableContents">
    <w:name w:val="Table Contents"/>
    <w:basedOn w:val="Normal"/>
    <w:qFormat/>
    <w:pPr>
      <w:suppressLineNumbers/>
    </w:pPr>
    <w:rPr/>
  </w:style>
  <w:style w:type="paragraph" w:styleId="Bibliography1">
    <w:name w:val="Bibliography 1"/>
    <w:basedOn w:val="Index"/>
    <w:qFormat/>
    <w:pPr>
      <w:spacing w:lineRule="atLeast" w:line="240"/>
      <w:ind w:hanging="720" w:left="720"/>
    </w:pPr>
    <w:rPr/>
  </w:style>
  <w:style w:type="paragraph" w:styleId="BlockQuotation">
    <w:name w:val="Block Quotation"/>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Mdeck5tablebodythreelines">
    <w:name w:val="M_deck_5_table_body_three_lines"/>
    <w:basedOn w:val="TableNormal"/>
    <w:uiPriority w:val="99"/>
    <w:rsid w:val="0094171b"/>
    <w:pPr>
      <w:snapToGrid w:val="0"/>
      <w:spacing w:line="300" w:lineRule="exact"/>
      <w:jc w:val="center"/>
    </w:pPr>
    <w:rPr>
      <w:lang w:val="de-DE" w:eastAsia="de-DE"/>
    </w:rPr>
    <w:tblPr>
      <w:tblBorders>
        <w:bottom w:val="single" w:color="auto" w:sz="8" w:space="0"/>
      </w:tblBorders>
    </w:tblPr>
    <w:tcPr>
      <w:vAlign w:val="center"/>
    </w:tcPr>
    <w:tblStylePr w:type="firstRow">
      <w:pPr>
        <w:wordWrap/>
        <w:ind w:right="0" w:rightChars="0"/>
        <w:snapToGrid w:val="0"/>
        <w:spacing w:beforeLines="0" w:afterLines="0" w:line="300" w:lineRule="exact"/>
        <w:jc w:val="center"/>
      </w:pPr>
      <w:rPr>
        <w:b w:val="0"/>
        <w:i w:val="0"/>
        <w:sz w:val="22"/>
      </w:rPr>
      <w:tblPr/>
      <w:tcPr>
        <w:tcBorders>
          <w:top w:val="single" w:color="auto" w:sz="8" w:space="0"/>
          <w:left w:val="nil"/>
          <w:bottom w:val="single" w:color="auto" w:sz="4" w:space="0"/>
          <w:right w:val="nil"/>
          <w:insideH w:val="nil"/>
          <w:insideV w:val="nil"/>
          <w:tl2br w:val="nil"/>
          <w:tr2bl w:val="nil"/>
        </w:tcBorders>
      </w:tcPr>
    </w:tblStylePr>
  </w:style>
  <w:style w:type="table" w:styleId="TableGrid">
    <w:name w:val="Table Grid"/>
    <w:basedOn w:val="TableNormal"/>
    <w:uiPriority w:val="59"/>
    <w:rsid w:val="006b7e36"/>
    <w:pPr>
      <w:spacing w:line="260" w:lineRule="atLeast"/>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DPI41threelinetable">
    <w:name w:val="MDPI_4.1_three_line_table"/>
    <w:basedOn w:val="TableNormal"/>
    <w:uiPriority w:val="99"/>
    <w:rsid w:val="006b7e36"/>
    <w:pPr>
      <w:snapToGrid w:val="0"/>
      <w:jc w:val="center"/>
    </w:pPr>
    <w:tblPr>
      <w:tblBorders>
        <w:top w:val="single" w:color="auto" w:sz="8" w:space="0"/>
        <w:bottom w:val="single" w:color="auto" w:sz="8" w:space="0"/>
      </w:tblBorders>
    </w:tblPr>
    <w:tcPr>
      <w:vAlign w:val="center"/>
    </w:tcPr>
    <w:tblStylePr w:type="firstRow">
      <w:rPr>
        <w:b/>
        <w:i w:val="0"/>
        <w:sz w:val="20"/>
      </w:rPr>
      <w:tblPr/>
      <w:tcPr>
        <w:tcBorders>
          <w:bottom w:val="single" w:color="auto" w:sz="4" w:space="0"/>
        </w:tcBorders>
      </w:tcPr>
    </w:tblStylePr>
  </w:style>
  <w:style w:type="table" w:styleId="PlainTable4">
    <w:name w:val="Plain Table 4"/>
    <w:basedOn w:val="TableNormal"/>
    <w:uiPriority w:val="44"/>
    <w:rsid w:val="00b10b28"/>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MDPITable">
    <w:name w:val="MDPI_Table"/>
    <w:basedOn w:val="TableNormal"/>
    <w:uiPriority w:val="99"/>
    <w:rsid w:val="006b7e36"/>
    <w:rPr>
      <w:lang w:val="en-CA" w:eastAsia="en-US"/>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provean.jcvi.org/about.php" TargetMode="External"/><Relationship Id="rId4" Type="http://schemas.openxmlformats.org/officeDocument/2006/relationships/image" Target="media/image2.png"/><Relationship Id="rId5" Type="http://schemas.openxmlformats.org/officeDocument/2006/relationships/hyperlink" Target="http://mutationassessor.org/r3/" TargetMode="External"/><Relationship Id="rId6" Type="http://schemas.openxmlformats.org/officeDocument/2006/relationships/hyperlink" Target="https://www.cancer.gov/about-cancer/treatment/clinical-trials" TargetMode="External"/><Relationship Id="rId7" Type="http://schemas.openxmlformats.org/officeDocument/2006/relationships/hyperlink" Target="https://doi.org/10.1038/nature12477" TargetMode="External"/><Relationship Id="rId8" Type="http://schemas.openxmlformats.org/officeDocument/2006/relationships/hyperlink" Target="https://www.nature.com/scitable/topicpage/dna-is-constantly-changing-through-the-process-6524898/" TargetMode="External"/><Relationship Id="rId9" Type="http://schemas.openxmlformats.org/officeDocument/2006/relationships/hyperlink" Target="https://doi.org/10.1158/0008-5472.CAN-16-246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biomedicines-template.dot</Template>
  <TotalTime>114</TotalTime>
  <Application>LibreOffice/24.2.7.2$Linux_X86_64 LibreOffice_project/420$Build-2</Application>
  <AppVersion>15.0000</AppVersion>
  <Pages>33</Pages>
  <Words>9869</Words>
  <Characters>64428</Characters>
  <CharactersWithSpaces>73957</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2024-03-13T10:25:15Z</dcterms:created>
  <dc:creator/>
  <dc:description/>
  <dc:language>en-US</dc:language>
  <cp:lastModifiedBy/>
  <dcterms:modified xsi:type="dcterms:W3CDTF">2025-06-05T14:00:08Z</dcterms:modified>
  <cp:revision>20</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