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Supplementary Methods</w:t>
      </w:r>
    </w:p>
    <w:p/>
    <w:p>
      <w:r>
        <w:rPr>
          <w:b/>
        </w:rPr>
        <w:t>Supplementary Method 1. Scope and relationship to the main manuscript</w:t>
      </w:r>
    </w:p>
    <w:p>
      <w:r>
        <w:t>Supplementary Methods document analysis extensions, sensitivity filters, internal and external validation modules, and timing-aware interaction models that support the primary Results without altering core definitions of overall survival (OS), binary mutation presence, or the three-group clinical stage scheme (Metastatic; Resectable; Borderline Resectable/Locally Advanced). Supplementary Tables and Supplementary Figures are provided as separate files (Supplementary_Tables.xlsx; Supplementary_Figures.docx).</w:t>
      </w:r>
    </w:p>
    <w:p/>
    <w:p>
      <w:r>
        <w:rPr>
          <w:b/>
        </w:rPr>
        <w:t>Supplementary Method 2. Primary analytic cohort (discovery)</w:t>
      </w:r>
    </w:p>
    <w:p>
      <w:r>
        <w:t>The integrated discovery cohort (N=2330 patients) was derived from Tumor/Merged.xlsx by collapsing mutation-level rows to one record per PATIENT_ID. Binary mutation indicators were defined for ten prespecified genes (TP53, KRAS, CDKN2A, SMAD4, ARID1A, ATM, PIK3CA, BRAF, GNAS, RNF43): presence if Hugo_Symbol matched the gene at least once. OS_MONTHS and OS_STATUS followed the clinical dictionary used in stage scripts (OS_MONTHS &gt; 0 for time-to-event models; event coded from 1:DECEASED). DX2COLLECTION_YEAR (dx_yr) denotes years from diagnosis to sample collection.</w:t>
      </w:r>
    </w:p>
    <w:p/>
    <w:p>
      <w:r>
        <w:rPr>
          <w:b/>
        </w:rPr>
        <w:t>Supplementary Method 3. Synergy and enrichment metrics (multiplicative, additive, and protective scores)</w:t>
      </w:r>
    </w:p>
    <w:p>
      <w:r>
        <w:t>Multiplicative synergy compared observed joint mutation frequency to the product of marginal frequencies. Additive synergy was computed as p_AB − p_A·p_B (deviation from independence). Protective scores contrasted mutation prevalence between deceased and living patients. Dual screens covered 45 pairwise combinations; triple screens used prespecified higher-order contexts. Multiplicity control used Benjamini–Hochberg FDR as the primary framework, with Bonferroni/Holm reported as conservative sensitivity bounds.</w:t>
      </w:r>
    </w:p>
    <w:p/>
    <w:p>
      <w:r>
        <w:rPr>
          <w:b/>
        </w:rPr>
        <w:t>Supplementary Method 4. Stage-stratified Cox and multivariable extensions</w:t>
      </w:r>
    </w:p>
    <w:p>
      <w:r>
        <w:t>Univariate Cox proportional hazards models for OS were fit within each stage stratum for single genes, pairs, and triples. Penalized multivariable Cox summaries and internal validation metrics are tabulated in Supplementary Tables (Stage_Multivariable_Cox_Report sheets). Stage_Mutation_Additive_OS_Report.xlsx contains gene frequency tests, additive pair/triple rankings, and Cox outputs by stage.</w:t>
      </w:r>
    </w:p>
    <w:p/>
    <w:p>
      <w:r>
        <w:rPr>
          <w:b/>
        </w:rPr>
        <w:t>Supplementary Method 5. DX2COLLECTION_YEAR × mutation-combination interaction models and sensitivity filters</w:t>
      </w:r>
    </w:p>
    <w:p>
      <w:r>
        <w:t>Timing-interaction models tested whether diagnosis-to-collection interval modified OS associations for mutation combinations. Primary adjusted specification: Cox(OS_MONTHS ~ dx_yr + combo + dx_yr×combo + AGE + SEX + DISEASE_STATUS) within stage strata. Unadjusted models omitted clinical covariates when noted. Three dx_yr filters were applied: ALL (no filter), DX_GE_0 (exclude dx_yr &lt; 0), and DX_0_TO_5 (0 ≤ dx_yr ≤ 5 years). Supplementary Table S1 consolidates adjusted interaction p-values and stability flags across filters (see Stage_DX2Collection_Interaction_Sensitivity_Comparison.xlsx). Full model outputs appear in Stage_DX2Collection_Combo_OS_Interaction.xlsx and Stage_DX2Collection_Combo_OS_Interaction_Sensitivity.xlsx.</w:t>
      </w:r>
    </w:p>
    <w:p/>
    <w:p>
      <w:r>
        <w:rPr>
          <w:b/>
        </w:rPr>
        <w:t>Supplementary Method 6. Internal validation (stratified split and cross-validation)</w:t>
      </w:r>
    </w:p>
    <w:p>
      <w:r>
        <w:t>Internal validation on the discovery registry used stratified train/validation splits and cross-validation for descriptive synergy-style scores and multivariable Cox stability (stage_multivariable_cox_validation.py; Validation_Cohort_Analysis.xlsx in the parent project folder when available). These analyses assess reproducibility within the same merged cohort and are not external multi-center replication.</w:t>
      </w:r>
    </w:p>
    <w:p/>
    <w:p>
      <w:r>
        <w:rPr>
          <w:b/>
        </w:rPr>
        <w:t>Supplementary Method 7. External validation in public PDAC cohorts (cBioPortal)</w:t>
      </w:r>
    </w:p>
    <w:p>
      <w:r>
        <w:t>External replication used the public cBioPortal REST API (May 2026) for four PDAC studies: paad_tcga_gdc (TCGA GDC 2025), paad_tcga_pan_can_atlas_2018 (TCGA Pan-Cancer Atlas), pancreas_cptac_gdc (CPTAC GDC 2025), and pdac_msk_2024 (MSK PDAC). For each study we used the cBioPortal category "all_cases_with_mutation_data" sample list and the study extended mutation profile. Gene presence was binary if ≥1 somatic mutation record existed for that entrezGeneId on the patient. OS_MONTHS and OS_STATUS were taken from patient-level clinical data; events were coded for deceased states. The harmonized external test was univariate Cox: TP53+KRAS both present versus all other patients among cases with OS_MONTHS &gt; 0. This module did not recompute synergy scores, FDR combination screens, or stage-stratified models in external cohorts. Results are in Supplementary Table S2 and were generated by cbioportal_pdac_validation_report.py.</w:t>
      </w:r>
    </w:p>
    <w:p/>
    <w:p>
      <w:r>
        <w:rPr>
          <w:b/>
        </w:rPr>
        <w:t>Supplementary Method 8. Overview of supplementary figure content</w:t>
      </w:r>
    </w:p>
    <w:p>
      <w:r>
        <w:t>Supplementary Figure S1: top triple additive deviations from independence. S2: univariate Cox forest for top triples by stage. S3–S4: dx_yr×pair and dx_yr×triple interaction volcanoes (DX_GE_0). S5: short-OS TP53/KRAS sensitivity. S6: diabetes-stratified exploratory panel. S7: triple interaction volcano under DX_0_TO_5 sensitivity. Additional diagnostic panels (multiplicity correction, internal validation cohort, functional mapping) are included when image files are available (S8–S10).</w:t>
      </w:r>
    </w:p>
    <w:p/>
    <w:p>
      <w:r>
        <w:rPr>
          <w:b/>
        </w:rPr>
        <w:t>Supplementary Method 9. Software and computational environment</w:t>
      </w:r>
    </w:p>
    <w:p>
      <w:r>
        <w:t>Python 3.x with pandas, numpy, matplotlib, seaborn, scipy, scikit-learn, statsmodels, and lifelines (Cox models). cBioPortal API access via urllib. Word outputs via python-docx.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