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F3741"/>
          <w:sz w:val="40"/>
        </w:rPr>
        <w:t>WEBRELLA STUDIO LLC</w:t>
      </w:r>
    </w:p>
    <w:p>
      <w:pPr>
        <w:jc w:val="center"/>
      </w:pPr>
      <w:r>
        <w:rPr>
          <w:b/>
          <w:sz w:val="26"/>
        </w:rPr>
        <w:t>OPERATING AGREEMENT — WORKING DRAFT</w:t>
      </w:r>
    </w:p>
    <w:p>
      <w:pPr>
        <w:jc w:val="center"/>
      </w:pPr>
      <w:r>
        <w:rPr>
          <w:i/>
          <w:sz w:val="18"/>
        </w:rPr>
        <w:t>Maryland • Two-Member LLC • 50/50 Ownership</w:t>
      </w:r>
    </w:p>
    <w:p>
      <w:r>
        <w:rPr>
          <w:b/>
        </w:rPr>
        <w:t xml:space="preserve">Important: </w:t>
      </w:r>
      <w:r>
        <w:t>This is a business-planning draft, not legal advice. The members should have a Maryland attorney and tax professional review it before relying on it as the LLC's final operating agreement.</w:t>
      </w:r>
    </w:p>
    <w:p>
      <w:r>
        <w:rPr>
          <w:b/>
          <w:color w:val="2B7FA5"/>
          <w:sz w:val="24"/>
        </w:rPr>
        <w:t>1. Formation and Purpose</w:t>
      </w:r>
    </w:p>
    <w:p>
      <w:r>
        <w:t>The members intend to operate Webrella Studio LLC as a Maryland limited liability company providing website design, website development, website care, branding and related digital services. The LLC will be governed by this Agreement and applicable Maryland law.</w:t>
      </w:r>
    </w:p>
    <w:p>
      <w:r>
        <w:rPr>
          <w:b/>
          <w:color w:val="2B7FA5"/>
          <w:sz w:val="24"/>
        </w:rPr>
        <w:t>2. Members and Ownership</w:t>
      </w:r>
    </w:p>
    <w:tbl>
      <w:tblPr>
        <w:tblW w:type="auto" w:w="0"/>
        <w:jc w:val="center"/>
        <w:tblLook w:firstColumn="1" w:firstRow="1" w:lastColumn="0" w:lastRow="0" w:noHBand="0" w:noVBand="1" w:val="04A0"/>
      </w:tblPr>
      <w:tblGrid>
        <w:gridCol w:w="3264"/>
        <w:gridCol w:w="3264"/>
        <w:gridCol w:w="3264"/>
      </w:tblGrid>
      <w:tr>
        <w:tc>
          <w:tcPr>
            <w:tcW w:type="dxa" w:w="3264"/>
          </w:tcPr>
          <w:p>
            <w:r>
              <w:rPr>
                <w:b/>
              </w:rPr>
              <w:t>Member</w:t>
            </w:r>
          </w:p>
        </w:tc>
        <w:tc>
          <w:tcPr>
            <w:tcW w:type="dxa" w:w="3264"/>
          </w:tcPr>
          <w:p>
            <w:r>
              <w:rPr>
                <w:b/>
              </w:rPr>
              <w:t>Ownership</w:t>
            </w:r>
          </w:p>
        </w:tc>
        <w:tc>
          <w:tcPr>
            <w:tcW w:type="dxa" w:w="3264"/>
          </w:tcPr>
          <w:p>
            <w:r>
              <w:rPr>
                <w:b/>
              </w:rPr>
              <w:t>Primary Responsibilities</w:t>
            </w:r>
          </w:p>
        </w:tc>
      </w:tr>
      <w:tr>
        <w:tc>
          <w:tcPr>
            <w:tcW w:type="dxa" w:w="3264"/>
          </w:tcPr>
          <w:p>
            <w:r>
              <w:t>Emerson Martinez</w:t>
            </w:r>
          </w:p>
        </w:tc>
        <w:tc>
          <w:tcPr>
            <w:tcW w:type="dxa" w:w="3264"/>
          </w:tcPr>
          <w:p>
            <w:r>
              <w:t>50%</w:t>
            </w:r>
          </w:p>
        </w:tc>
        <w:tc>
          <w:tcPr>
            <w:tcW w:type="dxa" w:w="3264"/>
          </w:tcPr>
          <w:p>
            <w:r>
              <w:t>Design, client relations, sales/marketing and business operations</w:t>
            </w:r>
          </w:p>
        </w:tc>
      </w:tr>
      <w:tr>
        <w:tc>
          <w:tcPr>
            <w:tcW w:type="dxa" w:w="3264"/>
          </w:tcPr>
          <w:p>
            <w:r>
              <w:t>Kidus Fanta</w:t>
            </w:r>
          </w:p>
        </w:tc>
        <w:tc>
          <w:tcPr>
            <w:tcW w:type="dxa" w:w="3264"/>
          </w:tcPr>
          <w:p>
            <w:r>
              <w:t>50%</w:t>
            </w:r>
          </w:p>
        </w:tc>
        <w:tc>
          <w:tcPr>
            <w:tcW w:type="dxa" w:w="3264"/>
          </w:tcPr>
          <w:p>
            <w:r>
              <w:t>Development and technology</w:t>
            </w:r>
          </w:p>
        </w:tc>
      </w:tr>
    </w:tbl>
    <w:p>
      <w:r>
        <w:t>The responsibility descriptions identify primary areas of work and do not prevent either member from assisting in other areas.</w:t>
      </w:r>
    </w:p>
    <w:p>
      <w:r>
        <w:rPr>
          <w:b/>
          <w:color w:val="2B7FA5"/>
          <w:sz w:val="24"/>
        </w:rPr>
        <w:t>3. Profits, Losses and Distributions</w:t>
      </w:r>
    </w:p>
    <w:p>
      <w:r>
        <w:t>Profits and losses will generally be allocated 50/50 between the members, subject to applicable tax law and advice from the LLC's tax professional. Cash distributions, when approved and legally available, will generally be made 50/50. The LLC may retain funds for taxes, operating expenses, reserves, planned purchases and other business needs before making distributions.</w:t>
      </w:r>
    </w:p>
    <w:p>
      <w:r>
        <w:rPr>
          <w:b/>
          <w:color w:val="2B7FA5"/>
          <w:sz w:val="24"/>
        </w:rPr>
        <w:t>4. Management and Voting</w:t>
      </w:r>
    </w:p>
    <w:p>
      <w:r>
        <w:t>Each member has equal ownership and equal voting power. Ordinary day-to-day decisions within a member's primary area may be made by that member, provided the decision is consistent with approved budgets, client commitments and this Agreement.</w:t>
      </w:r>
    </w:p>
    <w:p>
      <w:r>
        <w:t>Major decisions require approval of both members. Major decisions include taking on debt, admitting a new member, changing ownership percentages, selling substantially all LLC assets, entering unusually large or long-term commitments, changing the core business, dissolving the LLC, or making other decisions that materially affect ownership, finances or legal obligations.</w:t>
      </w:r>
    </w:p>
    <w:p>
      <w:r>
        <w:rPr>
          <w:b/>
          <w:color w:val="2B7FA5"/>
          <w:sz w:val="24"/>
        </w:rPr>
        <w:t>5. Spending Authority</w:t>
      </w:r>
    </w:p>
    <w:p>
      <w:r>
        <w:t>Either member may authorize ordinary Webrella business expenses of up to $100 per transaction without advance approval from the other member. Any expense above $100 requires approval from both members unless both members have already approved the expense as part of a written budget or project plan. All business expenses should be documented and paid or reimbursed through proper company records.</w:t>
      </w:r>
    </w:p>
    <w:p>
      <w:r>
        <w:rPr>
          <w:b/>
          <w:color w:val="2B7FA5"/>
          <w:sz w:val="24"/>
        </w:rPr>
        <w:t>6. Company Money and Records</w:t>
      </w:r>
    </w:p>
    <w:p>
      <w:r>
        <w:t>LLC funds will be kept separate from personal funds. The members will maintain accurate records of income, expenses, invoices, contracts, subscriptions, reimbursements and distributions. Both members will have reasonable access to company financial and business records.</w:t>
      </w:r>
    </w:p>
    <w:p>
      <w:r>
        <w:rPr>
          <w:b/>
          <w:color w:val="2B7FA5"/>
          <w:sz w:val="24"/>
        </w:rPr>
        <w:t>7. Intellectual Property</w:t>
      </w:r>
    </w:p>
    <w:p>
      <w:r>
        <w:t>To the extent legally transferable, intellectual property created specifically for Webrella Studio LLC in the course of company work — including company branding, reusable company templates, internal systems, marketing materials, and company-owned code or design assets — will belong to the LLC, subject to any separate client agreement, third-party license, or pre-existing intellectual property rights.</w:t>
      </w:r>
    </w:p>
    <w:p>
      <w:r>
        <w:t>Client ownership and licensing rights for websites, designs, code, content and other deliverables will be controlled by the applicable client agreement. Pre-existing tools, code, designs or other materials owned by a member before contribution to the LLC should be identified separately rather than automatically treated as company property.</w:t>
      </w:r>
    </w:p>
    <w:p>
      <w:r>
        <w:rPr>
          <w:b/>
          <w:color w:val="2B7FA5"/>
          <w:sz w:val="24"/>
        </w:rPr>
        <w:t>8. Deadlock Procedure</w:t>
      </w:r>
    </w:p>
    <w:p>
      <w:r>
        <w:t>If the members are evenly divided on a major decision, they will first make a good-faith effort to resolve the disagreement through direct discussion. If they remain unable to agree, they will attempt mediation with a mutually agreed neutral mediator before pursuing litigation, dissolution or another major remedy, unless emergency legal relief is reasonably necessary.</w:t>
      </w:r>
    </w:p>
    <w:p>
      <w:r>
        <w:rPr>
          <w:b/>
          <w:color w:val="2B7FA5"/>
          <w:sz w:val="24"/>
        </w:rPr>
        <w:t>9. Inactivity and Failure to Contribute</w:t>
      </w:r>
    </w:p>
    <w:p>
      <w:r>
        <w:t>A member who completely stops materially contributing to the business for 60 consecutive days without an agreed reason may be treated as an inactive member after written notice from the other member and a reasonable opportunity to explain or resume participation.</w:t>
      </w:r>
    </w:p>
    <w:p>
      <w:r>
        <w:t>Inactivity does not automatically cancel or confiscate the inactive member's ownership. Instead, the active member or the LLC may initiate a buyout process for the inactive member's interest. Before using this provision in a final agreement, the members should adopt a precise valuation method, payment schedule, notice procedure, and definition of an agreed or excused absence. Illness, school, employment obligations, family emergencies, military obligations, or other circumstances should be addressed by mutual written agreement where appropriate.</w:t>
      </w:r>
    </w:p>
    <w:p>
      <w:r>
        <w:rPr>
          <w:b/>
          <w:color w:val="2B7FA5"/>
          <w:sz w:val="24"/>
        </w:rPr>
        <w:t>10. Voluntary Withdrawal and Transfers</w:t>
      </w:r>
    </w:p>
    <w:p>
      <w:r>
        <w:t>A member who wants to leave the LLC or transfer all or part of their ownership interest must provide written notice. Before transferring the interest to an outside person, the departing member must first offer the interest to the LLC and/or the remaining member on substantially the same proposed terms. No outside transferee becomes a voting member unless admitted in accordance with this Agreement and applicable law.</w:t>
      </w:r>
    </w:p>
    <w:p>
      <w:r>
        <w:rPr>
          <w:b/>
          <w:color w:val="2B7FA5"/>
          <w:sz w:val="24"/>
        </w:rPr>
        <w:t>11. Buyout Valuation — To Be Finalized</w:t>
      </w:r>
    </w:p>
    <w:p>
      <w:r>
        <w:t>The members have agreed that an inactive or departing member may be bought out rather than having their ownership automatically forfeited. The final Agreement should specify the valuation formula. Possible approaches include an independent business appraisal, a mutually agreed value updated annually, or a formula based on revenue/profit/assets. This provision is intentionally left unresolved until professional review because the valuation method can have significant financial and tax consequences.</w:t>
      </w:r>
    </w:p>
    <w:p>
      <w:r>
        <w:rPr>
          <w:b/>
          <w:color w:val="2B7FA5"/>
          <w:sz w:val="24"/>
        </w:rPr>
        <w:t>12. Banking, Payments and Contracts</w:t>
      </w:r>
    </w:p>
    <w:p>
      <w:r>
        <w:t>Company revenue should be deposited into an LLC-controlled business account once established. Client invoices and recurring payments may be processed through approved payment providers such as Square. Neither member may use company payment accounts or funds for personal purchases. Client contracts should be entered into in the LLC's name after formation whenever appropriate.</w:t>
      </w:r>
    </w:p>
    <w:p>
      <w:r>
        <w:rPr>
          <w:b/>
          <w:color w:val="2B7FA5"/>
          <w:sz w:val="24"/>
        </w:rPr>
        <w:t>13. Taxes</w:t>
      </w:r>
    </w:p>
    <w:p>
      <w:r>
        <w:t>The members will obtain appropriate tax advice regarding the LLC's federal, Maryland and local filing obligations. The members acknowledge that a two-member LLC is generally treated as a partnership for federal income tax purposes unless a different tax classification is validly elected. Tax distributions, estimated taxes, bookkeeping and member reporting should be addressed with a qualified tax professional.</w:t>
      </w:r>
    </w:p>
    <w:p>
      <w:r>
        <w:rPr>
          <w:b/>
          <w:color w:val="2B7FA5"/>
          <w:sz w:val="24"/>
        </w:rPr>
        <w:t>14. Dissolution</w:t>
      </w:r>
    </w:p>
    <w:p>
      <w:r>
        <w:t>The LLC may be dissolved by written agreement of both members or as otherwise required by law. Upon dissolution, company obligations and liabilities will be addressed first, followed by the disposition of remaining company property and funds in accordance with applicable law and the members' rights.</w:t>
      </w:r>
    </w:p>
    <w:p>
      <w:r>
        <w:rPr>
          <w:b/>
          <w:color w:val="2B7FA5"/>
          <w:sz w:val="24"/>
        </w:rPr>
        <w:t>15. Amendments</w:t>
      </w:r>
    </w:p>
    <w:p>
      <w:r>
        <w:t>Any amendment to this Agreement must be approved by both members and documented in writing.</w:t>
      </w:r>
    </w:p>
    <w:p>
      <w:r>
        <w:rPr>
          <w:b/>
          <w:color w:val="2B7FA5"/>
          <w:sz w:val="24"/>
        </w:rPr>
        <w:t>16. Items to Complete Before Signing</w:t>
      </w:r>
    </w:p>
    <w:p>
      <w:pPr>
        <w:pStyle w:val="ListBullet"/>
      </w:pPr>
      <w:r>
        <w:t>Confirm the LLC's exact legal name after Maryland name availability is checked.</w:t>
      </w:r>
    </w:p>
    <w:p>
      <w:pPr>
        <w:pStyle w:val="ListBullet"/>
      </w:pPr>
      <w:r>
        <w:t>Insert the LLC formation/effective date and principal office information.</w:t>
      </w:r>
    </w:p>
    <w:p>
      <w:pPr>
        <w:pStyle w:val="ListBullet"/>
      </w:pPr>
      <w:r>
        <w:t>Identify the resident agent required for the Maryland filing.</w:t>
      </w:r>
    </w:p>
    <w:p>
      <w:pPr>
        <w:pStyle w:val="ListBullet"/>
      </w:pPr>
      <w:r>
        <w:t>Finalize the buyout valuation formula and payment terms.</w:t>
      </w:r>
    </w:p>
    <w:p>
      <w:pPr>
        <w:pStyle w:val="ListBullet"/>
      </w:pPr>
      <w:r>
        <w:t>Decide how long a departing member has to respond to a right-of-first-refusal offer.</w:t>
      </w:r>
    </w:p>
    <w:p>
      <w:pPr>
        <w:pStyle w:val="ListBullet"/>
      </w:pPr>
      <w:r>
        <w:t>Decide whether specific annual tax distributions or reserves are required.</w:t>
      </w:r>
    </w:p>
    <w:p>
      <w:pPr>
        <w:pStyle w:val="ListBullet"/>
      </w:pPr>
      <w:r>
        <w:t>Have a Maryland attorney review the agreement and a tax professional review the tax provisions.</w:t>
      </w:r>
    </w:p>
    <w:p>
      <w:r>
        <w:rPr>
          <w:b/>
          <w:color w:val="2B7FA5"/>
          <w:sz w:val="24"/>
        </w:rPr>
        <w:t>Member Acknowledgment — Sign Only After Final Review</w:t>
      </w:r>
    </w:p>
    <w:p>
      <w:r>
        <w:t>By signing the final version, each member should acknowledge that they have read the Agreement, understand its terms, and have had the opportunity to seek independent legal and tax advice.</w:t>
      </w:r>
    </w:p>
    <w:tbl>
      <w:tblPr>
        <w:tblW w:type="auto" w:w="0"/>
        <w:jc w:val="center"/>
        <w:tblLook w:firstColumn="1" w:firstRow="1" w:lastColumn="0" w:lastRow="0" w:noHBand="0" w:noVBand="1" w:val="04A0"/>
      </w:tblPr>
      <w:tblGrid>
        <w:gridCol w:w="4896"/>
        <w:gridCol w:w="4896"/>
      </w:tblGrid>
      <w:tr>
        <w:tc>
          <w:tcPr>
            <w:tcW w:type="dxa" w:w="4896"/>
          </w:tcPr>
          <w:p>
            <w:r>
              <w:t>Member: Emerson Martinez</w:t>
            </w:r>
          </w:p>
        </w:tc>
        <w:tc>
          <w:tcPr>
            <w:tcW w:type="dxa" w:w="4896"/>
          </w:tcPr>
          <w:p>
            <w:r>
              <w:t>Member: Kidus Fanta</w:t>
            </w:r>
          </w:p>
        </w:tc>
      </w:tr>
      <w:tr>
        <w:tc>
          <w:tcPr>
            <w:tcW w:type="dxa" w:w="4896"/>
          </w:tcPr>
          <w:p>
            <w:r>
              <w:br/>
              <w:t>Signature: __________________________</w:t>
            </w:r>
          </w:p>
        </w:tc>
        <w:tc>
          <w:tcPr>
            <w:tcW w:type="dxa" w:w="4896"/>
          </w:tcPr>
          <w:p>
            <w:r>
              <w:br/>
              <w:t>Signature: __________________________</w:t>
            </w:r>
          </w:p>
        </w:tc>
      </w:tr>
      <w:tr>
        <w:tc>
          <w:tcPr>
            <w:tcW w:type="dxa" w:w="4896"/>
          </w:tcPr>
          <w:p>
            <w:r>
              <w:t>Date: ______________________________</w:t>
            </w:r>
          </w:p>
        </w:tc>
        <w:tc>
          <w:tcPr>
            <w:tcW w:type="dxa" w:w="4896"/>
          </w:tcPr>
          <w:p>
            <w:r>
              <w:t>Date: ______________________________</w:t>
            </w:r>
          </w:p>
        </w:tc>
      </w:tr>
      <w:tr>
        <w:tc>
          <w:tcPr>
            <w:tcW w:type="dxa" w:w="4896"/>
          </w:tcPr>
          <w:p>
            <w:r>
              <w:t>Ownership: 50%</w:t>
            </w:r>
          </w:p>
        </w:tc>
        <w:tc>
          <w:tcPr>
            <w:tcW w:type="dxa" w:w="4896"/>
          </w:tcPr>
          <w:p>
            <w:r>
              <w:t>Ownership: 50%</w:t>
            </w:r>
          </w:p>
        </w:tc>
      </w:tr>
    </w:tbl>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