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50DE" w:rsidRDefault="002D50DE">
      <w:pPr>
        <w:spacing w:before="800"/>
      </w:pPr>
    </w:p>
    <w:p w:rsidR="002D50DE" w:rsidRDefault="00A170D5">
      <w:pPr>
        <w:spacing w:after="160"/>
        <w:jc w:val="center"/>
      </w:pPr>
      <w:r>
        <w:rPr>
          <w:b/>
          <w:bCs/>
          <w:sz w:val="34"/>
          <w:szCs w:val="34"/>
        </w:rPr>
        <w:t>基於</w:t>
      </w:r>
      <w:r>
        <w:rPr>
          <w:b/>
          <w:bCs/>
          <w:sz w:val="34"/>
          <w:szCs w:val="34"/>
        </w:rPr>
        <w:t xml:space="preserve"> OCR </w:t>
      </w:r>
      <w:r>
        <w:rPr>
          <w:b/>
          <w:bCs/>
          <w:sz w:val="34"/>
          <w:szCs w:val="34"/>
        </w:rPr>
        <w:t>之字詞擷取與多語意表徵系統</w:t>
      </w:r>
    </w:p>
    <w:p w:rsidR="002D50DE" w:rsidRDefault="00A170D5">
      <w:pPr>
        <w:spacing w:after="160"/>
        <w:jc w:val="center"/>
      </w:pPr>
      <w:r>
        <w:rPr>
          <w:b/>
          <w:bCs/>
          <w:color w:val="1F4E78"/>
          <w:sz w:val="30"/>
          <w:szCs w:val="30"/>
        </w:rPr>
        <w:t>研發歷程</w:t>
      </w:r>
      <w:r>
        <w:rPr>
          <w:b/>
          <w:bCs/>
          <w:color w:val="1F4E78"/>
          <w:sz w:val="30"/>
          <w:szCs w:val="30"/>
        </w:rPr>
        <w:t>與設計思路報告</w:t>
      </w:r>
    </w:p>
    <w:p w:rsidR="002D50DE" w:rsidRDefault="002D50DE">
      <w:pPr>
        <w:spacing w:before="200" w:after="200"/>
      </w:pPr>
    </w:p>
    <w:p w:rsidR="002D50DE" w:rsidRDefault="00A170D5">
      <w:pPr>
        <w:spacing w:after="160"/>
        <w:jc w:val="center"/>
      </w:pPr>
      <w:r>
        <w:rPr>
          <w:i/>
          <w:iCs/>
          <w:color w:val="555555"/>
        </w:rPr>
        <w:t>——</w:t>
      </w:r>
      <w:r>
        <w:rPr>
          <w:i/>
          <w:iCs/>
          <w:color w:val="555555"/>
        </w:rPr>
        <w:t>從</w:t>
      </w:r>
      <w:r>
        <w:rPr>
          <w:i/>
          <w:iCs/>
          <w:color w:val="555555"/>
        </w:rPr>
        <w:t>規格書</w:t>
      </w:r>
      <w:r>
        <w:rPr>
          <w:i/>
          <w:iCs/>
          <w:color w:val="555555"/>
        </w:rPr>
        <w:t>的最初</w:t>
      </w:r>
      <w:r>
        <w:rPr>
          <w:i/>
          <w:iCs/>
          <w:color w:val="555555"/>
        </w:rPr>
        <w:t>構想</w:t>
      </w:r>
      <w:r>
        <w:rPr>
          <w:i/>
          <w:iCs/>
          <w:color w:val="555555"/>
        </w:rPr>
        <w:t>，</w:t>
      </w:r>
      <w:r>
        <w:rPr>
          <w:i/>
          <w:iCs/>
          <w:color w:val="555555"/>
        </w:rPr>
        <w:t>到</w:t>
      </w:r>
      <w:r>
        <w:rPr>
          <w:i/>
          <w:iCs/>
          <w:color w:val="555555"/>
        </w:rPr>
        <w:t>以真實資料拍板的</w:t>
      </w:r>
      <w:r>
        <w:rPr>
          <w:i/>
          <w:iCs/>
          <w:color w:val="555555"/>
        </w:rPr>
        <w:t>最終規格</w:t>
      </w:r>
      <w:r>
        <w:rPr>
          <w:i/>
          <w:iCs/>
          <w:color w:val="555555"/>
        </w:rPr>
        <w:t>——</w:t>
      </w:r>
      <w:bookmarkStart w:id="0" w:name="_GoBack"/>
      <w:bookmarkEnd w:id="0"/>
    </w:p>
    <w:p w:rsidR="002D50DE" w:rsidRDefault="00A170D5">
      <w:r>
        <w:br w:type="page"/>
      </w:r>
    </w:p>
    <w:p w:rsidR="002D50DE" w:rsidRDefault="00A170D5">
      <w:pPr>
        <w:pStyle w:val="1"/>
        <w:spacing w:before="480" w:after="240"/>
      </w:pPr>
      <w:r>
        <w:rPr>
          <w:b/>
          <w:bCs/>
          <w:color w:val="1F4E78"/>
          <w:sz w:val="30"/>
          <w:szCs w:val="30"/>
        </w:rPr>
        <w:lastRenderedPageBreak/>
        <w:t>前言</w:t>
      </w:r>
    </w:p>
    <w:p w:rsidR="002D50DE" w:rsidRDefault="00A170D5">
      <w:pPr>
        <w:spacing w:after="200" w:line="360" w:lineRule="auto"/>
        <w:jc w:val="both"/>
      </w:pPr>
      <w:r>
        <w:t>本報告的目的，是把這個專案從第一份規格書到最終定案規格之間，整段研發過程中「為什麼這樣做」的思考過程完整記錄下來</w:t>
      </w:r>
      <w:r>
        <w:t>——</w:t>
      </w:r>
      <w:r>
        <w:t>著重於概念、原則與設計思路本身，不涉及程式碼、套件版本或除錯細節等技術性內容。全文依實際發生的時間順序鋪陳，並在每個階段回頭檢視規格書最初的構想與最終真正落地的規格之間，究竟是延續、修正、還是必要的擴充，藉此說明最終規格何以是合理的結果，而非隨意偏離原始計畫。</w:t>
      </w:r>
    </w:p>
    <w:p w:rsidR="002D50DE" w:rsidRDefault="00A170D5">
      <w:pPr>
        <w:spacing w:after="200" w:line="360" w:lineRule="auto"/>
        <w:jc w:val="both"/>
      </w:pPr>
      <w:r>
        <w:t>有一件事值得先說在前面：這份規格書對「最小可行性產品」的定義，本身只是一份功能性檢查清單</w:t>
      </w:r>
      <w:r>
        <w:t>——</w:t>
      </w:r>
      <w:r>
        <w:t>能不能選片、能不能定頻擷取、能不能辨識文字</w:t>
      </w:r>
      <w:r>
        <w:t>、能不能顯示翻譯、能不能匯出</w:t>
      </w:r>
      <w:r>
        <w:t>——</w:t>
      </w:r>
      <w:r>
        <w:t>完全沒有附上任何準確率或效能的數字門檻。這個留白不是規格書的缺陷，而是把「多準確才算好、多快才算可用」這類問題，留給實際開發過程依真實情況判斷。因此，這個專案有很大一部分的研發歷程，其實是在補這塊留白：一路上不斷地為「什麼叫做做得好」建立可以實際測量、可以拿真實資料驗證的操作型定義，而不是憑印象或直覺下判斷。這條「凡事都要有真實資料佐證，拒絕臆測」的準則，會在後面每一個階段反覆出現。</w:t>
      </w:r>
    </w:p>
    <w:p w:rsidR="002D50DE" w:rsidRDefault="00A170D5">
      <w:pPr>
        <w:pStyle w:val="1"/>
        <w:spacing w:before="480" w:after="240"/>
      </w:pPr>
      <w:r>
        <w:rPr>
          <w:b/>
          <w:bCs/>
          <w:color w:val="1F4E78"/>
          <w:sz w:val="30"/>
          <w:szCs w:val="30"/>
        </w:rPr>
        <w:t>一、緣起：問題意識與最初構想</w:t>
      </w:r>
    </w:p>
    <w:p w:rsidR="002D50DE" w:rsidRDefault="00A170D5">
      <w:pPr>
        <w:spacing w:after="200" w:line="360" w:lineRule="auto"/>
        <w:jc w:val="both"/>
      </w:pPr>
      <w:r>
        <w:t>專案最初的問題意識，是現行的影音語言學習工具高度依賴影片本身內</w:t>
      </w:r>
      <w:r>
        <w:t>建的封閉式字幕（</w:t>
      </w:r>
      <w:r>
        <w:t>Closed Captions</w:t>
      </w:r>
      <w:r>
        <w:t>）</w:t>
      </w:r>
      <w:r>
        <w:t>——</w:t>
      </w:r>
      <w:r>
        <w:t>如果影片沒有字幕軌，這類工具就無用武之地。規格書提出的解法，是讓系統直接從「影片畫面本身」擷取文字，不依賴任何外部字幕資料，也就是所謂「環境獨立」的系統。這個定位其實從一開始就決定了整個系統的技術路線：既然不能仰賴現成的字幕文字檔，就必須靠電腦視覺與光學字元辨識，把畫面上的像素直接轉換成文字。</w:t>
      </w:r>
    </w:p>
    <w:p w:rsidR="002D50DE" w:rsidRDefault="00A170D5">
      <w:pPr>
        <w:spacing w:after="200" w:line="360" w:lineRule="auto"/>
        <w:jc w:val="both"/>
      </w:pPr>
      <w:r>
        <w:t>規格書用一個乾淨俐落的例子說明系統的目標行為：畫面上出現一句韓文字幕，系統應該要能自動辨識出整句話、給出全句翻譯，同時把句子拆解成個別單字並各自附上翻譯，最後還能把</w:t>
      </w:r>
      <w:r>
        <w:t>選定的單字匯出成</w:t>
      </w:r>
      <w:r>
        <w:t xml:space="preserve"> CSV </w:t>
      </w:r>
      <w:r>
        <w:t>或</w:t>
      </w:r>
      <w:r>
        <w:t xml:space="preserve"> Anki </w:t>
      </w:r>
      <w:r>
        <w:t>字卡，供使用者用間隔重複的方式複習。這個例子在專案後期</w:t>
      </w:r>
      <w:r>
        <w:lastRenderedPageBreak/>
        <w:t>回頭看格外重要：它示範的是系統「應該具備的能力」，而不是「畫面應該長什麼樣子」的技術規格</w:t>
      </w:r>
      <w:r>
        <w:t>——</w:t>
      </w:r>
      <w:r>
        <w:t>但在專案初期，這個區別並不是那麼顯而易見，這也埋下了後面第一次與真實測試素材碰撞時，需要重新釐清的伏筆。</w:t>
      </w:r>
    </w:p>
    <w:p w:rsidR="002D50DE" w:rsidRDefault="00A170D5">
      <w:pPr>
        <w:spacing w:after="200" w:line="360" w:lineRule="auto"/>
        <w:jc w:val="both"/>
      </w:pPr>
      <w:r>
        <w:t>在系統架構上，規格書從一開始就把整條處理流程拆成八個概念性步驟：讀取影片、定頻擷取影格、影像前處理、文字辨識、時序去重、語意解析、介面呈現、結構化匯出。這種把流程拆成一串獨立步驟的想法，加上規格書明白要求「模組化設計、輸</w:t>
      </w:r>
      <w:r>
        <w:t>入輸出標準化」，等於是規格書自己就已經定下了整個專案往後最重要的一條開發原則。</w:t>
      </w:r>
    </w:p>
    <w:p w:rsidR="002D50DE" w:rsidRDefault="00A170D5">
      <w:pPr>
        <w:spacing w:after="200" w:line="360" w:lineRule="auto"/>
        <w:jc w:val="both"/>
      </w:pPr>
      <w:r>
        <w:t>至於規格書對「最小可行性產品」的定義，如前言所述，只是一份純功能性的檢查清單，沒有附帶任何量化門檻；「未來展望」一節則明確把自動偵測字幕位置、文法解析、多語系支援、瀏覽器擴充套件等更進階的能力，劃到這一階段刻意不處理的範圍之外。這種「先把範圍收斂到一個乾淨的封閉迴圈，其餘全部明確排除」的態度，本身也是一種設計原則的示範，後面專案在畫分「這個階段要不要做」的界線時，經常沿用同一套思維。</w:t>
      </w:r>
    </w:p>
    <w:p w:rsidR="002D50DE" w:rsidRDefault="00A170D5">
      <w:pPr>
        <w:pStyle w:val="1"/>
        <w:spacing w:before="480" w:after="240"/>
      </w:pPr>
      <w:r>
        <w:rPr>
          <w:b/>
          <w:bCs/>
          <w:color w:val="1F4E78"/>
          <w:sz w:val="30"/>
          <w:szCs w:val="30"/>
        </w:rPr>
        <w:t>二、開發前的立法：三項貫穿全專案的設計原則</w:t>
      </w:r>
    </w:p>
    <w:p w:rsidR="002D50DE" w:rsidRDefault="00A170D5">
      <w:pPr>
        <w:spacing w:after="200" w:line="360" w:lineRule="auto"/>
        <w:jc w:val="both"/>
      </w:pPr>
      <w:r>
        <w:t>在真正動手寫任何一行功能程式碼之前，專案先為自己立下三條規矩，而這三條規矩幾乎主宰了往後每一個階段的走向。</w:t>
      </w:r>
    </w:p>
    <w:p w:rsidR="002D50DE" w:rsidRDefault="00A170D5">
      <w:pPr>
        <w:spacing w:after="200" w:line="360" w:lineRule="auto"/>
        <w:jc w:val="both"/>
      </w:pPr>
      <w:r>
        <w:t>第一條是模組化：規格書的八個步驟，各自對應一個獨立的程式模組，模組之間不能直接窺探彼此的內部狀態，只能透過一份共同、標準化的資料格式溝通。這麼做的好處是，將來想要換一個辨識引擎、換一套翻譯方式，理論上只需要動到單一模組內部，不會牽一髮動全身</w:t>
      </w:r>
      <w:r>
        <w:t>——</w:t>
      </w:r>
      <w:r>
        <w:t>後面第五節會看到，這個特性正是專案敢於同時嘗試三種不同語意處理策略、彼此互不干擾的前提。</w:t>
      </w:r>
    </w:p>
    <w:p w:rsidR="002D50DE" w:rsidRDefault="00A170D5">
      <w:pPr>
        <w:spacing w:after="200" w:line="360" w:lineRule="auto"/>
        <w:jc w:val="both"/>
      </w:pPr>
      <w:r>
        <w:t>第二條是標準化輸入輸出：模組之間傳遞的資料一律使用有明確欄位定義、有型</w:t>
      </w:r>
      <w:r>
        <w:t>別檢查的結構化格式，不用鬆散、什麼都塞得進去的資料型態。這樣做的意義在於，許多錯誤（例如信心分</w:t>
      </w:r>
      <w:r>
        <w:lastRenderedPageBreak/>
        <w:t>數超出合理範圍）可以在資料結構本身的層次就被擋下來，不需要每個模組各自寫一套檢查邏輯。</w:t>
      </w:r>
    </w:p>
    <w:p w:rsidR="002D50DE" w:rsidRDefault="00A170D5">
      <w:pPr>
        <w:spacing w:after="200" w:line="360" w:lineRule="auto"/>
        <w:jc w:val="both"/>
      </w:pPr>
      <w:r>
        <w:t>第三條是集中設定：所有將來需要依實測結果調整的參數，都收斂到單一設定檔，程式邏輯內部不允許寫死任何魔術數字。這條原則背後真正的用意，其實跟這個專案很獨特的一種工作方式有關：許多關鍵參數（要不要去雜訊、用哪一套語意處理策略）在專案初期根本無從得知正確答案，唯一負責任的做法是先把介面與資料流固定下來，把真正的決策明確標記為「之後依真</w:t>
      </w:r>
      <w:r>
        <w:t>實資料決定」，而不是在還沒有真實證據的時候就先拍板。這種「先把骨架與契約定好，把需要證據支持的決定留白，等真正有證據時再回頭補上」的態度，會在後面反覆出現，最終也直接促成了專案尾聲那一次總結性的資料驅動決策。</w:t>
      </w:r>
    </w:p>
    <w:p w:rsidR="002D50DE" w:rsidRDefault="00A170D5">
      <w:pPr>
        <w:pStyle w:val="1"/>
        <w:spacing w:before="480" w:after="240"/>
      </w:pPr>
      <w:r>
        <w:rPr>
          <w:b/>
          <w:bCs/>
          <w:color w:val="1F4E78"/>
          <w:sz w:val="30"/>
          <w:szCs w:val="30"/>
        </w:rPr>
        <w:t>三、第一次與現實碰撞：測試素材推翻的假設</w:t>
      </w:r>
    </w:p>
    <w:p w:rsidR="002D50DE" w:rsidRDefault="00A170D5">
      <w:pPr>
        <w:spacing w:after="200" w:line="360" w:lineRule="auto"/>
        <w:jc w:val="both"/>
      </w:pPr>
      <w:r>
        <w:t>進入實際開發後，第一個重大的概念性轉折，發生在檢視真正的測試影片素材時。規格書的示範例子，設想的是畫面下方疊加一小條字幕，這種情境下，很自然會聯想到「只裁切畫面下方一小塊固定區域來辨識文字」的做法。但實際測試影片打開一看，完全不是這麼回事</w:t>
      </w:r>
      <w:r>
        <w:t>——</w:t>
      </w:r>
      <w:r>
        <w:t>整段影片幾乎都是滿</w:t>
      </w:r>
      <w:r>
        <w:t>版的韓語單字卡或選擇題卡，文字版面置中、版型五花八門，跟規格書示範例子想像的畫面配置完全是兩回事。</w:t>
      </w:r>
    </w:p>
    <w:p w:rsidR="002D50DE" w:rsidRDefault="00A170D5">
      <w:pPr>
        <w:spacing w:after="200" w:line="360" w:lineRule="auto"/>
        <w:jc w:val="both"/>
      </w:pPr>
      <w:r>
        <w:t>這個落差逼出一個必須先想清楚的設計問題：前處理階段，究竟要不要假設字幕出現在畫面的固定位置？這時候訂下的原則，後來變成貫穿整個專案的一條重要準則：不可以預設輸入的內容會是理想、乾淨、方便處理的樣子，必須直接面對真實世界裡各種混亂、不規則的素材。具體落實下來，前處理從原本可能設計成「裁切一小塊固定區域」，改成近乎全畫面處理，把「畫面裡哪裡有文字」這個問題留給後面的辨識引擎自己判斷，而不是在前處理階段就先武斷地縮</w:t>
      </w:r>
      <w:r>
        <w:t>小範圍。</w:t>
      </w:r>
    </w:p>
    <w:p w:rsidR="002D50DE" w:rsidRDefault="00A170D5">
      <w:pPr>
        <w:spacing w:after="200" w:line="360" w:lineRule="auto"/>
        <w:jc w:val="both"/>
      </w:pPr>
      <w:r>
        <w:t>值得一提的是，這個轉折表面上看起來是「偏離規格書的示範情境」，但仔細想想，其實正好</w:t>
      </w:r>
      <w:r>
        <w:lastRenderedPageBreak/>
        <w:t>呼應了規格書自己開宗明義提出的目標</w:t>
      </w:r>
      <w:r>
        <w:t>——</w:t>
      </w:r>
      <w:r>
        <w:t>做一個不依賴任何特定字幕慣例的「環境獨立」系統。規格書給的示範例子，原本就只是用來說明系統「該有什麼能力」，從來不是要限定畫面必須長什麼樣子；面對真實素材選擇不預設固定版位，其實是更忠實地實現了規格書最初的願景，而不是背離它。</w:t>
      </w:r>
    </w:p>
    <w:p w:rsidR="002D50DE" w:rsidRDefault="00A170D5">
      <w:pPr>
        <w:pStyle w:val="1"/>
        <w:spacing w:before="480" w:after="240"/>
      </w:pPr>
      <w:r>
        <w:rPr>
          <w:b/>
          <w:bCs/>
          <w:color w:val="1F4E78"/>
          <w:sz w:val="30"/>
          <w:szCs w:val="30"/>
        </w:rPr>
        <w:t>四、前處理與辨識的原則：保守處理、誠實失敗</w:t>
      </w:r>
    </w:p>
    <w:p w:rsidR="002D50DE" w:rsidRDefault="00A170D5">
      <w:pPr>
        <w:spacing w:after="200" w:line="360" w:lineRule="auto"/>
        <w:jc w:val="both"/>
      </w:pPr>
      <w:r>
        <w:t>延續「不假設理想輸入」的態度，前處理階段接下來要決定的，是影像要「清理」到什麼程度。規格書提到灰階、對比強化、</w:t>
      </w:r>
      <w:r>
        <w:t>去雜訊等處理手法，字面上很容易被理解成「把畫面處理成非黑即白」的強力二值化。但這個專案最終選擇只做灰階與對比強化，刻意不做強制二值化，理由是：現代的文字辨識引擎本身就是以大量資料訓練出來的深度學習模型，面對顏色、對比不一的素材，通常比面對「已經被門檻值破壞掉的資訊」更有韌性；一旦二值化的門檻設得不合適，反而可能把某些顏色搭配的字幕整個洗掉。這反映了一個之後反覆出現的原則：與其在前面用一個簡單、不可逆的規則提早做判斷，不如把資訊盡量完整保留，交給更適合做這個判斷的下游模組去處理。</w:t>
      </w:r>
    </w:p>
    <w:p w:rsidR="002D50DE" w:rsidRDefault="00A170D5">
      <w:pPr>
        <w:spacing w:after="200" w:line="360" w:lineRule="auto"/>
        <w:jc w:val="both"/>
      </w:pPr>
      <w:r>
        <w:t>去雜訊要不要開啟，是專案第一次正式把一個決定「刻意延後」的案例。當時去雜訊對辨識率究竟有沒有幫助根本無從得知（辨識模組都還沒接上），與其用猜的，專案選擇先把決策規則講清楚</w:t>
      </w:r>
      <w:r>
        <w:t>——</w:t>
      </w:r>
      <w:r>
        <w:t>之後只要拿到真實辨識資料，若去雜訊帶來的準確率提升低於某個事先講好的門檻，就直接預設關閉</w:t>
      </w:r>
      <w:r>
        <w:t>——</w:t>
      </w:r>
      <w:r>
        <w:t>再等真正有資料時依規則拍板。這個「先講好判斷標準，再等證據」的順序很關鍵：如果反過來，等資料出來以後才臨時決定門檻，很容易變成看著結果回頭「找理由」，失去了原本要追求的客觀性。</w:t>
      </w:r>
    </w:p>
    <w:p w:rsidR="002D50DE" w:rsidRDefault="00A170D5">
      <w:pPr>
        <w:spacing w:after="200" w:line="360" w:lineRule="auto"/>
        <w:jc w:val="both"/>
      </w:pPr>
      <w:r>
        <w:t>文字辨識引擎的選用上，專案立下一條硬性規定：辨識必須使用</w:t>
      </w:r>
      <w:r>
        <w:t xml:space="preserve"> GPU </w:t>
      </w:r>
      <w:r>
        <w:t>執</w:t>
      </w:r>
      <w:r>
        <w:t>行，一旦偵測不到</w:t>
      </w:r>
      <w:r>
        <w:t xml:space="preserve"> GPU</w:t>
      </w:r>
      <w:r>
        <w:t>，系統要直接、明確地終止，不允許悄悄退回到速度大幅下降的替代方案。這個決定背後的想法是：一個使用者不容易察覺的降速（用一般處理器硬跑）比一個誠實、立即的失敗更</w:t>
      </w:r>
      <w:r>
        <w:lastRenderedPageBreak/>
        <w:t>糟糕，因為使用者可能會誤以為系統只是「有點慢」，而不知道自己根本沒有用到系統原本設計的執行方式，這會直接損害最小可行性產品最在意的「可用性」。這條「寧可誠實失敗，也不要悄悄降級」的原則，後面在第七節會看到，多次以不同形式重新出現。</w:t>
      </w:r>
    </w:p>
    <w:p w:rsidR="002D50DE" w:rsidRDefault="00A170D5">
      <w:pPr>
        <w:spacing w:after="200" w:line="360" w:lineRule="auto"/>
        <w:jc w:val="both"/>
      </w:pPr>
      <w:r>
        <w:t>這個階段也第一次確立了往後整個專案反覆使用的一種分工方式：由於開發過程使用的環境並不具備真正的顯示</w:t>
      </w:r>
      <w:r>
        <w:t>卡與相關硬體，凡是需要真實硬體才能驗證效果的部分，一律先在開發環境裡用替代方案驗證邏輯本身有沒有問題，再把清楚、可重複的操作步驟交給真正擁有硬體的環境執行，並且如實採信那個環境回報的任何數據</w:t>
      </w:r>
      <w:r>
        <w:t>——</w:t>
      </w:r>
      <w:r>
        <w:t>不用猜測、不用假設去覆蓋實測結果。這個分工模式，成為之後每一個牽涉真實效能與真實準確率的階段，共同遵循的節奏。</w:t>
      </w:r>
    </w:p>
    <w:p w:rsidR="002D50DE" w:rsidRDefault="00A170D5">
      <w:pPr>
        <w:pStyle w:val="1"/>
        <w:spacing w:before="480" w:after="240"/>
      </w:pPr>
      <w:r>
        <w:rPr>
          <w:b/>
          <w:bCs/>
          <w:color w:val="1F4E78"/>
          <w:sz w:val="30"/>
          <w:szCs w:val="30"/>
        </w:rPr>
        <w:t>五、語意處理：從規格留白到刻意設計的三通道賽局</w:t>
      </w:r>
    </w:p>
    <w:p w:rsidR="002D50DE" w:rsidRDefault="00A170D5">
      <w:pPr>
        <w:spacing w:after="200" w:line="360" w:lineRule="auto"/>
        <w:jc w:val="both"/>
      </w:pPr>
      <w:r>
        <w:t>如果說前面幾個階段是在補規格書裡「怎麼做」的細節，語意解析這一步，則是整個專案裡規格書留白最大、專案自行擴充最多的一段。規格書對這一步的描述，僅止於「翻譯、拆</w:t>
      </w:r>
      <w:r>
        <w:t>字、查釋義、生例句」這樣的功能性敘述，完全沒有講要用什麼技術、要用本地端還是雲端服務，更沒有講準確率該落在什麼水準。</w:t>
      </w:r>
    </w:p>
    <w:p w:rsidR="002D50DE" w:rsidRDefault="00A170D5">
      <w:pPr>
        <w:spacing w:after="200" w:line="360" w:lineRule="auto"/>
        <w:jc w:val="both"/>
      </w:pPr>
      <w:r>
        <w:t>面對這麼大的一塊留白，專案沒有直接選定一種做法就往下走，而是刻意設計了三條彼此獨立、互不干擾的實作路線，同時蒐集資料、留待日後比較：第一條路線完全仰賴本地端的語言學查詢工具與辭典比對，並且同時嘗試好幾種不同的斷詞引擎，讓它們彼此互相較勁；第二條路線把整句直接交給一個本地執行的大型語言模型一次判斷，不查證任何辭典、完全仰賴模型自身的判斷；第三條路線走折衷路線，預設仍以辭典比對為主，只有辭典查無</w:t>
      </w:r>
      <w:r>
        <w:t>結果時，才求助大型語言模型幫忙推測。三條路線用完全一致的方式記錄各自的耗時、命中率等統計數據，確保日後能放在同一個基準上比較。</w:t>
      </w:r>
    </w:p>
    <w:p w:rsidR="002D50DE" w:rsidRDefault="00A170D5">
      <w:pPr>
        <w:spacing w:after="200" w:line="360" w:lineRule="auto"/>
        <w:jc w:val="both"/>
      </w:pPr>
      <w:r>
        <w:t>這麼做的思考邏輯是：既然規格書沒有給任何選擇標準，而每一種做法各自的速度、涵蓋率、品質、資源成本，實際上都難以憑空預估、只能靠真實素材實際跑過才知道，那麼負責任的做</w:t>
      </w:r>
      <w:r>
        <w:lastRenderedPageBreak/>
        <w:t>法就不是提早拍板，而是讓三條路線都真正做出來、真正跑起來，並且刻意讓它們在架構上完全獨立（不共用可變狀態、執行時間也不重疊），這樣任何一條路線出狀況都不會拖累其他路線；真正該選哪一條，留到蒐集足夠多真實資料之後再做最後判</w:t>
      </w:r>
      <w:r>
        <w:t>斷。這也是整個專案後半段最核心的一場「精心設計的長期實驗」：花了好幾個月的時間，讓三條路線並行蒐集真實資料，唯一的目的就是用證據、而不是直覺，回答「這三種做法裡，究竟哪一種夠格成為系統預設做法」這個問題。</w:t>
      </w:r>
    </w:p>
    <w:p w:rsidR="002D50DE" w:rsidRDefault="00A170D5">
      <w:pPr>
        <w:pStyle w:val="1"/>
        <w:spacing w:before="480" w:after="240"/>
      </w:pPr>
      <w:r>
        <w:rPr>
          <w:b/>
          <w:bCs/>
          <w:color w:val="1F4E78"/>
          <w:sz w:val="30"/>
          <w:szCs w:val="30"/>
        </w:rPr>
        <w:t>六、貫穿全專案的方法論：受控驗證與真實驗證的分工</w:t>
      </w:r>
    </w:p>
    <w:p w:rsidR="002D50DE" w:rsidRDefault="00A170D5">
      <w:pPr>
        <w:spacing w:after="200" w:line="360" w:lineRule="auto"/>
        <w:jc w:val="both"/>
      </w:pPr>
      <w:r>
        <w:t>前面第四節提到的「先驗證邏輯、再驗證真實效果」的分工方式，並不是只出現一次的權宜之計，而是變成貫穿整個專案中後期的固定節奏，每次遇到需要真實硬體或真實服務才能驗證的環節（無論是辨識引擎、本地語言模型、還是韓文斷詞工具），都重複套用同一套做法：先在不具備真實</w:t>
      </w:r>
      <w:r>
        <w:t>硬體的環境裡，用可控的替代品，確認每一條程式邏輯分支、每一種失敗情境都處理得當；再把清楚、可重現的驗證步驟交給真正擁有對應硬體或服務的環境，並且把那裡回報回來的任何數據</w:t>
      </w:r>
      <w:r>
        <w:t>——</w:t>
      </w:r>
      <w:r>
        <w:t>不論是耗時、準確率，還是意料之外的錯誤訊息</w:t>
      </w:r>
      <w:r>
        <w:t>——</w:t>
      </w:r>
      <w:r>
        <w:t>都當成必須誠實面對的第一手證據，不用假設或猜測去覆蓋。</w:t>
      </w:r>
    </w:p>
    <w:p w:rsidR="002D50DE" w:rsidRDefault="00A170D5">
      <w:pPr>
        <w:spacing w:after="200" w:line="360" w:lineRule="auto"/>
        <w:jc w:val="both"/>
      </w:pPr>
      <w:r>
        <w:t>這套方法論解釋了為什麼專案能夠在「開發環境跟正式執行環境並不相同」這個持續存在的限制下，仍然保持穩定的開發節奏；也解釋了專案過程中好幾次「意外發現」（例如某個相依套件沒裝好、某種影片編碼格式無法處理、某個並行執行情境下的邊界情況）的本質</w:t>
      </w:r>
      <w:r>
        <w:t>—</w:t>
      </w:r>
      <w:r>
        <w:t>—</w:t>
      </w:r>
      <w:r>
        <w:t>這些都不是規劃不周的失誤，而是這套分工方式原本就預期會發生的健康結果：凡是只有在真實條件下才會顯現的問題，本來就注定要到真實驗證那一關才會浮現，專案要做的，是誠實地接住這些證據並且據以調整，而不是想辦法迴避它們。</w:t>
      </w:r>
    </w:p>
    <w:p w:rsidR="002D50DE" w:rsidRDefault="00A170D5">
      <w:pPr>
        <w:pStyle w:val="1"/>
        <w:spacing w:before="480" w:after="240"/>
      </w:pPr>
      <w:r>
        <w:rPr>
          <w:b/>
          <w:bCs/>
          <w:color w:val="1F4E78"/>
          <w:sz w:val="30"/>
          <w:szCs w:val="30"/>
        </w:rPr>
        <w:t>七、真實世界的迴響：規格之外，專案自己立下的品管紀律</w:t>
      </w:r>
    </w:p>
    <w:p w:rsidR="002D50DE" w:rsidRDefault="00A170D5">
      <w:pPr>
        <w:spacing w:after="200" w:line="360" w:lineRule="auto"/>
        <w:jc w:val="both"/>
      </w:pPr>
      <w:r>
        <w:t>當系統的網頁介面與後端串接完成、真正進入使用者自己動手操作的階段後，一連串只有在真</w:t>
      </w:r>
      <w:r>
        <w:lastRenderedPageBreak/>
        <w:t>實、完整的使用情境下才會浮現的問題，陸續被發現：一個系統原本就已經明確依賴、卻沒有真的裝好的相依套件，讓系統啟動失敗時只留下一句完全看不出原因的錯誤訊息；一支使</w:t>
      </w:r>
      <w:r>
        <w:t>用了系統當時所在環境無法解碼的影片編碼格式，讓整條處理流程「表面上順利跑完」，實際上卻什麼有效內容都沒擷取到，一路空跑到最後才在很後面的環節炸開一個難以理解的錯誤；以及一個乍看只是「一句話就能說完」的時序去重步驟，實際上悄悄假設了「畫面上同一時間只會有一段文字」，一旦真實素材裡同時出現好幾段文字，這個沒被說出口的假設就會讓同一個詞被錯誤拆成大量零碎、重複的紀錄。</w:t>
      </w:r>
    </w:p>
    <w:p w:rsidR="002D50DE" w:rsidRDefault="00A170D5">
      <w:pPr>
        <w:spacing w:after="200" w:line="360" w:lineRule="auto"/>
        <w:jc w:val="both"/>
      </w:pPr>
      <w:r>
        <w:t>這幾件事表面上原因各不相同，但貫穿其中的是同一種態度：任何讓人搞不清楚狀況的失敗方式，本身就是一個獨立於原始成因之外、值得處理的問題，就算真正的根</w:t>
      </w:r>
      <w:r>
        <w:t>本原因（例如某種影片編碼不受支援）不在專案自己能控制的範圍內，也值得動手修正</w:t>
      </w:r>
      <w:r>
        <w:t>——</w:t>
      </w:r>
      <w:r>
        <w:t>因為一個讓人一頭霧水的失敗模式，會直接侵蝕最小可行性產品最重視的可用性與可信賴感。因此，每一次處理這類問題時，做的都不只是「把眼前這個狀況擋下來」，而是盡量讓系統在問題真正發生的那個環節，就用清楚、明確的方式提前示警，這正是第四節那條「寧可誠實失敗、也不要悄悄帶過」原則的延伸與落實。</w:t>
      </w:r>
    </w:p>
    <w:p w:rsidR="002D50DE" w:rsidRDefault="00A170D5">
      <w:pPr>
        <w:spacing w:after="200" w:line="360" w:lineRule="auto"/>
        <w:jc w:val="both"/>
      </w:pPr>
      <w:r>
        <w:t>而時序去重這個案例，還額外帶來一個值得記下來的方法論教訓：一句話就能描述完的規格，有可能悄悄藏著一個沒被明講的前提假設，而這種假設往往要真的拿真實、混亂的素材去跑過一遍，才會現出原形；同時，同一個表面上看起來一樣的現象（同一個詞怎麼會出現這麼多次），背後也可能同時存在兩種截然不同的成因</w:t>
      </w:r>
      <w:r>
        <w:t>——</w:t>
      </w:r>
      <w:r>
        <w:t>一種是真正的邏輯疏漏，另一種則是辭典本身「一詞多義」所產生的正確結果</w:t>
      </w:r>
      <w:r>
        <w:t>——</w:t>
      </w:r>
      <w:r>
        <w:t>要分辨清楚，同樣得回到真實程式碼與真實資料，而不能單憑印象猜測。這也再次印證了這個專案從頭到尾都在遵守的一條鐵律：任何關於「這個素材裡有什麼內容」的判</w:t>
      </w:r>
      <w:r>
        <w:t>斷，都必須透過系統自己的程式邏輯去驗證，不能用人的肉眼去代替。</w:t>
      </w:r>
    </w:p>
    <w:p w:rsidR="002D50DE" w:rsidRDefault="00A170D5">
      <w:pPr>
        <w:pStyle w:val="1"/>
        <w:spacing w:before="480" w:after="240"/>
      </w:pPr>
      <w:r>
        <w:rPr>
          <w:b/>
          <w:bCs/>
          <w:color w:val="1F4E78"/>
          <w:sz w:val="30"/>
          <w:szCs w:val="30"/>
        </w:rPr>
        <w:t>八、收尾：用數據拍板</w:t>
      </w:r>
      <w:r>
        <w:rPr>
          <w:b/>
          <w:bCs/>
          <w:color w:val="1F4E78"/>
          <w:sz w:val="30"/>
          <w:szCs w:val="30"/>
        </w:rPr>
        <w:t>——</w:t>
      </w:r>
      <w:r>
        <w:rPr>
          <w:b/>
          <w:bCs/>
          <w:color w:val="1F4E78"/>
          <w:sz w:val="30"/>
          <w:szCs w:val="30"/>
        </w:rPr>
        <w:t>最終規格如何呼應最初規劃</w:t>
      </w:r>
    </w:p>
    <w:p w:rsidR="002D50DE" w:rsidRDefault="00A170D5">
      <w:pPr>
        <w:spacing w:after="200" w:line="360" w:lineRule="auto"/>
        <w:jc w:val="both"/>
      </w:pPr>
      <w:r>
        <w:lastRenderedPageBreak/>
        <w:t>到了專案尾聲，過去一路刻意延後的每一個決定，終於到了非拍板不可的時候：去雜訊要不要開、韓文斷詞該用哪一套引擎、三條語意處理路線最終該留哪一條當作預設。這個階段做的事，概念上跟前面幾節一脈相承</w:t>
      </w:r>
      <w:r>
        <w:t>——</w:t>
      </w:r>
      <w:r>
        <w:t>把真實影片實際跑過每一種候選設定組合，再依照事先就講好的判斷標準（而不是憑印象或偏好）選出最終答案，並且對每一項決定，都要求能拿出具體、可追溯的真實數據作為依據。</w:t>
      </w:r>
    </w:p>
    <w:p w:rsidR="002D50DE" w:rsidRDefault="00A170D5">
      <w:pPr>
        <w:spacing w:after="200" w:line="360" w:lineRule="auto"/>
        <w:jc w:val="both"/>
      </w:pPr>
      <w:r>
        <w:t>回頭看，這個收尾階段呼應的其實是整個專案</w:t>
      </w:r>
      <w:r>
        <w:t>最早立下的那條原則</w:t>
      </w:r>
      <w:r>
        <w:t>——</w:t>
      </w:r>
      <w:r>
        <w:t>第二節提到的「先把介面與骨架定好、把需要證據支持的決定明確留白」。當初留白的每一個位置，從來就不是要迴避決定，而是要把決定延後到真正累積出足夠的真實證據為止；專案尾聲這一次總結性的資料驅動決策，正是那份早期紀律最終兌現的成果。</w:t>
      </w:r>
    </w:p>
    <w:p w:rsidR="002D50DE" w:rsidRDefault="00A170D5">
      <w:pPr>
        <w:spacing w:after="200" w:line="360" w:lineRule="auto"/>
        <w:jc w:val="both"/>
      </w:pPr>
      <w:r>
        <w:t>把最終定案的規格拿回去對照最初的規格書，可以看到：最終的系統仍然完整實現了規格書最初設定的願景</w:t>
      </w:r>
      <w:r>
        <w:t>——</w:t>
      </w:r>
      <w:r>
        <w:t>一個不依賴特定字幕慣例的「環境獨立」系統，涵蓋規格書所描述的八個概念性步驟</w:t>
      </w:r>
      <w:r>
        <w:t>——</w:t>
      </w:r>
      <w:r>
        <w:t>同時，也用真實累積下來的證據，一一回答了規格書當初刻意或不經意留下的每一個未定之數：沒</w:t>
      </w:r>
      <w:r>
        <w:t>有預設字幕的固定版位、沒有預先選定的辨識引擎或語意處理方式、也沒有事先給定的準確率門檻。從這個角度看，最終規格與其說是偏離了最初的計畫，不如說是把那份計畫真正完成</w:t>
      </w:r>
      <w:r>
        <w:t>——</w:t>
      </w:r>
      <w:r>
        <w:t>規格書定義了系統概念上該做到什麼，而專案自己建立的這套「先留白、後補證據」的工作方式，則是用規格書自身那種模組化、重視真實證據的精神，去回答規格書自己沒有回答的問題。</w:t>
      </w:r>
    </w:p>
    <w:p w:rsidR="002D50DE" w:rsidRDefault="00A170D5">
      <w:pPr>
        <w:spacing w:after="200" w:line="360" w:lineRule="auto"/>
        <w:jc w:val="both"/>
      </w:pPr>
      <w:r>
        <w:t>值得一提的插曲是：就在專案尾聲、真正要拍板的那一刻，還意外碰上一份看似已經準備好、卻與剛拿到的真實資料互相矛盾的舊分析</w:t>
      </w:r>
      <w:r>
        <w:t>——</w:t>
      </w:r>
      <w:r>
        <w:t>這個關頭選擇相信剛出爐的真實證據、而不是照單全收一份來源</w:t>
      </w:r>
      <w:r>
        <w:t>不明的既有結論，恰好是同一套誠實面對證據的態度，一路貫徹到專案最後一刻的一個小小佐證。</w:t>
      </w:r>
    </w:p>
    <w:p w:rsidR="002D50DE" w:rsidRDefault="00A170D5">
      <w:pPr>
        <w:pStyle w:val="1"/>
        <w:spacing w:before="480" w:after="240"/>
      </w:pPr>
      <w:r>
        <w:rPr>
          <w:b/>
          <w:bCs/>
          <w:color w:val="1F4E78"/>
          <w:sz w:val="30"/>
          <w:szCs w:val="30"/>
        </w:rPr>
        <w:t>九、規格原始構想與最終決定對照</w:t>
      </w:r>
    </w:p>
    <w:p w:rsidR="002D50DE" w:rsidRDefault="00A170D5">
      <w:pPr>
        <w:spacing w:after="200" w:line="360" w:lineRule="auto"/>
        <w:jc w:val="both"/>
      </w:pPr>
      <w:r>
        <w:lastRenderedPageBreak/>
        <w:t>下表把前面幾節逐項提到的轉折，收斂成一份簡明的對照表，方便一次性檢視規格書最初的構想、最終定案的規格，以及串連兩者的核心原則。</w:t>
      </w:r>
    </w:p>
    <w:p w:rsidR="002D50DE" w:rsidRDefault="002D50DE">
      <w:pPr>
        <w:spacing w:before="120" w:after="24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3000"/>
        <w:gridCol w:w="2300"/>
      </w:tblGrid>
      <w:tr w:rsidR="002D50DE">
        <w:tblPrEx>
          <w:tblCellMar>
            <w:top w:w="0" w:type="dxa"/>
            <w:bottom w:w="0" w:type="dxa"/>
          </w:tblCellMar>
        </w:tblPrEx>
        <w:trPr>
          <w:cantSplit/>
          <w:tblHeader/>
        </w:trPr>
        <w:tc>
          <w:tcPr>
            <w:tcW w:w="1600" w:type="dxa"/>
            <w:shd w:val="clear" w:color="auto" w:fill="1F4E78"/>
            <w:tcMar>
              <w:top w:w="100" w:type="dxa"/>
              <w:left w:w="120" w:type="dxa"/>
              <w:bottom w:w="100" w:type="dxa"/>
              <w:right w:w="120" w:type="dxa"/>
            </w:tcMar>
          </w:tcPr>
          <w:p w:rsidR="002D50DE" w:rsidRDefault="00A170D5">
            <w:pPr>
              <w:spacing w:line="300" w:lineRule="auto"/>
            </w:pPr>
            <w:r>
              <w:rPr>
                <w:b/>
                <w:bCs/>
                <w:color w:val="FFFFFF"/>
                <w:sz w:val="20"/>
                <w:szCs w:val="20"/>
              </w:rPr>
              <w:t>面向</w:t>
            </w:r>
          </w:p>
        </w:tc>
        <w:tc>
          <w:tcPr>
            <w:tcW w:w="3000" w:type="dxa"/>
            <w:shd w:val="clear" w:color="auto" w:fill="1F4E78"/>
            <w:tcMar>
              <w:top w:w="100" w:type="dxa"/>
              <w:left w:w="120" w:type="dxa"/>
              <w:bottom w:w="100" w:type="dxa"/>
              <w:right w:w="120" w:type="dxa"/>
            </w:tcMar>
          </w:tcPr>
          <w:p w:rsidR="002D50DE" w:rsidRDefault="00A170D5">
            <w:pPr>
              <w:spacing w:line="300" w:lineRule="auto"/>
            </w:pPr>
            <w:r>
              <w:rPr>
                <w:b/>
                <w:bCs/>
                <w:color w:val="FFFFFF"/>
                <w:sz w:val="20"/>
                <w:szCs w:val="20"/>
              </w:rPr>
              <w:t>規格書最初構想</w:t>
            </w:r>
          </w:p>
        </w:tc>
        <w:tc>
          <w:tcPr>
            <w:tcW w:w="3000" w:type="dxa"/>
            <w:shd w:val="clear" w:color="auto" w:fill="1F4E78"/>
            <w:tcMar>
              <w:top w:w="100" w:type="dxa"/>
              <w:left w:w="120" w:type="dxa"/>
              <w:bottom w:w="100" w:type="dxa"/>
              <w:right w:w="120" w:type="dxa"/>
            </w:tcMar>
          </w:tcPr>
          <w:p w:rsidR="002D50DE" w:rsidRDefault="00A170D5">
            <w:pPr>
              <w:spacing w:line="300" w:lineRule="auto"/>
            </w:pPr>
            <w:r>
              <w:rPr>
                <w:b/>
                <w:bCs/>
                <w:color w:val="FFFFFF"/>
                <w:sz w:val="20"/>
                <w:szCs w:val="20"/>
              </w:rPr>
              <w:t>最終定案規格</w:t>
            </w:r>
          </w:p>
        </w:tc>
        <w:tc>
          <w:tcPr>
            <w:tcW w:w="2300" w:type="dxa"/>
            <w:shd w:val="clear" w:color="auto" w:fill="1F4E78"/>
            <w:tcMar>
              <w:top w:w="100" w:type="dxa"/>
              <w:left w:w="120" w:type="dxa"/>
              <w:bottom w:w="100" w:type="dxa"/>
              <w:right w:w="120" w:type="dxa"/>
            </w:tcMar>
          </w:tcPr>
          <w:p w:rsidR="002D50DE" w:rsidRDefault="00A170D5">
            <w:pPr>
              <w:spacing w:line="300" w:lineRule="auto"/>
            </w:pPr>
            <w:r>
              <w:rPr>
                <w:b/>
                <w:bCs/>
                <w:color w:val="FFFFFF"/>
                <w:sz w:val="20"/>
                <w:szCs w:val="20"/>
              </w:rPr>
              <w:t>轉折的核心原則</w:t>
            </w:r>
          </w:p>
        </w:tc>
      </w:tr>
      <w:tr w:rsidR="002D50DE">
        <w:tblPrEx>
          <w:tblCellMar>
            <w:top w:w="0" w:type="dxa"/>
            <w:bottom w:w="0" w:type="dxa"/>
          </w:tblCellMar>
        </w:tblPrEx>
        <w:trPr>
          <w:cantSplit/>
        </w:trPr>
        <w:tc>
          <w:tcPr>
            <w:tcW w:w="1600" w:type="dxa"/>
            <w:shd w:val="clear" w:color="auto" w:fill="FFFFFF"/>
            <w:tcMar>
              <w:top w:w="100" w:type="dxa"/>
              <w:left w:w="120" w:type="dxa"/>
              <w:bottom w:w="100" w:type="dxa"/>
              <w:right w:w="120" w:type="dxa"/>
            </w:tcMar>
          </w:tcPr>
          <w:p w:rsidR="002D50DE" w:rsidRDefault="00A170D5">
            <w:pPr>
              <w:spacing w:line="300" w:lineRule="auto"/>
            </w:pPr>
            <w:r>
              <w:rPr>
                <w:color w:val="000000"/>
                <w:sz w:val="20"/>
                <w:szCs w:val="20"/>
              </w:rPr>
              <w:t>字幕</w:t>
            </w:r>
            <w:r>
              <w:rPr>
                <w:color w:val="000000"/>
                <w:sz w:val="20"/>
                <w:szCs w:val="20"/>
              </w:rPr>
              <w:t>╱</w:t>
            </w:r>
            <w:r>
              <w:rPr>
                <w:color w:val="000000"/>
                <w:sz w:val="20"/>
                <w:szCs w:val="20"/>
              </w:rPr>
              <w:t>文字版位假設</w:t>
            </w:r>
          </w:p>
        </w:tc>
        <w:tc>
          <w:tcPr>
            <w:tcW w:w="3000" w:type="dxa"/>
            <w:shd w:val="clear" w:color="auto" w:fill="FFFFFF"/>
            <w:tcMar>
              <w:top w:w="100" w:type="dxa"/>
              <w:left w:w="120" w:type="dxa"/>
              <w:bottom w:w="100" w:type="dxa"/>
              <w:right w:w="120" w:type="dxa"/>
            </w:tcMar>
          </w:tcPr>
          <w:p w:rsidR="002D50DE" w:rsidRDefault="00A170D5">
            <w:pPr>
              <w:spacing w:line="300" w:lineRule="auto"/>
            </w:pPr>
            <w:r>
              <w:rPr>
                <w:color w:val="000000"/>
                <w:sz w:val="20"/>
                <w:szCs w:val="20"/>
              </w:rPr>
              <w:t>示範例子隱含畫面下方一小塊固定字幕區域</w:t>
            </w:r>
          </w:p>
        </w:tc>
        <w:tc>
          <w:tcPr>
            <w:tcW w:w="3000" w:type="dxa"/>
            <w:shd w:val="clear" w:color="auto" w:fill="FFFFFF"/>
            <w:tcMar>
              <w:top w:w="100" w:type="dxa"/>
              <w:left w:w="120" w:type="dxa"/>
              <w:bottom w:w="100" w:type="dxa"/>
              <w:right w:w="120" w:type="dxa"/>
            </w:tcMar>
          </w:tcPr>
          <w:p w:rsidR="002D50DE" w:rsidRDefault="00A170D5">
            <w:pPr>
              <w:spacing w:line="300" w:lineRule="auto"/>
            </w:pPr>
            <w:r>
              <w:rPr>
                <w:color w:val="000000"/>
                <w:sz w:val="20"/>
                <w:szCs w:val="20"/>
              </w:rPr>
              <w:t>近乎全畫面處理，不預設任何固定版位</w:t>
            </w:r>
          </w:p>
        </w:tc>
        <w:tc>
          <w:tcPr>
            <w:tcW w:w="2300" w:type="dxa"/>
            <w:shd w:val="clear" w:color="auto" w:fill="FFFFFF"/>
            <w:tcMar>
              <w:top w:w="100" w:type="dxa"/>
              <w:left w:w="120" w:type="dxa"/>
              <w:bottom w:w="100" w:type="dxa"/>
              <w:right w:w="120" w:type="dxa"/>
            </w:tcMar>
          </w:tcPr>
          <w:p w:rsidR="002D50DE" w:rsidRDefault="00A170D5">
            <w:pPr>
              <w:spacing w:line="300" w:lineRule="auto"/>
            </w:pPr>
            <w:r>
              <w:rPr>
                <w:color w:val="000000"/>
                <w:sz w:val="20"/>
                <w:szCs w:val="20"/>
              </w:rPr>
              <w:t>不可預設輸入為理想狀況；忠於「環境獨立」的原始目標</w:t>
            </w:r>
          </w:p>
        </w:tc>
      </w:tr>
      <w:tr w:rsidR="002D50DE">
        <w:tblPrEx>
          <w:tblCellMar>
            <w:top w:w="0" w:type="dxa"/>
            <w:bottom w:w="0" w:type="dxa"/>
          </w:tblCellMar>
        </w:tblPrEx>
        <w:trPr>
          <w:cantSplit/>
        </w:trPr>
        <w:tc>
          <w:tcPr>
            <w:tcW w:w="1600" w:type="dxa"/>
            <w:shd w:val="clear" w:color="auto" w:fill="FFFFFF"/>
            <w:tcMar>
              <w:top w:w="100" w:type="dxa"/>
              <w:left w:w="120" w:type="dxa"/>
              <w:bottom w:w="100" w:type="dxa"/>
              <w:right w:w="120" w:type="dxa"/>
            </w:tcMar>
          </w:tcPr>
          <w:p w:rsidR="002D50DE" w:rsidRDefault="00A170D5">
            <w:pPr>
              <w:spacing w:line="300" w:lineRule="auto"/>
            </w:pPr>
            <w:r>
              <w:rPr>
                <w:color w:val="000000"/>
                <w:sz w:val="20"/>
                <w:szCs w:val="20"/>
              </w:rPr>
              <w:t>影像前處理程度</w:t>
            </w:r>
          </w:p>
        </w:tc>
        <w:tc>
          <w:tcPr>
            <w:tcW w:w="3000" w:type="dxa"/>
            <w:shd w:val="clear" w:color="auto" w:fill="FFFFFF"/>
            <w:tcMar>
              <w:top w:w="100" w:type="dxa"/>
              <w:left w:w="120" w:type="dxa"/>
              <w:bottom w:w="100" w:type="dxa"/>
              <w:right w:w="120" w:type="dxa"/>
            </w:tcMar>
          </w:tcPr>
          <w:p w:rsidR="002D50DE" w:rsidRDefault="00A170D5">
            <w:pPr>
              <w:spacing w:line="300" w:lineRule="auto"/>
            </w:pPr>
            <w:r>
              <w:rPr>
                <w:color w:val="000000"/>
                <w:sz w:val="20"/>
                <w:szCs w:val="20"/>
              </w:rPr>
              <w:t>文字敘述可解讀為灰階／對比強化／去雜訊／二值化等強力清理</w:t>
            </w:r>
          </w:p>
        </w:tc>
        <w:tc>
          <w:tcPr>
            <w:tcW w:w="3000" w:type="dxa"/>
            <w:shd w:val="clear" w:color="auto" w:fill="FFFFFF"/>
            <w:tcMar>
              <w:top w:w="100" w:type="dxa"/>
              <w:left w:w="120" w:type="dxa"/>
              <w:bottom w:w="100" w:type="dxa"/>
              <w:right w:w="120" w:type="dxa"/>
            </w:tcMar>
          </w:tcPr>
          <w:p w:rsidR="002D50DE" w:rsidRDefault="00A170D5">
            <w:pPr>
              <w:spacing w:line="300" w:lineRule="auto"/>
            </w:pPr>
            <w:r>
              <w:rPr>
                <w:color w:val="000000"/>
                <w:sz w:val="20"/>
                <w:szCs w:val="20"/>
              </w:rPr>
              <w:t>僅灰階＋對比強化，不做強制二值化；去雜訊是否開啟留待實測</w:t>
            </w:r>
          </w:p>
        </w:tc>
        <w:tc>
          <w:tcPr>
            <w:tcW w:w="2300" w:type="dxa"/>
            <w:shd w:val="clear" w:color="auto" w:fill="FFFFFF"/>
            <w:tcMar>
              <w:top w:w="100" w:type="dxa"/>
              <w:left w:w="120" w:type="dxa"/>
              <w:bottom w:w="100" w:type="dxa"/>
              <w:right w:w="120" w:type="dxa"/>
            </w:tcMar>
          </w:tcPr>
          <w:p w:rsidR="002D50DE" w:rsidRDefault="00A170D5">
            <w:pPr>
              <w:spacing w:line="300" w:lineRule="auto"/>
            </w:pPr>
            <w:r>
              <w:rPr>
                <w:color w:val="000000"/>
                <w:sz w:val="20"/>
                <w:szCs w:val="20"/>
              </w:rPr>
              <w:t>保留資訊優於提早做出不可逆的判斷；決策規則先講好，再等證據</w:t>
            </w:r>
          </w:p>
        </w:tc>
      </w:tr>
      <w:tr w:rsidR="002D50DE">
        <w:tblPrEx>
          <w:tblCellMar>
            <w:top w:w="0" w:type="dxa"/>
            <w:bottom w:w="0" w:type="dxa"/>
          </w:tblCellMar>
        </w:tblPrEx>
        <w:trPr>
          <w:cantSplit/>
        </w:trPr>
        <w:tc>
          <w:tcPr>
            <w:tcW w:w="1600" w:type="dxa"/>
            <w:shd w:val="clear" w:color="auto" w:fill="FFFFFF"/>
            <w:tcMar>
              <w:top w:w="100" w:type="dxa"/>
              <w:left w:w="120" w:type="dxa"/>
              <w:bottom w:w="100" w:type="dxa"/>
              <w:right w:w="120" w:type="dxa"/>
            </w:tcMar>
          </w:tcPr>
          <w:p w:rsidR="002D50DE" w:rsidRDefault="00A170D5">
            <w:pPr>
              <w:spacing w:line="300" w:lineRule="auto"/>
            </w:pPr>
            <w:r>
              <w:rPr>
                <w:color w:val="000000"/>
                <w:sz w:val="20"/>
                <w:szCs w:val="20"/>
              </w:rPr>
              <w:t>辨識引擎與硬體</w:t>
            </w:r>
          </w:p>
        </w:tc>
        <w:tc>
          <w:tcPr>
            <w:tcW w:w="3000" w:type="dxa"/>
            <w:shd w:val="clear" w:color="auto" w:fill="FFFFFF"/>
            <w:tcMar>
              <w:top w:w="100" w:type="dxa"/>
              <w:left w:w="120" w:type="dxa"/>
              <w:bottom w:w="100" w:type="dxa"/>
              <w:right w:w="120" w:type="dxa"/>
            </w:tcMar>
          </w:tcPr>
          <w:p w:rsidR="002D50DE" w:rsidRDefault="00A170D5">
            <w:pPr>
              <w:spacing w:line="300" w:lineRule="auto"/>
            </w:pPr>
            <w:r>
              <w:rPr>
                <w:color w:val="000000"/>
                <w:sz w:val="20"/>
                <w:szCs w:val="20"/>
              </w:rPr>
              <w:t>未指定必須使用何種硬體</w:t>
            </w:r>
          </w:p>
        </w:tc>
        <w:tc>
          <w:tcPr>
            <w:tcW w:w="3000" w:type="dxa"/>
            <w:shd w:val="clear" w:color="auto" w:fill="FFFFFF"/>
            <w:tcMar>
              <w:top w:w="100" w:type="dxa"/>
              <w:left w:w="120" w:type="dxa"/>
              <w:bottom w:w="100" w:type="dxa"/>
              <w:right w:w="120" w:type="dxa"/>
            </w:tcMar>
          </w:tcPr>
          <w:p w:rsidR="002D50DE" w:rsidRDefault="00A170D5">
            <w:pPr>
              <w:spacing w:line="300" w:lineRule="auto"/>
            </w:pPr>
            <w:r>
              <w:rPr>
                <w:color w:val="000000"/>
                <w:sz w:val="20"/>
                <w:szCs w:val="20"/>
              </w:rPr>
              <w:t>強制要求</w:t>
            </w:r>
            <w:r>
              <w:rPr>
                <w:color w:val="000000"/>
                <w:sz w:val="20"/>
                <w:szCs w:val="20"/>
              </w:rPr>
              <w:t xml:space="preserve"> GPU</w:t>
            </w:r>
            <w:r>
              <w:rPr>
                <w:color w:val="000000"/>
                <w:sz w:val="20"/>
                <w:szCs w:val="20"/>
              </w:rPr>
              <w:t>，偵測不到即刻終止，不悄悄降級為替代方案</w:t>
            </w:r>
          </w:p>
        </w:tc>
        <w:tc>
          <w:tcPr>
            <w:tcW w:w="2300" w:type="dxa"/>
            <w:shd w:val="clear" w:color="auto" w:fill="FFFFFF"/>
            <w:tcMar>
              <w:top w:w="100" w:type="dxa"/>
              <w:left w:w="120" w:type="dxa"/>
              <w:bottom w:w="100" w:type="dxa"/>
              <w:right w:w="120" w:type="dxa"/>
            </w:tcMar>
          </w:tcPr>
          <w:p w:rsidR="002D50DE" w:rsidRDefault="00A170D5">
            <w:pPr>
              <w:spacing w:line="300" w:lineRule="auto"/>
            </w:pPr>
            <w:r>
              <w:rPr>
                <w:color w:val="000000"/>
                <w:sz w:val="20"/>
                <w:szCs w:val="20"/>
              </w:rPr>
              <w:t>誠實失敗優於使用者難以察覺的效能劣化</w:t>
            </w:r>
          </w:p>
        </w:tc>
      </w:tr>
      <w:tr w:rsidR="002D50DE">
        <w:tblPrEx>
          <w:tblCellMar>
            <w:top w:w="0" w:type="dxa"/>
            <w:bottom w:w="0" w:type="dxa"/>
          </w:tblCellMar>
        </w:tblPrEx>
        <w:trPr>
          <w:cantSplit/>
        </w:trPr>
        <w:tc>
          <w:tcPr>
            <w:tcW w:w="1600" w:type="dxa"/>
            <w:shd w:val="clear" w:color="auto" w:fill="FFFFFF"/>
            <w:tcMar>
              <w:top w:w="100" w:type="dxa"/>
              <w:left w:w="120" w:type="dxa"/>
              <w:bottom w:w="100" w:type="dxa"/>
              <w:right w:w="120" w:type="dxa"/>
            </w:tcMar>
          </w:tcPr>
          <w:p w:rsidR="002D50DE" w:rsidRDefault="00A170D5">
            <w:pPr>
              <w:spacing w:line="300" w:lineRule="auto"/>
            </w:pPr>
            <w:r>
              <w:rPr>
                <w:color w:val="000000"/>
                <w:sz w:val="20"/>
                <w:szCs w:val="20"/>
              </w:rPr>
              <w:t>語意解析做法</w:t>
            </w:r>
          </w:p>
        </w:tc>
        <w:tc>
          <w:tcPr>
            <w:tcW w:w="3000" w:type="dxa"/>
            <w:shd w:val="clear" w:color="auto" w:fill="FFFFFF"/>
            <w:tcMar>
              <w:top w:w="100" w:type="dxa"/>
              <w:left w:w="120" w:type="dxa"/>
              <w:bottom w:w="100" w:type="dxa"/>
              <w:right w:w="120" w:type="dxa"/>
            </w:tcMar>
          </w:tcPr>
          <w:p w:rsidR="002D50DE" w:rsidRDefault="00A170D5">
            <w:pPr>
              <w:spacing w:line="300" w:lineRule="auto"/>
            </w:pPr>
            <w:r>
              <w:rPr>
                <w:color w:val="000000"/>
                <w:sz w:val="20"/>
                <w:szCs w:val="20"/>
              </w:rPr>
              <w:t>僅描述功能（翻譯／拆字／釋義／例句），未指定技術路線</w:t>
            </w:r>
          </w:p>
        </w:tc>
        <w:tc>
          <w:tcPr>
            <w:tcW w:w="3000" w:type="dxa"/>
            <w:shd w:val="clear" w:color="auto" w:fill="FFFFFF"/>
            <w:tcMar>
              <w:top w:w="100" w:type="dxa"/>
              <w:left w:w="120" w:type="dxa"/>
              <w:bottom w:w="100" w:type="dxa"/>
              <w:right w:w="120" w:type="dxa"/>
            </w:tcMar>
          </w:tcPr>
          <w:p w:rsidR="002D50DE" w:rsidRDefault="00A170D5">
            <w:pPr>
              <w:spacing w:line="300" w:lineRule="auto"/>
            </w:pPr>
            <w:r>
              <w:rPr>
                <w:color w:val="000000"/>
                <w:sz w:val="20"/>
                <w:szCs w:val="20"/>
              </w:rPr>
              <w:t>三條獨立路線（本地辭典比對／本地大型語言模型／兩者混合）並行蒐集真實資料，專案尾聲擇一</w:t>
            </w:r>
          </w:p>
        </w:tc>
        <w:tc>
          <w:tcPr>
            <w:tcW w:w="2300" w:type="dxa"/>
            <w:shd w:val="clear" w:color="auto" w:fill="FFFFFF"/>
            <w:tcMar>
              <w:top w:w="100" w:type="dxa"/>
              <w:left w:w="120" w:type="dxa"/>
              <w:bottom w:w="100" w:type="dxa"/>
              <w:right w:w="120" w:type="dxa"/>
            </w:tcMar>
          </w:tcPr>
          <w:p w:rsidR="002D50DE" w:rsidRDefault="00A170D5">
            <w:pPr>
              <w:spacing w:line="300" w:lineRule="auto"/>
            </w:pPr>
            <w:r>
              <w:rPr>
                <w:color w:val="000000"/>
                <w:sz w:val="20"/>
                <w:szCs w:val="20"/>
              </w:rPr>
              <w:t>沒有選擇標準時不提早拍板；讓真實證據決定，而非直覺</w:t>
            </w:r>
          </w:p>
        </w:tc>
      </w:tr>
      <w:tr w:rsidR="002D50DE">
        <w:tblPrEx>
          <w:tblCellMar>
            <w:top w:w="0" w:type="dxa"/>
            <w:bottom w:w="0" w:type="dxa"/>
          </w:tblCellMar>
        </w:tblPrEx>
        <w:trPr>
          <w:cantSplit/>
        </w:trPr>
        <w:tc>
          <w:tcPr>
            <w:tcW w:w="1600" w:type="dxa"/>
            <w:shd w:val="clear" w:color="auto" w:fill="FFFFFF"/>
            <w:tcMar>
              <w:top w:w="100" w:type="dxa"/>
              <w:left w:w="120" w:type="dxa"/>
              <w:bottom w:w="100" w:type="dxa"/>
              <w:right w:w="120" w:type="dxa"/>
            </w:tcMar>
          </w:tcPr>
          <w:p w:rsidR="002D50DE" w:rsidRDefault="00A170D5">
            <w:pPr>
              <w:spacing w:line="300" w:lineRule="auto"/>
            </w:pPr>
            <w:r>
              <w:rPr>
                <w:color w:val="000000"/>
                <w:sz w:val="20"/>
                <w:szCs w:val="20"/>
              </w:rPr>
              <w:t>品質與效能門檻</w:t>
            </w:r>
          </w:p>
        </w:tc>
        <w:tc>
          <w:tcPr>
            <w:tcW w:w="3000" w:type="dxa"/>
            <w:shd w:val="clear" w:color="auto" w:fill="FFFFFF"/>
            <w:tcMar>
              <w:top w:w="100" w:type="dxa"/>
              <w:left w:w="120" w:type="dxa"/>
              <w:bottom w:w="100" w:type="dxa"/>
              <w:right w:w="120" w:type="dxa"/>
            </w:tcMar>
          </w:tcPr>
          <w:p w:rsidR="002D50DE" w:rsidRDefault="00A170D5">
            <w:pPr>
              <w:spacing w:line="300" w:lineRule="auto"/>
            </w:pPr>
            <w:r>
              <w:rPr>
                <w:color w:val="000000"/>
                <w:sz w:val="20"/>
                <w:szCs w:val="20"/>
              </w:rPr>
              <w:t xml:space="preserve">MVP </w:t>
            </w:r>
            <w:r>
              <w:rPr>
                <w:color w:val="000000"/>
                <w:sz w:val="20"/>
                <w:szCs w:val="20"/>
              </w:rPr>
              <w:t>僅為功能性檢查清單，未附帶任何數字門檻</w:t>
            </w:r>
          </w:p>
        </w:tc>
        <w:tc>
          <w:tcPr>
            <w:tcW w:w="3000" w:type="dxa"/>
            <w:shd w:val="clear" w:color="auto" w:fill="FFFFFF"/>
            <w:tcMar>
              <w:top w:w="100" w:type="dxa"/>
              <w:left w:w="120" w:type="dxa"/>
              <w:bottom w:w="100" w:type="dxa"/>
              <w:right w:w="120" w:type="dxa"/>
            </w:tcMar>
          </w:tcPr>
          <w:p w:rsidR="002D50DE" w:rsidRDefault="00A170D5">
            <w:pPr>
              <w:spacing w:line="300" w:lineRule="auto"/>
            </w:pPr>
            <w:r>
              <w:rPr>
                <w:color w:val="000000"/>
                <w:sz w:val="20"/>
                <w:szCs w:val="20"/>
              </w:rPr>
              <w:t>各階段自行建立可測量的代理指標與決策門檻（如字典命中率、時間預算比）</w:t>
            </w:r>
          </w:p>
        </w:tc>
        <w:tc>
          <w:tcPr>
            <w:tcW w:w="2300" w:type="dxa"/>
            <w:shd w:val="clear" w:color="auto" w:fill="FFFFFF"/>
            <w:tcMar>
              <w:top w:w="100" w:type="dxa"/>
              <w:left w:w="120" w:type="dxa"/>
              <w:bottom w:w="100" w:type="dxa"/>
              <w:right w:w="120" w:type="dxa"/>
            </w:tcMar>
          </w:tcPr>
          <w:p w:rsidR="002D50DE" w:rsidRDefault="00A170D5">
            <w:pPr>
              <w:spacing w:line="300" w:lineRule="auto"/>
            </w:pPr>
            <w:r>
              <w:rPr>
                <w:color w:val="000000"/>
                <w:sz w:val="20"/>
                <w:szCs w:val="20"/>
              </w:rPr>
              <w:t>用可從真實系統量測到的指標，補上規格書留白的「多好才算好」</w:t>
            </w:r>
          </w:p>
        </w:tc>
      </w:tr>
      <w:tr w:rsidR="002D50DE">
        <w:tblPrEx>
          <w:tblCellMar>
            <w:top w:w="0" w:type="dxa"/>
            <w:bottom w:w="0" w:type="dxa"/>
          </w:tblCellMar>
        </w:tblPrEx>
        <w:trPr>
          <w:cantSplit/>
        </w:trPr>
        <w:tc>
          <w:tcPr>
            <w:tcW w:w="1600" w:type="dxa"/>
            <w:shd w:val="clear" w:color="auto" w:fill="FFFFFF"/>
            <w:tcMar>
              <w:top w:w="100" w:type="dxa"/>
              <w:left w:w="120" w:type="dxa"/>
              <w:bottom w:w="100" w:type="dxa"/>
              <w:right w:w="120" w:type="dxa"/>
            </w:tcMar>
          </w:tcPr>
          <w:p w:rsidR="002D50DE" w:rsidRDefault="00A170D5">
            <w:pPr>
              <w:spacing w:line="300" w:lineRule="auto"/>
            </w:pPr>
            <w:r>
              <w:rPr>
                <w:color w:val="000000"/>
                <w:sz w:val="20"/>
                <w:szCs w:val="20"/>
              </w:rPr>
              <w:t>最終方案的拍板方式</w:t>
            </w:r>
          </w:p>
        </w:tc>
        <w:tc>
          <w:tcPr>
            <w:tcW w:w="3000" w:type="dxa"/>
            <w:shd w:val="clear" w:color="auto" w:fill="FFFFFF"/>
            <w:tcMar>
              <w:top w:w="100" w:type="dxa"/>
              <w:left w:w="120" w:type="dxa"/>
              <w:bottom w:w="100" w:type="dxa"/>
              <w:right w:w="120" w:type="dxa"/>
            </w:tcMar>
          </w:tcPr>
          <w:p w:rsidR="002D50DE" w:rsidRDefault="00A170D5">
            <w:pPr>
              <w:spacing w:line="300" w:lineRule="auto"/>
            </w:pPr>
            <w:r>
              <w:rPr>
                <w:color w:val="000000"/>
                <w:sz w:val="20"/>
                <w:szCs w:val="20"/>
              </w:rPr>
              <w:t>未提及「多方案比較」的概念</w:t>
            </w:r>
          </w:p>
        </w:tc>
        <w:tc>
          <w:tcPr>
            <w:tcW w:w="3000" w:type="dxa"/>
            <w:shd w:val="clear" w:color="auto" w:fill="FFFFFF"/>
            <w:tcMar>
              <w:top w:w="100" w:type="dxa"/>
              <w:left w:w="120" w:type="dxa"/>
              <w:bottom w:w="100" w:type="dxa"/>
              <w:right w:w="120" w:type="dxa"/>
            </w:tcMar>
          </w:tcPr>
          <w:p w:rsidR="002D50DE" w:rsidRDefault="00A170D5">
            <w:pPr>
              <w:spacing w:line="300" w:lineRule="auto"/>
            </w:pPr>
            <w:r>
              <w:rPr>
                <w:color w:val="000000"/>
                <w:sz w:val="20"/>
                <w:szCs w:val="20"/>
              </w:rPr>
              <w:t>以真實影片、統一標準逐一比較，公開紀錄依據後才拍板</w:t>
            </w:r>
          </w:p>
        </w:tc>
        <w:tc>
          <w:tcPr>
            <w:tcW w:w="2300" w:type="dxa"/>
            <w:shd w:val="clear" w:color="auto" w:fill="FFFFFF"/>
            <w:tcMar>
              <w:top w:w="100" w:type="dxa"/>
              <w:left w:w="120" w:type="dxa"/>
              <w:bottom w:w="100" w:type="dxa"/>
              <w:right w:w="120" w:type="dxa"/>
            </w:tcMar>
          </w:tcPr>
          <w:p w:rsidR="002D50DE" w:rsidRDefault="00A170D5">
            <w:pPr>
              <w:spacing w:line="300" w:lineRule="auto"/>
            </w:pPr>
            <w:r>
              <w:rPr>
                <w:color w:val="000000"/>
                <w:sz w:val="20"/>
                <w:szCs w:val="20"/>
              </w:rPr>
              <w:t>早期刻意留白的每一個決定，最終都靠真實資料兌現</w:t>
            </w:r>
          </w:p>
        </w:tc>
      </w:tr>
    </w:tbl>
    <w:p w:rsidR="002D50DE" w:rsidRDefault="002D50DE">
      <w:pPr>
        <w:spacing w:before="300"/>
      </w:pPr>
    </w:p>
    <w:p w:rsidR="002D50DE" w:rsidRDefault="00A170D5">
      <w:pPr>
        <w:pStyle w:val="1"/>
        <w:spacing w:before="480" w:after="240"/>
      </w:pPr>
      <w:r>
        <w:rPr>
          <w:b/>
          <w:bCs/>
          <w:color w:val="1F4E78"/>
          <w:sz w:val="30"/>
          <w:szCs w:val="30"/>
        </w:rPr>
        <w:t>結語</w:t>
      </w:r>
    </w:p>
    <w:p w:rsidR="002D50DE" w:rsidRDefault="00A170D5">
      <w:pPr>
        <w:spacing w:after="200" w:line="360" w:lineRule="auto"/>
        <w:jc w:val="both"/>
      </w:pPr>
      <w:r>
        <w:t>整段研發歷程，若只看最後交付的系統，很容易誤以為許多設計是逐步「修正」規格書而來；</w:t>
      </w:r>
      <w:r>
        <w:lastRenderedPageBreak/>
        <w:t>但把整個過程攤開來看，會發現真正的主線其實只有一條：把規格書明確交代的部分老實做好，把規格書留白或無法預先判斷的部分，用清楚的原則延後決定，直到真正累積出經得起檢驗的證據，才回頭補上答案。從最一開始的三項架構原則，到專案尾聲那一次總結性的資料驅動決策，這條主線走得相當一致，也是這份報告想要記錄下來、最值得留下的部分。</w:t>
      </w:r>
    </w:p>
    <w:sectPr w:rsidR="002D50DE">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70D5" w:rsidRDefault="00A170D5" w:rsidP="00D509C9">
      <w:r>
        <w:separator/>
      </w:r>
    </w:p>
  </w:endnote>
  <w:endnote w:type="continuationSeparator" w:id="0">
    <w:p w:rsidR="00A170D5" w:rsidRDefault="00A170D5" w:rsidP="00D50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微軟正黑體">
    <w:panose1 w:val="020B0604030504040204"/>
    <w:charset w:val="88"/>
    <w:family w:val="swiss"/>
    <w:pitch w:val="variable"/>
    <w:sig w:usb0="000002A7" w:usb1="28CF44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70D5" w:rsidRDefault="00A170D5" w:rsidP="00D509C9">
      <w:r>
        <w:separator/>
      </w:r>
    </w:p>
  </w:footnote>
  <w:footnote w:type="continuationSeparator" w:id="0">
    <w:p w:rsidR="00A170D5" w:rsidRDefault="00A170D5" w:rsidP="00D509C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2636F1"/>
    <w:multiLevelType w:val="hybridMultilevel"/>
    <w:tmpl w:val="DB8ACEAC"/>
    <w:lvl w:ilvl="0" w:tplc="19C0511E">
      <w:start w:val="1"/>
      <w:numFmt w:val="bullet"/>
      <w:lvlText w:val="●"/>
      <w:lvlJc w:val="left"/>
      <w:pPr>
        <w:ind w:left="720" w:hanging="360"/>
      </w:pPr>
    </w:lvl>
    <w:lvl w:ilvl="1" w:tplc="7486D5E0">
      <w:start w:val="1"/>
      <w:numFmt w:val="bullet"/>
      <w:lvlText w:val="○"/>
      <w:lvlJc w:val="left"/>
      <w:pPr>
        <w:ind w:left="1440" w:hanging="360"/>
      </w:pPr>
    </w:lvl>
    <w:lvl w:ilvl="2" w:tplc="906E6EA0">
      <w:start w:val="1"/>
      <w:numFmt w:val="bullet"/>
      <w:lvlText w:val="■"/>
      <w:lvlJc w:val="left"/>
      <w:pPr>
        <w:ind w:left="2160" w:hanging="360"/>
      </w:pPr>
    </w:lvl>
    <w:lvl w:ilvl="3" w:tplc="5282D64A">
      <w:start w:val="1"/>
      <w:numFmt w:val="bullet"/>
      <w:lvlText w:val="●"/>
      <w:lvlJc w:val="left"/>
      <w:pPr>
        <w:ind w:left="2880" w:hanging="360"/>
      </w:pPr>
    </w:lvl>
    <w:lvl w:ilvl="4" w:tplc="6AE404D4">
      <w:start w:val="1"/>
      <w:numFmt w:val="bullet"/>
      <w:lvlText w:val="○"/>
      <w:lvlJc w:val="left"/>
      <w:pPr>
        <w:ind w:left="3600" w:hanging="360"/>
      </w:pPr>
    </w:lvl>
    <w:lvl w:ilvl="5" w:tplc="B4ACD028">
      <w:start w:val="1"/>
      <w:numFmt w:val="bullet"/>
      <w:lvlText w:val="■"/>
      <w:lvlJc w:val="left"/>
      <w:pPr>
        <w:ind w:left="4320" w:hanging="360"/>
      </w:pPr>
    </w:lvl>
    <w:lvl w:ilvl="6" w:tplc="46688DD4">
      <w:start w:val="1"/>
      <w:numFmt w:val="bullet"/>
      <w:lvlText w:val="●"/>
      <w:lvlJc w:val="left"/>
      <w:pPr>
        <w:ind w:left="5040" w:hanging="360"/>
      </w:pPr>
    </w:lvl>
    <w:lvl w:ilvl="7" w:tplc="6B10AF3E">
      <w:start w:val="1"/>
      <w:numFmt w:val="bullet"/>
      <w:lvlText w:val="●"/>
      <w:lvlJc w:val="left"/>
      <w:pPr>
        <w:ind w:left="5760" w:hanging="360"/>
      </w:pPr>
    </w:lvl>
    <w:lvl w:ilvl="8" w:tplc="4DFAC91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bordersDoNotSurroundHeader/>
  <w:bordersDoNotSurroundFooter/>
  <w:defaultTabStop w:val="48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0DE"/>
    <w:rsid w:val="002D50DE"/>
    <w:rsid w:val="00A170D5"/>
    <w:rsid w:val="00C97BE6"/>
    <w:rsid w:val="00D509C9"/>
    <w:rsid w:val="00EC21F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1D9515E-C6A0-40EC-9C82-C15B7731A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微軟正黑體" w:eastAsia="微軟正黑體" w:hAnsi="微軟正黑體" w:cs="微軟正黑體"/>
        <w:sz w:val="22"/>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D509C9"/>
    <w:pPr>
      <w:tabs>
        <w:tab w:val="center" w:pos="4153"/>
        <w:tab w:val="right" w:pos="8306"/>
      </w:tabs>
      <w:snapToGrid w:val="0"/>
    </w:pPr>
    <w:rPr>
      <w:sz w:val="20"/>
      <w:szCs w:val="20"/>
    </w:rPr>
  </w:style>
  <w:style w:type="character" w:customStyle="1" w:styleId="ad">
    <w:name w:val="頁首 字元"/>
    <w:basedOn w:val="a0"/>
    <w:link w:val="ac"/>
    <w:uiPriority w:val="99"/>
    <w:rsid w:val="00D509C9"/>
    <w:rPr>
      <w:sz w:val="20"/>
      <w:szCs w:val="20"/>
    </w:rPr>
  </w:style>
  <w:style w:type="paragraph" w:styleId="ae">
    <w:name w:val="footer"/>
    <w:basedOn w:val="a"/>
    <w:link w:val="af"/>
    <w:uiPriority w:val="99"/>
    <w:unhideWhenUsed/>
    <w:rsid w:val="00D509C9"/>
    <w:pPr>
      <w:tabs>
        <w:tab w:val="center" w:pos="4153"/>
        <w:tab w:val="right" w:pos="8306"/>
      </w:tabs>
      <w:snapToGrid w:val="0"/>
    </w:pPr>
    <w:rPr>
      <w:sz w:val="20"/>
      <w:szCs w:val="20"/>
    </w:rPr>
  </w:style>
  <w:style w:type="character" w:customStyle="1" w:styleId="af">
    <w:name w:val="頁尾 字元"/>
    <w:basedOn w:val="a0"/>
    <w:link w:val="ae"/>
    <w:uiPriority w:val="99"/>
    <w:rsid w:val="00D509C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11</Pages>
  <Words>1083</Words>
  <Characters>6174</Characters>
  <Application>Microsoft Office Word</Application>
  <DocSecurity>0</DocSecurity>
  <Lines>51</Lines>
  <Paragraphs>14</Paragraphs>
  <ScaleCrop>false</ScaleCrop>
  <Company/>
  <LinksUpToDate>false</LinksUpToDate>
  <CharactersWithSpaces>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使用者</cp:lastModifiedBy>
  <cp:revision>3</cp:revision>
  <dcterms:created xsi:type="dcterms:W3CDTF">2026-08-29T08:13:00Z</dcterms:created>
  <dcterms:modified xsi:type="dcterms:W3CDTF">2026-08-29T08:39:00Z</dcterms:modified>
</cp:coreProperties>
</file>