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DF256" w14:textId="77777777" w:rsidR="001743E9" w:rsidRPr="00CD5036" w:rsidRDefault="001743E9">
      <w:pPr>
        <w:spacing w:line="200" w:lineRule="exact"/>
        <w:rPr>
          <w:rFonts w:asciiTheme="minorHAnsi" w:hAnsiTheme="minorHAnsi" w:cstheme="minorHAnsi"/>
          <w:sz w:val="22"/>
          <w:szCs w:val="22"/>
          <w:lang w:val="es-CO"/>
        </w:rPr>
      </w:pPr>
    </w:p>
    <w:p w14:paraId="7D06A8E0" w14:textId="77777777" w:rsidR="001743E9" w:rsidRPr="00CD5036" w:rsidRDefault="001743E9">
      <w:pPr>
        <w:spacing w:line="200" w:lineRule="exact"/>
        <w:rPr>
          <w:rFonts w:asciiTheme="minorHAnsi" w:eastAsia="Arial" w:hAnsiTheme="minorHAnsi" w:cstheme="minorHAnsi"/>
          <w:sz w:val="22"/>
          <w:szCs w:val="22"/>
          <w:lang w:val="es-CO"/>
        </w:rPr>
      </w:pPr>
    </w:p>
    <w:p w14:paraId="03899F33" w14:textId="034CDAF5" w:rsidR="001743E9" w:rsidRPr="00CD5036" w:rsidRDefault="0023497A" w:rsidP="00CD5036">
      <w:pPr>
        <w:ind w:left="101" w:right="78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sz w:val="22"/>
          <w:szCs w:val="22"/>
          <w:lang w:val="es-CO"/>
        </w:rPr>
        <w:t xml:space="preserve">Los dispositivos y equipos biomédicos son esenciales en la prevención, diagnóstico, tratamiento y rehabilitación de enfermedades, permitiendo seguridad para los pacientes y eficacia en los procedimientos médicos, de tal manera, la gestión de los equipos básicamente pretende garantizar la operación segura y la calidad de la atención y </w:t>
      </w:r>
      <w:r w:rsidR="00AB7020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apoyándose en la Resolución </w:t>
      </w:r>
      <w:r w:rsidR="00C70ED4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3100 de </w:t>
      </w:r>
      <w:r w:rsidR="00CD503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2019, </w:t>
      </w:r>
      <w:r w:rsidR="00CD5036" w:rsidRPr="00CD5036">
        <w:rPr>
          <w:rFonts w:asciiTheme="minorHAnsi" w:hAnsiTheme="minorHAnsi" w:cstheme="minorHAnsi"/>
          <w:sz w:val="22"/>
          <w:szCs w:val="22"/>
          <w:lang w:val="es-CO"/>
        </w:rPr>
        <w:t>Decreto</w:t>
      </w:r>
      <w:r w:rsidR="00C70ED4" w:rsidRPr="00CD5036">
        <w:rPr>
          <w:rFonts w:asciiTheme="minorHAnsi" w:hAnsiTheme="minorHAnsi" w:cstheme="minorHAnsi"/>
          <w:sz w:val="22"/>
          <w:szCs w:val="22"/>
          <w:lang w:val="es-CO"/>
        </w:rPr>
        <w:t xml:space="preserve"> 4725 de 2005 </w:t>
      </w:r>
      <w:r w:rsidR="00C70ED4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y Resolución 4816 de 2008</w:t>
      </w:r>
      <w:r w:rsidR="00AB7020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; y considerando:</w:t>
      </w:r>
    </w:p>
    <w:p w14:paraId="51AD2AE3" w14:textId="77777777" w:rsidR="001743E9" w:rsidRPr="00CD5036" w:rsidRDefault="001743E9" w:rsidP="00CD5036">
      <w:pPr>
        <w:spacing w:before="1" w:line="220" w:lineRule="exact"/>
        <w:jc w:val="both"/>
        <w:rPr>
          <w:rFonts w:asciiTheme="minorHAnsi" w:hAnsiTheme="minorHAnsi" w:cstheme="minorHAnsi"/>
          <w:sz w:val="22"/>
          <w:szCs w:val="22"/>
          <w:lang w:val="es-CO"/>
        </w:rPr>
      </w:pPr>
    </w:p>
    <w:p w14:paraId="30F11BF7" w14:textId="52A718C0" w:rsidR="0023497A" w:rsidRPr="00CD5036" w:rsidRDefault="0023497A" w:rsidP="00CD5036">
      <w:pPr>
        <w:pStyle w:val="Prrafodelista"/>
        <w:numPr>
          <w:ilvl w:val="0"/>
          <w:numId w:val="2"/>
        </w:numPr>
        <w:ind w:right="80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sz w:val="22"/>
          <w:szCs w:val="22"/>
          <w:lang w:val="es-CO"/>
        </w:rPr>
        <w:t xml:space="preserve">Que Es responsabilidad de cada institución de salud la gestión documental y gestión de equipos y dispositivos médicos, que permitan claridad y seguridad de la información y que ayude con </w:t>
      </w:r>
      <w:r w:rsidR="00CD5036" w:rsidRPr="00CD5036">
        <w:rPr>
          <w:rFonts w:asciiTheme="minorHAnsi" w:hAnsiTheme="minorHAnsi" w:cstheme="minorHAnsi"/>
          <w:sz w:val="22"/>
          <w:szCs w:val="22"/>
          <w:lang w:val="es-CO"/>
        </w:rPr>
        <w:t>la prevención</w:t>
      </w:r>
      <w:r w:rsidRPr="00CD5036">
        <w:rPr>
          <w:rFonts w:asciiTheme="minorHAnsi" w:hAnsiTheme="minorHAnsi" w:cstheme="minorHAnsi"/>
          <w:sz w:val="22"/>
          <w:szCs w:val="22"/>
          <w:lang w:val="es-CO"/>
        </w:rPr>
        <w:t xml:space="preserve"> de fallas en la atención y el diagnóstico y de eventos adversos, además de permitir transparencia y eficacia en los procesos de calidad</w:t>
      </w:r>
    </w:p>
    <w:p w14:paraId="4F6E6FF2" w14:textId="4D938F66" w:rsidR="00CA6916" w:rsidRPr="00CD5036" w:rsidRDefault="00CA6916" w:rsidP="00CD5036">
      <w:pPr>
        <w:pStyle w:val="Prrafodelista"/>
        <w:numPr>
          <w:ilvl w:val="0"/>
          <w:numId w:val="2"/>
        </w:numPr>
        <w:ind w:right="80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sz w:val="22"/>
          <w:szCs w:val="22"/>
          <w:lang w:val="es-CO"/>
        </w:rPr>
        <w:t>Que Los equipos biomédicos son todo el material físico, técnico y tecnológico que permite la adecuada aplicación de la medicina</w:t>
      </w:r>
    </w:p>
    <w:p w14:paraId="7B532B9D" w14:textId="4E09B702" w:rsidR="001743E9" w:rsidRPr="00CD5036" w:rsidRDefault="00CA6916" w:rsidP="00CD5036">
      <w:pPr>
        <w:pStyle w:val="Prrafodelista"/>
        <w:numPr>
          <w:ilvl w:val="0"/>
          <w:numId w:val="2"/>
        </w:numPr>
        <w:ind w:right="80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Que </w:t>
      </w:r>
      <w:r w:rsidR="00C70ED4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La medición y registro de los signos vitales hace parte integral de la prestación de los servicios de salud</w:t>
      </w:r>
      <w:r w:rsidR="00AB7020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.</w:t>
      </w:r>
    </w:p>
    <w:p w14:paraId="6A59FB9C" w14:textId="6C493E1B" w:rsidR="001743E9" w:rsidRPr="00CD5036" w:rsidRDefault="00CA6916" w:rsidP="00CD5036">
      <w:pPr>
        <w:pStyle w:val="Prrafodelista"/>
        <w:numPr>
          <w:ilvl w:val="0"/>
          <w:numId w:val="2"/>
        </w:numPr>
        <w:ind w:right="79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sz w:val="22"/>
          <w:szCs w:val="22"/>
          <w:lang w:val="es-CO"/>
        </w:rPr>
        <w:t>Que la tecnovigilancia es el conjunto de actividades que tienen por objeto la identificación y la cualificación de efectos adversos serios e indeseados producidos por los dispositivos médicos, así como la identificación de los factores de riesgo</w:t>
      </w:r>
    </w:p>
    <w:p w14:paraId="0F7FA7C1" w14:textId="4A42AD52" w:rsidR="00CA6916" w:rsidRDefault="0023497A" w:rsidP="00CD5036">
      <w:pPr>
        <w:pStyle w:val="Prrafodelista"/>
        <w:numPr>
          <w:ilvl w:val="0"/>
          <w:numId w:val="2"/>
        </w:numPr>
        <w:ind w:right="79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Que la IPS debe garantizar la suficiencia de equipos para la adecuada prestación del servicio y que estos cuenten con su respectivo inventario, hoja de vida y cronograma de mantenimiento y </w:t>
      </w:r>
      <w:r w:rsid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calibración</w:t>
      </w:r>
    </w:p>
    <w:p w14:paraId="6CEEA51B" w14:textId="77777777" w:rsidR="00CD5036" w:rsidRPr="00CD5036" w:rsidRDefault="00CD5036" w:rsidP="00CD5036">
      <w:pPr>
        <w:pStyle w:val="Prrafodelista"/>
        <w:ind w:left="821" w:right="79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0FABEC4B" w14:textId="08503436" w:rsidR="00AB7020" w:rsidRPr="00CD5036" w:rsidRDefault="0023497A" w:rsidP="00FA3502">
      <w:pPr>
        <w:ind w:left="101" w:right="3143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b/>
          <w:bCs/>
          <w:color w:val="000000"/>
          <w:sz w:val="22"/>
          <w:szCs w:val="22"/>
          <w:lang w:val="es-ES" w:eastAsia="es-ES"/>
        </w:rPr>
        <w:t>Se</w:t>
      </w:r>
      <w:r w:rsidR="00FA3502" w:rsidRPr="00CD5036">
        <w:rPr>
          <w:rFonts w:asciiTheme="minorHAnsi" w:hAnsiTheme="minorHAnsi" w:cstheme="minorHAnsi"/>
          <w:b/>
          <w:bCs/>
          <w:color w:val="000000"/>
          <w:sz w:val="22"/>
          <w:szCs w:val="22"/>
          <w:lang w:val="es-ES" w:eastAsia="es-ES"/>
        </w:rPr>
        <w:t xml:space="preserve"> determina:</w:t>
      </w:r>
    </w:p>
    <w:p w14:paraId="5194BE8E" w14:textId="77777777" w:rsidR="001743E9" w:rsidRPr="00CD5036" w:rsidRDefault="001743E9">
      <w:pPr>
        <w:spacing w:line="200" w:lineRule="exact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2E72B379" w14:textId="6A99BF6A" w:rsidR="001743E9" w:rsidRPr="00CD5036" w:rsidRDefault="0023497A" w:rsidP="00CD5036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Todo el personal prestador de servicios de salud</w:t>
      </w:r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que ingresa a la </w:t>
      </w:r>
      <w:proofErr w:type="gramStart"/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IPS,</w:t>
      </w:r>
      <w:proofErr w:type="gramEnd"/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debe contar con kit básico de equipos biomédicos conformado por </w:t>
      </w:r>
      <w:r w:rsid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T</w:t>
      </w:r>
      <w:r w:rsidR="00CD503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ensiómetro</w:t>
      </w:r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, fonendoscopio, </w:t>
      </w:r>
      <w:r w:rsidR="00505885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Pulso</w:t>
      </w:r>
      <w:r w:rsidR="00505885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xímetro</w:t>
      </w:r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y termómetro y </w:t>
      </w:r>
      <w:r w:rsid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con estos presentar una copia con</w:t>
      </w:r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vigencia no mayor a un año </w:t>
      </w:r>
      <w:r w:rsid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d</w:t>
      </w:r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el certificado de calibración y mantenimiento según corresponda</w:t>
      </w:r>
      <w:r w:rsidR="00505885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.</w:t>
      </w:r>
    </w:p>
    <w:p w14:paraId="327C06B8" w14:textId="1A1DF2C6" w:rsidR="00DE0516" w:rsidRPr="00CD5036" w:rsidRDefault="00DE0516" w:rsidP="00CD5036">
      <w:pPr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5FB8CDE4" w14:textId="4E9AFFA7" w:rsidR="00DE0516" w:rsidRPr="00CD5036" w:rsidRDefault="00DE0516" w:rsidP="00CD5036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Todo el </w:t>
      </w:r>
      <w:r w:rsidR="009C386A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personal</w:t>
      </w:r>
      <w:r w:rsidR="009C386A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asistencial contratado</w:t>
      </w: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anualmente debe presentar los certificados de calibración y mantenimiento</w:t>
      </w:r>
      <w:r w:rsidRPr="00CD5036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r w:rsidR="009C386A">
        <w:rPr>
          <w:rFonts w:asciiTheme="minorHAnsi" w:hAnsiTheme="minorHAnsi" w:cstheme="minorHAnsi"/>
          <w:sz w:val="22"/>
          <w:szCs w:val="22"/>
          <w:lang w:val="es-CO"/>
        </w:rPr>
        <w:t>de sus equipos según corresponda.</w:t>
      </w:r>
    </w:p>
    <w:p w14:paraId="3C8F815B" w14:textId="77777777" w:rsidR="00DE0516" w:rsidRPr="00CD5036" w:rsidRDefault="00DE0516" w:rsidP="00CD5036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CO"/>
        </w:rPr>
      </w:pPr>
    </w:p>
    <w:p w14:paraId="2B2610C6" w14:textId="5836773A" w:rsidR="00505885" w:rsidRDefault="00DE0516" w:rsidP="00505885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9C386A">
        <w:rPr>
          <w:rFonts w:asciiTheme="minorHAnsi" w:hAnsiTheme="minorHAnsi" w:cstheme="minorHAnsi"/>
          <w:sz w:val="22"/>
          <w:szCs w:val="22"/>
          <w:lang w:val="es-CO"/>
        </w:rPr>
        <w:t>La IPS, contratara con un proveedor certificado para realizar la calibración y mantenimiento de los equipos</w:t>
      </w:r>
      <w:r w:rsidR="00CD5036"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propios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, si el personal </w:t>
      </w:r>
      <w:r w:rsidR="00CD5036" w:rsidRPr="009C386A">
        <w:rPr>
          <w:rFonts w:asciiTheme="minorHAnsi" w:hAnsiTheme="minorHAnsi" w:cstheme="minorHAnsi"/>
          <w:sz w:val="22"/>
          <w:szCs w:val="22"/>
          <w:lang w:val="es-CO"/>
        </w:rPr>
        <w:t>así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lo desea puede </w:t>
      </w:r>
      <w:r w:rsidR="00CD5036"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gestionar a través de 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>la IPS</w:t>
      </w:r>
      <w:r w:rsidR="00CD5036"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la calibración y mantenimiento de los equipos personales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con dicho proveedor, adicionalmente la IPS p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restara equipos en condiciones </w:t>
      </w:r>
      <w:r w:rsidR="00CD5036" w:rsidRPr="009C386A">
        <w:rPr>
          <w:rFonts w:asciiTheme="minorHAnsi" w:hAnsiTheme="minorHAnsi" w:cstheme="minorHAnsi"/>
          <w:sz w:val="22"/>
          <w:szCs w:val="22"/>
          <w:lang w:val="es-CO"/>
        </w:rPr>
        <w:t>óptimas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para la atención de pacientes</w:t>
      </w:r>
      <w:r w:rsidR="009C386A">
        <w:rPr>
          <w:rFonts w:asciiTheme="minorHAnsi" w:hAnsiTheme="minorHAnsi" w:cstheme="minorHAnsi"/>
          <w:sz w:val="22"/>
          <w:szCs w:val="22"/>
          <w:lang w:val="es-CO"/>
        </w:rPr>
        <w:t>, mientras se realizan las actividades técnicas correspondientes.</w:t>
      </w:r>
    </w:p>
    <w:p w14:paraId="664E2B1E" w14:textId="77777777" w:rsidR="009C386A" w:rsidRPr="009C386A" w:rsidRDefault="009C386A" w:rsidP="009C386A">
      <w:pPr>
        <w:pStyle w:val="Prrafodelista"/>
        <w:ind w:left="821"/>
        <w:jc w:val="both"/>
        <w:rPr>
          <w:rFonts w:asciiTheme="minorHAnsi" w:hAnsiTheme="minorHAnsi" w:cstheme="minorHAnsi"/>
          <w:sz w:val="22"/>
          <w:szCs w:val="22"/>
          <w:lang w:val="es-CO"/>
        </w:rPr>
      </w:pPr>
    </w:p>
    <w:p w14:paraId="70231850" w14:textId="4F863FAE" w:rsidR="009C386A" w:rsidRPr="009C386A" w:rsidRDefault="00505885" w:rsidP="001A0054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9C386A">
        <w:rPr>
          <w:rFonts w:asciiTheme="minorHAnsi" w:hAnsiTheme="minorHAnsi" w:cstheme="minorHAnsi"/>
          <w:sz w:val="22"/>
          <w:szCs w:val="22"/>
          <w:lang w:val="es-CO"/>
        </w:rPr>
        <w:t>En caso de que el personal no cuente con los equipos indicados, a libre decisión podrá adquirirlos personalmente</w:t>
      </w:r>
      <w:r w:rsidR="00D35B7D">
        <w:rPr>
          <w:rFonts w:asciiTheme="minorHAnsi" w:hAnsiTheme="minorHAnsi" w:cstheme="minorHAnsi"/>
          <w:sz w:val="22"/>
          <w:szCs w:val="22"/>
          <w:lang w:val="es-CO"/>
        </w:rPr>
        <w:t xml:space="preserve"> con su proveedor de preferencia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y presentar los certificados de calibración de Termómetro, tensiómetro y pulsoxímetro,</w:t>
      </w:r>
      <w:r w:rsidR="009C386A">
        <w:rPr>
          <w:rFonts w:asciiTheme="minorHAnsi" w:hAnsiTheme="minorHAnsi" w:cstheme="minorHAnsi"/>
          <w:sz w:val="22"/>
          <w:szCs w:val="22"/>
          <w:lang w:val="es-CO"/>
        </w:rPr>
        <w:t xml:space="preserve"> dicha calibración deberá ser realizada por un laboratorio de calibración,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ya 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>que,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aunque los equipos estén nuevo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>s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deben calibrarse, 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puesto que 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la calibración determina el error que entrega el equipo en su medición, mas no implica un ajuste o mantenimiento 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>de este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>.</w:t>
      </w:r>
    </w:p>
    <w:p w14:paraId="0D68BA83" w14:textId="77777777" w:rsidR="009C386A" w:rsidRPr="009C386A" w:rsidRDefault="009C386A" w:rsidP="009C386A">
      <w:pPr>
        <w:pStyle w:val="Prrafodelista"/>
        <w:rPr>
          <w:rFonts w:asciiTheme="minorHAnsi" w:hAnsiTheme="minorHAnsi" w:cstheme="minorHAnsi"/>
          <w:sz w:val="22"/>
          <w:szCs w:val="22"/>
          <w:lang w:val="es-CO"/>
        </w:rPr>
      </w:pPr>
    </w:p>
    <w:p w14:paraId="33B1C299" w14:textId="2DF07929" w:rsidR="00DE0516" w:rsidRPr="009C386A" w:rsidRDefault="00505885" w:rsidP="009C386A">
      <w:pPr>
        <w:pStyle w:val="Prrafodelista"/>
        <w:ind w:left="821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9C386A">
        <w:rPr>
          <w:rFonts w:asciiTheme="minorHAnsi" w:hAnsiTheme="minorHAnsi" w:cstheme="minorHAnsi"/>
          <w:sz w:val="22"/>
          <w:szCs w:val="22"/>
          <w:lang w:val="es-CO"/>
        </w:rPr>
        <w:lastRenderedPageBreak/>
        <w:t xml:space="preserve">En caso contrario el personal asistencial autorizará 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>a la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r w:rsidR="00D35B7D" w:rsidRPr="009C386A">
        <w:rPr>
          <w:rFonts w:asciiTheme="minorHAnsi" w:hAnsiTheme="minorHAnsi" w:cstheme="minorHAnsi"/>
          <w:sz w:val="22"/>
          <w:szCs w:val="22"/>
          <w:lang w:val="es-CO"/>
        </w:rPr>
        <w:t>IPS la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compra de los equipos </w:t>
      </w:r>
      <w:r w:rsidR="009C386A">
        <w:rPr>
          <w:rFonts w:asciiTheme="minorHAnsi" w:hAnsiTheme="minorHAnsi" w:cstheme="minorHAnsi"/>
          <w:sz w:val="22"/>
          <w:szCs w:val="22"/>
          <w:lang w:val="es-CO"/>
        </w:rPr>
        <w:t>y así mismo su respectiva calibración, y los costos de compra y calibración serán descontados en su próxima nómina</w:t>
      </w:r>
      <w:r w:rsidR="00D35B7D">
        <w:rPr>
          <w:rFonts w:asciiTheme="minorHAnsi" w:hAnsiTheme="minorHAnsi" w:cstheme="minorHAnsi"/>
          <w:sz w:val="22"/>
          <w:szCs w:val="22"/>
          <w:lang w:val="es-CO"/>
        </w:rPr>
        <w:t xml:space="preserve">, informando previamente estos valores y con firma del formato de descuento. </w:t>
      </w:r>
    </w:p>
    <w:p w14:paraId="307E37AB" w14:textId="77777777" w:rsidR="009C386A" w:rsidRPr="009C386A" w:rsidRDefault="009C386A" w:rsidP="009C386A">
      <w:pPr>
        <w:pStyle w:val="Prrafodelista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3F801A50" w14:textId="77777777" w:rsidR="009C386A" w:rsidRPr="00CD5036" w:rsidRDefault="009C386A" w:rsidP="009C386A">
      <w:pPr>
        <w:pStyle w:val="Prrafodelista"/>
        <w:ind w:left="821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6563E5A5" w14:textId="08B2D1CF" w:rsidR="001743E9" w:rsidRPr="00CD5036" w:rsidRDefault="00CD5036" w:rsidP="00CD5036">
      <w:pPr>
        <w:pStyle w:val="Prrafodelista"/>
        <w:spacing w:line="200" w:lineRule="exact"/>
        <w:ind w:left="821"/>
        <w:jc w:val="center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NOTIFIQUESE Y CUMPLASE</w:t>
      </w:r>
    </w:p>
    <w:p w14:paraId="446DCD9F" w14:textId="28571D53" w:rsidR="001743E9" w:rsidRPr="00CD5036" w:rsidRDefault="00CD5036">
      <w:pPr>
        <w:spacing w:line="200" w:lineRule="exact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513D135" wp14:editId="59FC0F53">
            <wp:simplePos x="0" y="0"/>
            <wp:positionH relativeFrom="column">
              <wp:posOffset>2244090</wp:posOffset>
            </wp:positionH>
            <wp:positionV relativeFrom="paragraph">
              <wp:posOffset>13970</wp:posOffset>
            </wp:positionV>
            <wp:extent cx="1884045" cy="865505"/>
            <wp:effectExtent l="0" t="0" r="190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88501" w14:textId="353E0BCA" w:rsidR="001743E9" w:rsidRPr="00CD5036" w:rsidRDefault="001743E9">
      <w:pPr>
        <w:spacing w:before="9" w:line="160" w:lineRule="exact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04134B70" w14:textId="3ED8B48A" w:rsidR="000732D3" w:rsidRPr="00CD5036" w:rsidRDefault="000732D3">
      <w:pPr>
        <w:spacing w:line="200" w:lineRule="exact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7341B385" w14:textId="7B45D325" w:rsidR="001743E9" w:rsidRPr="00CD5036" w:rsidRDefault="001743E9">
      <w:pPr>
        <w:spacing w:line="200" w:lineRule="exact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144DCC7A" w14:textId="7B502375" w:rsidR="00FA3502" w:rsidRPr="00CD5036" w:rsidRDefault="00CD5036" w:rsidP="00FA3502">
      <w:pPr>
        <w:rPr>
          <w:rFonts w:asciiTheme="minorHAnsi" w:hAnsiTheme="minorHAnsi" w:cstheme="minorHAnsi"/>
          <w:sz w:val="22"/>
          <w:szCs w:val="22"/>
          <w:lang w:val="es-CO"/>
        </w:rPr>
      </w:pPr>
      <w:r>
        <w:rPr>
          <w:rFonts w:asciiTheme="minorHAnsi" w:hAnsiTheme="minorHAnsi" w:cstheme="minorHAnsi"/>
          <w:sz w:val="22"/>
          <w:szCs w:val="22"/>
          <w:lang w:val="es-CO"/>
        </w:rPr>
        <w:t xml:space="preserve">    </w:t>
      </w:r>
    </w:p>
    <w:p w14:paraId="247F31DA" w14:textId="51C565F0" w:rsidR="00FA3502" w:rsidRPr="00CD5036" w:rsidRDefault="00CD5036" w:rsidP="00CD5036">
      <w:pPr>
        <w:jc w:val="center"/>
        <w:rPr>
          <w:rFonts w:asciiTheme="minorHAnsi" w:hAnsiTheme="minorHAnsi" w:cstheme="minorHAnsi"/>
          <w:sz w:val="22"/>
          <w:szCs w:val="22"/>
          <w:lang w:val="es-CO"/>
        </w:rPr>
      </w:pPr>
      <w:r>
        <w:rPr>
          <w:rFonts w:asciiTheme="minorHAnsi" w:hAnsiTheme="minorHAnsi" w:cstheme="minorHAnsi"/>
          <w:sz w:val="22"/>
          <w:szCs w:val="22"/>
          <w:lang w:val="es-CO"/>
        </w:rPr>
        <w:t xml:space="preserve">       </w:t>
      </w:r>
    </w:p>
    <w:p w14:paraId="71EE0B63" w14:textId="77777777" w:rsidR="00A20017" w:rsidRPr="00CD5036" w:rsidRDefault="00A20017" w:rsidP="00FA3502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5E766A6E" w14:textId="36B35EE2" w:rsidR="001743E9" w:rsidRDefault="00CD5036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  <w:r>
        <w:rPr>
          <w:rFonts w:asciiTheme="minorHAnsi" w:hAnsiTheme="minorHAnsi" w:cstheme="minorHAnsi"/>
          <w:b/>
          <w:sz w:val="22"/>
          <w:szCs w:val="22"/>
          <w:lang w:val="es-CO"/>
        </w:rPr>
        <w:t xml:space="preserve">                                                                                R</w:t>
      </w:r>
      <w:r w:rsidR="00FA3502" w:rsidRPr="00CD5036">
        <w:rPr>
          <w:rFonts w:asciiTheme="minorHAnsi" w:hAnsiTheme="minorHAnsi" w:cstheme="minorHAnsi"/>
          <w:b/>
          <w:sz w:val="22"/>
          <w:szCs w:val="22"/>
          <w:lang w:val="es-CO"/>
        </w:rPr>
        <w:t>epresentante Legal</w:t>
      </w:r>
    </w:p>
    <w:p w14:paraId="4727F4C9" w14:textId="77777777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42E043D2" w14:textId="2BDE90C4" w:rsidR="00910D14" w:rsidRDefault="0090487F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647231" wp14:editId="49187E99">
                <wp:simplePos x="0" y="0"/>
                <wp:positionH relativeFrom="column">
                  <wp:posOffset>3470275</wp:posOffset>
                </wp:positionH>
                <wp:positionV relativeFrom="paragraph">
                  <wp:posOffset>154940</wp:posOffset>
                </wp:positionV>
                <wp:extent cx="2990850" cy="466725"/>
                <wp:effectExtent l="0" t="0" r="0" b="0"/>
                <wp:wrapNone/>
                <wp:docPr id="36441144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9F2F8" w14:textId="78CF2AE9" w:rsidR="0090487F" w:rsidRDefault="0090487F">
                            <w:proofErr w:type="gramStart"/>
                            <w:r>
                              <w:t>Nombre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nombre</w:t>
                            </w:r>
                            <w:proofErr w:type="gramEnd"/>
                            <w:r>
                              <w:t>_</w:t>
                            </w:r>
                            <w:proofErr w:type="gramStart"/>
                            <w:r>
                              <w:t>completo</w:t>
                            </w:r>
                            <w:proofErr w:type="spellEnd"/>
                            <w:r>
                              <w:t xml:space="preserve"> }</w:t>
                            </w:r>
                            <w:proofErr w:type="gramEnd"/>
                            <w:r>
                              <w:t>}</w:t>
                            </w:r>
                          </w:p>
                          <w:p w14:paraId="39ADE195" w14:textId="258E15CD" w:rsidR="0090487F" w:rsidRDefault="0090487F">
                            <w:proofErr w:type="gramStart"/>
                            <w:r>
                              <w:t>CC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cedula</w:t>
                            </w:r>
                            <w:proofErr w:type="gramEnd"/>
                            <w:r>
                              <w:t>_</w:t>
                            </w:r>
                            <w:proofErr w:type="gramStart"/>
                            <w:r>
                              <w:t>ciudadania</w:t>
                            </w:r>
                            <w:proofErr w:type="spellEnd"/>
                            <w:r>
                              <w:t xml:space="preserve"> }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6472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3.25pt;margin-top:12.2pt;width:235.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" filled="f" stroked="f" strokeweight=".5pt">
                <v:textbox>
                  <w:txbxContent>
                    <w:p w14:paraId="5159F2F8" w14:textId="78CF2AE9" w:rsidR="0090487F" w:rsidRDefault="0090487F">
                      <w:proofErr w:type="gramStart"/>
                      <w:r>
                        <w:t>Nombre :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nombre</w:t>
                      </w:r>
                      <w:proofErr w:type="gramEnd"/>
                      <w:r>
                        <w:t>_</w:t>
                      </w:r>
                      <w:proofErr w:type="gramStart"/>
                      <w:r>
                        <w:t>completo</w:t>
                      </w:r>
                      <w:proofErr w:type="spellEnd"/>
                      <w:r>
                        <w:t xml:space="preserve"> }</w:t>
                      </w:r>
                      <w:proofErr w:type="gramEnd"/>
                      <w:r>
                        <w:t>}</w:t>
                      </w:r>
                    </w:p>
                    <w:p w14:paraId="39ADE195" w14:textId="258E15CD" w:rsidR="0090487F" w:rsidRDefault="0090487F">
                      <w:proofErr w:type="gramStart"/>
                      <w:r>
                        <w:t>CC :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cedula</w:t>
                      </w:r>
                      <w:proofErr w:type="gramEnd"/>
                      <w:r>
                        <w:t>_</w:t>
                      </w:r>
                      <w:proofErr w:type="gramStart"/>
                      <w:r>
                        <w:t>ciudadania</w:t>
                      </w:r>
                      <w:proofErr w:type="spellEnd"/>
                      <w:r>
                        <w:t xml:space="preserve"> }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0D14">
        <w:rPr>
          <w:rFonts w:asciiTheme="minorHAnsi" w:hAnsiTheme="minorHAnsi" w:cstheme="minorHAnsi"/>
          <w:b/>
          <w:noProof/>
          <w:sz w:val="22"/>
          <w:szCs w:val="22"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3C523" wp14:editId="74128D79">
                <wp:simplePos x="0" y="0"/>
                <wp:positionH relativeFrom="column">
                  <wp:posOffset>500380</wp:posOffset>
                </wp:positionH>
                <wp:positionV relativeFrom="paragraph">
                  <wp:posOffset>8255</wp:posOffset>
                </wp:positionV>
                <wp:extent cx="2743200" cy="1676400"/>
                <wp:effectExtent l="0" t="0" r="0" b="0"/>
                <wp:wrapNone/>
                <wp:docPr id="45710226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5396D" w14:textId="66DE32FE" w:rsidR="00910D14" w:rsidRPr="00910D14" w:rsidRDefault="00910D14" w:rsidP="00910D1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gramStart"/>
                            <w:r>
                              <w:rPr>
                                <w:lang w:val="es-CO"/>
                              </w:rPr>
                              <w:t>{{ firma</w:t>
                            </w:r>
                            <w:proofErr w:type="gramEnd"/>
                            <w:r>
                              <w:rPr>
                                <w:lang w:val="es-CO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3C523" id="Cuadro de texto 1" o:spid="_x0000_s1027" type="#_x0000_t202" style="position:absolute;margin-left:39.4pt;margin-top:.65pt;width:3in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" fillcolor="white [3201]" stroked="f" strokeweight=".5pt">
                <v:textbox>
                  <w:txbxContent>
                    <w:p w14:paraId="2525396D" w14:textId="66DE32FE" w:rsidR="00910D14" w:rsidRPr="00910D14" w:rsidRDefault="00910D14" w:rsidP="00910D14">
                      <w:pPr>
                        <w:jc w:val="center"/>
                        <w:rPr>
                          <w:lang w:val="es-CO"/>
                        </w:rPr>
                      </w:pPr>
                      <w:proofErr w:type="gramStart"/>
                      <w:r>
                        <w:rPr>
                          <w:lang w:val="es-CO"/>
                        </w:rPr>
                        <w:t>{{ firma</w:t>
                      </w:r>
                      <w:proofErr w:type="gramEnd"/>
                      <w:r>
                        <w:rPr>
                          <w:lang w:val="es-CO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1DC3B598" w14:textId="77777777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25A3FCF8" w14:textId="77777777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0A86A1EA" w14:textId="77777777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5BDDAFCD" w14:textId="77777777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5069A23F" w14:textId="77777777" w:rsidR="00910D14" w:rsidRPr="00FE3738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sectPr w:rsidR="00910D14" w:rsidRPr="00FE3738" w:rsidSect="00CA08D1">
      <w:headerReference w:type="default" r:id="rId8"/>
      <w:footerReference w:type="default" r:id="rId9"/>
      <w:pgSz w:w="12220" w:h="15820"/>
      <w:pgMar w:top="1480" w:right="1720" w:bottom="280" w:left="1120" w:header="51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90A3D" w14:textId="77777777" w:rsidR="001027DC" w:rsidRDefault="001027DC" w:rsidP="00AB7020">
      <w:r>
        <w:separator/>
      </w:r>
    </w:p>
  </w:endnote>
  <w:endnote w:type="continuationSeparator" w:id="0">
    <w:p w14:paraId="6972EB76" w14:textId="77777777" w:rsidR="001027DC" w:rsidRDefault="001027DC" w:rsidP="00AB7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71BA6" w14:textId="77777777" w:rsidR="00E25581" w:rsidRDefault="00E25581">
    <w:pPr>
      <w:pStyle w:val="Piedepgina"/>
    </w:pPr>
  </w:p>
  <w:p w14:paraId="20AC6DA6" w14:textId="77777777" w:rsidR="00E25581" w:rsidRDefault="00E255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291DC" w14:textId="77777777" w:rsidR="001027DC" w:rsidRDefault="001027DC" w:rsidP="00AB7020">
      <w:r>
        <w:separator/>
      </w:r>
    </w:p>
  </w:footnote>
  <w:footnote w:type="continuationSeparator" w:id="0">
    <w:p w14:paraId="3E7429B7" w14:textId="77777777" w:rsidR="001027DC" w:rsidRDefault="001027DC" w:rsidP="00AB7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8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6"/>
      <w:gridCol w:w="5385"/>
      <w:gridCol w:w="2410"/>
    </w:tblGrid>
    <w:tr w:rsidR="00673BCE" w:rsidRPr="006A01BB" w14:paraId="17FDDC1B" w14:textId="77777777" w:rsidTr="00673BCE">
      <w:trPr>
        <w:trHeight w:val="520"/>
      </w:trPr>
      <w:tc>
        <w:tcPr>
          <w:tcW w:w="1986" w:type="dxa"/>
          <w:shd w:val="clear" w:color="auto" w:fill="auto"/>
        </w:tcPr>
        <w:p w14:paraId="1C80B752" w14:textId="77777777" w:rsidR="00673BCE" w:rsidRPr="004D08B5" w:rsidRDefault="00673BCE" w:rsidP="00673BCE">
          <w:pPr>
            <w:pStyle w:val="Encabezado"/>
            <w:jc w:val="center"/>
            <w:rPr>
              <w:rFonts w:ascii="Calibri" w:hAnsi="Calibri" w:cs="Calibri"/>
            </w:rPr>
          </w:pPr>
          <w:r>
            <w:fldChar w:fldCharType="begin"/>
          </w:r>
          <w:r>
            <w:instrText xml:space="preserve"> INCLUDEPICTURE "https://ipstid.com/wp-content/uploads/elementor/thumbs/IPS-TID-Logo-Header-pkwarwzj7zmbr7anlr1br3kqs5fcsysgxn3yi5v8i8.png" \* MERGEFORMATINET </w:instrText>
          </w:r>
          <w:r>
            <w:fldChar w:fldCharType="separate"/>
          </w:r>
          <w:r w:rsidR="00A20017">
            <w:fldChar w:fldCharType="begin"/>
          </w:r>
          <w:r w:rsidR="00A20017">
            <w:instrText xml:space="preserve"> INCLUDEPICTURE  "https://ipstid.com/wp-content/uploads/elementor/thumbs/IPS-TID-Logo-Header-pkwarwzj7zmbr7anlr1br3kqs5fcsysgxn3yi5v8i8.png" \* MERGEFORMATINET </w:instrText>
          </w:r>
          <w:r w:rsidR="00A20017">
            <w:fldChar w:fldCharType="separate"/>
          </w:r>
          <w:r w:rsidR="00CD5036">
            <w:fldChar w:fldCharType="begin"/>
          </w:r>
          <w:r w:rsidR="00CD5036">
            <w:instrText xml:space="preserve"> INCLUDEPICTURE  "https://ipstid.com/wp-content/uploads/elementor/thumbs/IPS-TID-Logo-Header-pkwarwzj7zmbr7anlr1br3kqs5fcsysgxn3yi5v8i8.png" \* MERGEFORMATINET </w:instrText>
          </w:r>
          <w:r w:rsidR="00CD5036">
            <w:fldChar w:fldCharType="separate"/>
          </w:r>
          <w:r w:rsidR="00FE3738">
            <w:fldChar w:fldCharType="begin"/>
          </w:r>
          <w:r w:rsidR="00FE3738">
            <w:instrText xml:space="preserve"> INCLUDEPICTURE  "https://ipstid.com/wp-content/uploads/elementor/thumbs/IPS-TID-Logo-Header-pkwarwzj7zmbr7anlr1br3kqs5fcsysgxn3yi5v8i8.png" \* MERGEFORMATINET </w:instrText>
          </w:r>
          <w:r w:rsidR="00FE3738">
            <w:fldChar w:fldCharType="separate"/>
          </w:r>
          <w:r>
            <w:fldChar w:fldCharType="begin"/>
          </w:r>
          <w:r>
            <w:instrText xml:space="preserve"> INCLUDEPICTURE  "https://ipstid.com/wp-content/uploads/elementor/thumbs/IPS-TID-Logo-Header-pkwarwzj7zmbr7anlr1br3kqs5fcsysgxn3yi5v8i8.png"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"https://ipstid.com/wp-content/uploads/elementor/thumbs/IPS-TID-Logo-Header-pkwarwzj7zmbr7anlr1br3kqs5fcsysgxn3yi5v8i8.png" \* MERGEFORMATINET </w:instrText>
          </w:r>
          <w:r>
            <w:fldChar w:fldCharType="separate"/>
          </w:r>
          <w:r w:rsidR="00000000">
            <w:fldChar w:fldCharType="begin"/>
          </w:r>
          <w:r w:rsidR="00000000">
            <w:instrText xml:space="preserve"> INCLUDEPICTURE  "https://ipstid.com/wp-content/uploads/elementor/thumbs/IPS-TID-Logo-Header-pkwarwzj7zmbr7anlr1br3kqs5fcsysgxn3yi5v8i8.png" \* MERGEFORMATINET </w:instrText>
          </w:r>
          <w:r w:rsidR="00000000">
            <w:fldChar w:fldCharType="separate"/>
          </w:r>
          <w:r w:rsidR="00000000">
            <w:pict w14:anchorId="0B281A2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73.5pt;height:73.5pt">
                <v:imagedata r:id="rId1" r:href="rId2"/>
              </v:shape>
            </w:pict>
          </w:r>
          <w:r w:rsidR="00000000">
            <w:fldChar w:fldCharType="end"/>
          </w:r>
          <w:r>
            <w:fldChar w:fldCharType="end"/>
          </w:r>
          <w:r>
            <w:fldChar w:fldCharType="end"/>
          </w:r>
          <w:r w:rsidR="00FE3738">
            <w:fldChar w:fldCharType="end"/>
          </w:r>
          <w:r w:rsidR="00CD5036">
            <w:fldChar w:fldCharType="end"/>
          </w:r>
          <w:r w:rsidR="00A20017">
            <w:fldChar w:fldCharType="end"/>
          </w:r>
          <w:r>
            <w:fldChar w:fldCharType="end"/>
          </w:r>
        </w:p>
      </w:tc>
      <w:tc>
        <w:tcPr>
          <w:tcW w:w="5385" w:type="dxa"/>
          <w:shd w:val="clear" w:color="auto" w:fill="auto"/>
          <w:vAlign w:val="center"/>
        </w:tcPr>
        <w:p w14:paraId="11057426" w14:textId="66D776B0" w:rsidR="00673BCE" w:rsidRPr="00673BCE" w:rsidRDefault="00A20017" w:rsidP="00673BCE">
          <w:pPr>
            <w:pStyle w:val="Encabezado"/>
            <w:jc w:val="center"/>
            <w:rPr>
              <w:rFonts w:ascii="Calibri" w:hAnsi="Calibri" w:cs="Calibri"/>
              <w:b/>
              <w:lang w:val="es-CO"/>
            </w:rPr>
          </w:pPr>
          <w:r w:rsidRPr="00673BCE">
            <w:rPr>
              <w:rFonts w:ascii="Calibri" w:hAnsi="Calibri" w:cs="Calibri"/>
              <w:b/>
              <w:sz w:val="22"/>
              <w:szCs w:val="22"/>
              <w:lang w:val="es-CO"/>
            </w:rPr>
            <w:t xml:space="preserve">POLÍTICA DE </w:t>
          </w:r>
          <w:r w:rsidR="00CD5036">
            <w:rPr>
              <w:rFonts w:ascii="Calibri" w:hAnsi="Calibri" w:cs="Calibri"/>
              <w:b/>
              <w:sz w:val="22"/>
              <w:szCs w:val="22"/>
              <w:lang w:val="es-CO"/>
            </w:rPr>
            <w:t>EQUIPOS BIOMEDICOS</w:t>
          </w:r>
        </w:p>
      </w:tc>
      <w:tc>
        <w:tcPr>
          <w:tcW w:w="2410" w:type="dxa"/>
          <w:shd w:val="clear" w:color="auto" w:fill="auto"/>
          <w:vAlign w:val="center"/>
        </w:tcPr>
        <w:p w14:paraId="1945817E" w14:textId="088751D5" w:rsidR="00673BCE" w:rsidRPr="00673BCE" w:rsidRDefault="00673BCE" w:rsidP="00673BCE">
          <w:pPr>
            <w:pStyle w:val="Encabezado"/>
            <w:rPr>
              <w:rFonts w:ascii="Calibri" w:hAnsi="Calibri" w:cs="Calibri"/>
              <w:lang w:val="es-CO"/>
            </w:rPr>
          </w:pPr>
          <w:r w:rsidRPr="00673BCE">
            <w:rPr>
              <w:rFonts w:ascii="Calibri" w:hAnsi="Calibri" w:cs="Calibri"/>
              <w:b/>
              <w:lang w:val="es-CO"/>
            </w:rPr>
            <w:t xml:space="preserve">Código: </w:t>
          </w:r>
          <w:r w:rsidR="00A20017" w:rsidRPr="00A20017">
            <w:rPr>
              <w:rFonts w:ascii="Calibri" w:hAnsi="Calibri" w:cs="Calibri"/>
              <w:bCs/>
              <w:lang w:val="es-CO"/>
            </w:rPr>
            <w:t>IN-DE-2</w:t>
          </w:r>
          <w:r w:rsidR="00CD5036">
            <w:rPr>
              <w:rFonts w:ascii="Calibri" w:hAnsi="Calibri" w:cs="Calibri"/>
              <w:bCs/>
              <w:lang w:val="es-CO"/>
            </w:rPr>
            <w:t>9</w:t>
          </w:r>
        </w:p>
        <w:p w14:paraId="1A856E48" w14:textId="093FEB23" w:rsidR="00673BCE" w:rsidRPr="00673BCE" w:rsidRDefault="00673BCE" w:rsidP="00673BCE">
          <w:pPr>
            <w:pStyle w:val="Encabezado"/>
            <w:rPr>
              <w:rFonts w:ascii="Calibri" w:hAnsi="Calibri" w:cs="Calibri"/>
              <w:lang w:val="es-CO"/>
            </w:rPr>
          </w:pPr>
          <w:r w:rsidRPr="00673BCE">
            <w:rPr>
              <w:rFonts w:ascii="Calibri" w:hAnsi="Calibri" w:cs="Calibri"/>
              <w:b/>
              <w:lang w:val="es-CO"/>
            </w:rPr>
            <w:t>Versión</w:t>
          </w:r>
          <w:r w:rsidRPr="00673BCE">
            <w:rPr>
              <w:rFonts w:ascii="Calibri" w:hAnsi="Calibri" w:cs="Calibri"/>
              <w:lang w:val="es-CO"/>
            </w:rPr>
            <w:t xml:space="preserve">: </w:t>
          </w:r>
          <w:r w:rsidR="00A20017">
            <w:rPr>
              <w:rFonts w:ascii="Calibri" w:hAnsi="Calibri" w:cs="Calibri"/>
              <w:lang w:val="es-CO"/>
            </w:rPr>
            <w:t>01</w:t>
          </w:r>
        </w:p>
        <w:p w14:paraId="0BE479C8" w14:textId="36EDF4D5" w:rsidR="00673BCE" w:rsidRPr="00673BCE" w:rsidRDefault="00673BCE" w:rsidP="00673BCE">
          <w:pPr>
            <w:pStyle w:val="Encabezado"/>
            <w:rPr>
              <w:rFonts w:ascii="Calibri" w:hAnsi="Calibri" w:cs="Calibri"/>
              <w:lang w:val="es-CO"/>
            </w:rPr>
          </w:pPr>
          <w:r w:rsidRPr="00673BCE">
            <w:rPr>
              <w:rFonts w:ascii="Calibri" w:hAnsi="Calibri" w:cs="Calibri"/>
              <w:b/>
              <w:lang w:val="es-CO"/>
            </w:rPr>
            <w:t>Fecha de elaboración</w:t>
          </w:r>
          <w:r w:rsidRPr="00673BCE">
            <w:rPr>
              <w:rFonts w:ascii="Calibri" w:hAnsi="Calibri" w:cs="Calibri"/>
              <w:lang w:val="es-CO"/>
            </w:rPr>
            <w:t>:</w:t>
          </w:r>
          <w:r w:rsidR="00CD5036">
            <w:rPr>
              <w:rFonts w:ascii="Calibri" w:hAnsi="Calibri" w:cs="Calibri"/>
              <w:lang w:val="es-CO"/>
            </w:rPr>
            <w:t xml:space="preserve"> </w:t>
          </w:r>
          <w:proofErr w:type="gramStart"/>
          <w:r w:rsidR="00CD5036">
            <w:rPr>
              <w:rFonts w:ascii="Calibri" w:hAnsi="Calibri" w:cs="Calibri"/>
              <w:lang w:val="es-CO"/>
            </w:rPr>
            <w:t>Diciembre</w:t>
          </w:r>
          <w:proofErr w:type="gramEnd"/>
          <w:r w:rsidR="00A20017">
            <w:rPr>
              <w:rFonts w:ascii="Calibri" w:hAnsi="Calibri" w:cs="Calibri"/>
              <w:lang w:val="es-CO"/>
            </w:rPr>
            <w:t xml:space="preserve"> de 2022</w:t>
          </w:r>
        </w:p>
        <w:p w14:paraId="572094EB" w14:textId="726072F7" w:rsidR="00673BCE" w:rsidRPr="004D08B5" w:rsidRDefault="00FA3502" w:rsidP="00673BCE">
          <w:pPr>
            <w:pStyle w:val="Encabezado"/>
            <w:rPr>
              <w:rFonts w:ascii="Calibri" w:hAnsi="Calibri" w:cs="Calibri"/>
            </w:rPr>
          </w:pPr>
          <w:r w:rsidRPr="004D08B5">
            <w:rPr>
              <w:rFonts w:ascii="Calibri" w:hAnsi="Calibri" w:cs="Calibri"/>
              <w:b/>
            </w:rPr>
            <w:t>Pagana</w:t>
          </w:r>
          <w:r w:rsidR="00673BCE" w:rsidRPr="004D08B5">
            <w:rPr>
              <w:rFonts w:ascii="Calibri" w:hAnsi="Calibri" w:cs="Calibri"/>
            </w:rPr>
            <w:t xml:space="preserve">: </w:t>
          </w:r>
          <w:r w:rsidR="00673BCE" w:rsidRPr="004D08B5">
            <w:rPr>
              <w:rFonts w:ascii="Calibri" w:eastAsia="Calibri" w:hAnsi="Calibri" w:cs="Calibri"/>
            </w:rPr>
            <w:fldChar w:fldCharType="begin"/>
          </w:r>
          <w:r w:rsidR="00673BCE" w:rsidRPr="004D08B5">
            <w:rPr>
              <w:rFonts w:ascii="Calibri" w:eastAsia="Calibri" w:hAnsi="Calibri" w:cs="Calibri"/>
            </w:rPr>
            <w:instrText>PAGE</w:instrText>
          </w:r>
          <w:r w:rsidR="00673BCE" w:rsidRPr="004D08B5">
            <w:rPr>
              <w:rFonts w:ascii="Calibri" w:eastAsia="Calibri" w:hAnsi="Calibri" w:cs="Calibri"/>
            </w:rPr>
            <w:fldChar w:fldCharType="separate"/>
          </w:r>
          <w:r w:rsidR="00673BCE">
            <w:rPr>
              <w:rFonts w:ascii="Calibri" w:eastAsia="Calibri" w:hAnsi="Calibri" w:cs="Calibri"/>
              <w:noProof/>
            </w:rPr>
            <w:t>1</w:t>
          </w:r>
          <w:r w:rsidR="00673BCE" w:rsidRPr="004D08B5">
            <w:rPr>
              <w:rFonts w:ascii="Calibri" w:eastAsia="Calibri" w:hAnsi="Calibri" w:cs="Calibri"/>
            </w:rPr>
            <w:fldChar w:fldCharType="end"/>
          </w:r>
          <w:r w:rsidR="00673BCE" w:rsidRPr="004D08B5">
            <w:rPr>
              <w:rFonts w:ascii="Calibri" w:eastAsia="Calibri" w:hAnsi="Calibri" w:cs="Calibri"/>
            </w:rPr>
            <w:t xml:space="preserve"> de </w:t>
          </w:r>
          <w:r w:rsidR="00673BCE" w:rsidRPr="004D08B5">
            <w:rPr>
              <w:rFonts w:ascii="Calibri" w:eastAsia="Calibri" w:hAnsi="Calibri" w:cs="Calibri"/>
            </w:rPr>
            <w:fldChar w:fldCharType="begin"/>
          </w:r>
          <w:r w:rsidR="00673BCE" w:rsidRPr="004D08B5">
            <w:rPr>
              <w:rFonts w:ascii="Calibri" w:eastAsia="Calibri" w:hAnsi="Calibri" w:cs="Calibri"/>
            </w:rPr>
            <w:instrText>NUMPAGES</w:instrText>
          </w:r>
          <w:r w:rsidR="00673BCE" w:rsidRPr="004D08B5">
            <w:rPr>
              <w:rFonts w:ascii="Calibri" w:eastAsia="Calibri" w:hAnsi="Calibri" w:cs="Calibri"/>
            </w:rPr>
            <w:fldChar w:fldCharType="separate"/>
          </w:r>
          <w:r w:rsidR="00673BCE">
            <w:rPr>
              <w:rFonts w:ascii="Calibri" w:eastAsia="Calibri" w:hAnsi="Calibri" w:cs="Calibri"/>
              <w:noProof/>
            </w:rPr>
            <w:t>1</w:t>
          </w:r>
          <w:r w:rsidR="00673BCE" w:rsidRPr="004D08B5">
            <w:rPr>
              <w:rFonts w:ascii="Calibri" w:eastAsia="Calibri" w:hAnsi="Calibri" w:cs="Calibri"/>
            </w:rPr>
            <w:fldChar w:fldCharType="end"/>
          </w:r>
        </w:p>
      </w:tc>
    </w:tr>
  </w:tbl>
  <w:p w14:paraId="295EDDAC" w14:textId="77777777" w:rsidR="00AB7020" w:rsidRPr="00673BCE" w:rsidRDefault="00AB7020" w:rsidP="00673B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273AB"/>
    <w:multiLevelType w:val="hybridMultilevel"/>
    <w:tmpl w:val="8AA8DCD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62CA6"/>
    <w:multiLevelType w:val="hybridMultilevel"/>
    <w:tmpl w:val="8BD296FC"/>
    <w:lvl w:ilvl="0" w:tplc="24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6EDA7986"/>
    <w:multiLevelType w:val="multilevel"/>
    <w:tmpl w:val="BA98C92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39798431">
    <w:abstractNumId w:val="2"/>
  </w:num>
  <w:num w:numId="2" w16cid:durableId="897478236">
    <w:abstractNumId w:val="1"/>
  </w:num>
  <w:num w:numId="3" w16cid:durableId="13880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3E9"/>
    <w:rsid w:val="00030A0A"/>
    <w:rsid w:val="00044E0C"/>
    <w:rsid w:val="000677FF"/>
    <w:rsid w:val="000732D3"/>
    <w:rsid w:val="001027DC"/>
    <w:rsid w:val="0011703C"/>
    <w:rsid w:val="00145E32"/>
    <w:rsid w:val="001743E9"/>
    <w:rsid w:val="001E2E8A"/>
    <w:rsid w:val="00232BFC"/>
    <w:rsid w:val="0023497A"/>
    <w:rsid w:val="00342583"/>
    <w:rsid w:val="003453B4"/>
    <w:rsid w:val="00385BFE"/>
    <w:rsid w:val="003C22F0"/>
    <w:rsid w:val="003D5748"/>
    <w:rsid w:val="004025B8"/>
    <w:rsid w:val="0040552C"/>
    <w:rsid w:val="0040696D"/>
    <w:rsid w:val="00463E4B"/>
    <w:rsid w:val="004A09D6"/>
    <w:rsid w:val="00505885"/>
    <w:rsid w:val="0051131C"/>
    <w:rsid w:val="00517A08"/>
    <w:rsid w:val="0057438A"/>
    <w:rsid w:val="00577C40"/>
    <w:rsid w:val="005854CD"/>
    <w:rsid w:val="005B5339"/>
    <w:rsid w:val="005D2DD1"/>
    <w:rsid w:val="005E1E89"/>
    <w:rsid w:val="006134A0"/>
    <w:rsid w:val="00617F55"/>
    <w:rsid w:val="00661B2E"/>
    <w:rsid w:val="00673BCE"/>
    <w:rsid w:val="00695B12"/>
    <w:rsid w:val="006C1557"/>
    <w:rsid w:val="007061A7"/>
    <w:rsid w:val="00710EFE"/>
    <w:rsid w:val="007D14A0"/>
    <w:rsid w:val="00835D93"/>
    <w:rsid w:val="0085388A"/>
    <w:rsid w:val="008C36AF"/>
    <w:rsid w:val="008D7E3C"/>
    <w:rsid w:val="008F32C0"/>
    <w:rsid w:val="0090487F"/>
    <w:rsid w:val="00910D14"/>
    <w:rsid w:val="00914500"/>
    <w:rsid w:val="00945B86"/>
    <w:rsid w:val="009813A8"/>
    <w:rsid w:val="009C386A"/>
    <w:rsid w:val="009F4461"/>
    <w:rsid w:val="00A1209B"/>
    <w:rsid w:val="00A20017"/>
    <w:rsid w:val="00A42092"/>
    <w:rsid w:val="00A62D60"/>
    <w:rsid w:val="00AB7020"/>
    <w:rsid w:val="00BF529F"/>
    <w:rsid w:val="00C26979"/>
    <w:rsid w:val="00C3700C"/>
    <w:rsid w:val="00C54BDA"/>
    <w:rsid w:val="00C70ED4"/>
    <w:rsid w:val="00CA08D1"/>
    <w:rsid w:val="00CA6916"/>
    <w:rsid w:val="00CB179A"/>
    <w:rsid w:val="00CD5036"/>
    <w:rsid w:val="00D35B7D"/>
    <w:rsid w:val="00D56981"/>
    <w:rsid w:val="00D6096A"/>
    <w:rsid w:val="00D63D4E"/>
    <w:rsid w:val="00D85365"/>
    <w:rsid w:val="00DE0516"/>
    <w:rsid w:val="00E25581"/>
    <w:rsid w:val="00EF3B0B"/>
    <w:rsid w:val="00FA07C7"/>
    <w:rsid w:val="00FA3502"/>
    <w:rsid w:val="00FE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94042C"/>
  <w15:docId w15:val="{9B37C552-4E0E-4F86-9052-337FB40B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nhideWhenUsed/>
    <w:rsid w:val="00AB70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B7020"/>
  </w:style>
  <w:style w:type="paragraph" w:styleId="Piedepgina">
    <w:name w:val="footer"/>
    <w:basedOn w:val="Normal"/>
    <w:link w:val="PiedepginaCar"/>
    <w:uiPriority w:val="99"/>
    <w:unhideWhenUsed/>
    <w:rsid w:val="00AB70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020"/>
  </w:style>
  <w:style w:type="paragraph" w:styleId="Textodeglobo">
    <w:name w:val="Balloon Text"/>
    <w:basedOn w:val="Normal"/>
    <w:link w:val="TextodegloboCar"/>
    <w:uiPriority w:val="99"/>
    <w:semiHidden/>
    <w:unhideWhenUsed/>
    <w:rsid w:val="00AB70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702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B7020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E25581"/>
    <w:rPr>
      <w:rFonts w:ascii="Calibri" w:eastAsia="Calibri" w:hAnsi="Calibri"/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E25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7D14A0"/>
    <w:rPr>
      <w:rFonts w:ascii="Calibri" w:eastAsia="Calibri" w:hAnsi="Calibri"/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11703C"/>
    <w:rPr>
      <w:rFonts w:ascii="Calibri" w:eastAsia="Calibri" w:hAnsi="Calibri"/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ipstid.com/wp-content/uploads/elementor/thumbs/IPS-TID-Logo-Header-pkwarwzj7zmbr7anlr1br3kqs5fcsysgxn3yi5v8i8.pn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Ipstid</cp:lastModifiedBy>
  <cp:revision>4</cp:revision>
  <cp:lastPrinted>2023-04-04T17:52:00Z</cp:lastPrinted>
  <dcterms:created xsi:type="dcterms:W3CDTF">2023-04-04T17:52:00Z</dcterms:created>
  <dcterms:modified xsi:type="dcterms:W3CDTF">2025-07-01T17:59:00Z</dcterms:modified>
</cp:coreProperties>
</file>