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万耀企龙展位AI智能推荐与动态定价系统PRD（双端网页版优化</w:t>
      </w:r>
      <w:r>
        <w:rPr>
          <w:rFonts w:eastAsia="等线" w:ascii="Arial" w:cs="Arial" w:hAnsi="Arial"/>
          <w:b w:val="true"/>
          <w:sz w:val="52"/>
        </w:rPr>
        <w:t>终稿）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文档概述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文档目的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本文档为</w:t>
      </w:r>
      <w:r>
        <w:rPr>
          <w:rFonts w:eastAsia="等线" w:ascii="Arial" w:cs="Arial" w:hAnsi="Arial"/>
          <w:b w:val="true"/>
          <w:sz w:val="22"/>
        </w:rPr>
        <w:t>万耀企龙展位智能推荐与动态定价网页应用</w:t>
      </w:r>
      <w:r>
        <w:rPr>
          <w:rFonts w:eastAsia="等线" w:ascii="Arial" w:cs="Arial" w:hAnsi="Arial"/>
          <w:sz w:val="22"/>
        </w:rPr>
        <w:t>正式产品需求说明书。本次优化核心明确：产品采用</w:t>
      </w:r>
      <w:r>
        <w:rPr>
          <w:rFonts w:eastAsia="等线" w:ascii="Arial" w:cs="Arial" w:hAnsi="Arial"/>
          <w:b w:val="true"/>
          <w:sz w:val="22"/>
        </w:rPr>
        <w:t>单主页入口、双端独立系统、菜单分页跳转</w:t>
      </w:r>
      <w:r>
        <w:rPr>
          <w:rFonts w:eastAsia="等线" w:ascii="Arial" w:cs="Arial" w:hAnsi="Arial"/>
          <w:sz w:val="22"/>
        </w:rPr>
        <w:t>的标准网页架构，区分【客户前台展示端】与【员工后台运营端】，两端页面、功能、权限完全隔离。系统依托AI模型实现展位智能匹配、动态定价、虚拟展馆可视化能力，标准化网页跳转逻辑，符合常规官网/后台系统交互习惯，为研发、设计、运营提供可直接落地的开发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优化更新说明（本次重点迭代）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基于初版PRD完成结构性优化，解决网页架构问题，核心更新如下：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</w:t>
      </w:r>
      <w:r>
        <w:rPr>
          <w:rFonts w:eastAsia="等线" w:ascii="Arial" w:cs="Arial" w:hAnsi="Arial"/>
          <w:b w:val="true"/>
          <w:sz w:val="22"/>
        </w:rPr>
        <w:t>统一网站主首页</w:t>
      </w:r>
      <w:r>
        <w:rPr>
          <w:rFonts w:eastAsia="等线" w:ascii="Arial" w:cs="Arial" w:hAnsi="Arial"/>
          <w:sz w:val="22"/>
        </w:rPr>
        <w:t>，作为唯一入口，通过导航菜单跳转至各功能页面，符合标准网页产品形态；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严格拆分</w:t>
      </w:r>
      <w:r>
        <w:rPr>
          <w:rFonts w:eastAsia="等线" w:ascii="Arial" w:cs="Arial" w:hAnsi="Arial"/>
          <w:b w:val="true"/>
          <w:sz w:val="22"/>
        </w:rPr>
        <w:t>客户前台（C端）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员工后台（B端）</w:t>
      </w:r>
      <w:r>
        <w:rPr>
          <w:rFonts w:eastAsia="等线" w:ascii="Arial" w:cs="Arial" w:hAnsi="Arial"/>
          <w:sz w:val="22"/>
        </w:rPr>
        <w:t>，双端界面、功能、权限、数据完全隔离；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梳理完整网页页面结构：首页、客户功能页、员工后台页、详情弹窗页，明确页面跳转链路；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优化用户使用流程：访客进入主页 → 选择对应身份入口 → 进入对应独立系统，杜绝页面混淆；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保留原有全套AI推荐、AI动态定价、虚拟展馆平面图、展位数据体系，仅优化产品架构与页面逻辑。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适用范围 &amp; 阅读对象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适用产品开发、UI设计、前后端开发、AI模型落地、测试验收、上线运营全流程。阅读对象：产品、设计、前端、后端、算法、测试、运营、销售团队。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产品版本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V1.1 优化版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产品整体架构（核心优化）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网页整体形态（标准网站架构）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产品为</w:t>
      </w:r>
      <w:r>
        <w:rPr>
          <w:rFonts w:eastAsia="等线" w:ascii="Arial" w:cs="Arial" w:hAnsi="Arial"/>
          <w:b w:val="true"/>
          <w:sz w:val="22"/>
        </w:rPr>
        <w:t>单主页入口、多页面跳转、双端分离</w:t>
      </w:r>
      <w:r>
        <w:rPr>
          <w:rFonts w:eastAsia="等线" w:ascii="Arial" w:cs="Arial" w:hAnsi="Arial"/>
          <w:sz w:val="22"/>
        </w:rPr>
        <w:t>的标准网页应用，摒弃单页混堆模式，采用行业通用网站结构：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统一首页（门户入口）→ 分身份跳转 → 客户前台功能页 / 员工后台功能页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所有功能均通过顶部导航菜单、侧边菜单栏实现页面跳转，每个核心功能独立页面，层级清晰、符合用户网页使用习惯。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双端隔离体系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系统严格拆分两大独立终端，账号、页面、功能、数据权限完全隔离，互不互通：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客户前台端（面向参展商/客户）</w:t>
      </w:r>
      <w:r>
        <w:rPr>
          <w:rFonts w:eastAsia="等线" w:ascii="Arial" w:cs="Arial" w:hAnsi="Arial"/>
          <w:sz w:val="22"/>
        </w:rPr>
        <w:t>：轻量化、展示型、自助式，核心为需求录入、AI查展位、看推荐、看实时价格、浏览展馆图纸；无任何参数配置、数据修改权限。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员工后台端（面向销售/运营/管理员）</w:t>
      </w:r>
      <w:r>
        <w:rPr>
          <w:rFonts w:eastAsia="等线" w:ascii="Arial" w:cs="Arial" w:hAnsi="Arial"/>
          <w:sz w:val="22"/>
        </w:rPr>
        <w:t>：功能全面、运营型、可配置，核心为数据查看、AI参数调优、定价规则配置、展位管理、客户数据管理、订单锁定、数据报表。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完整页面结构清单（网页跳转逻辑）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2.3.1 公共门户主页（唯一入口页面）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所有用户默认进入系统首页，展示产品介绍、功能简介、双端入口按钮，可点击跳转至对应终端。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2.3.2 客户前台端页面组（前端展示页面）</w:t>
      </w:r>
      <w:bookmarkEnd w:id="10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客户登录/注册页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客户中心首页（前台仪表盘）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参展需求录入页面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AI智能展位推荐结果页面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虚拟展馆平面图&amp;展位浏览页面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展位动态价格详情页面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我的报价单/我的预约页面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2.3.3 员工后台端页面组（后台功能页面）</w:t>
      </w:r>
      <w:bookmarkEnd w:id="11"/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员工登录页（独立账号体系）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后台数据总览仪表盘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客户需求管理页面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展位资源管理页面（图纸/状态/基础信息）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AI模型参数配置页面（权重/规则/阈值）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动态定价规则配置页面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订单锁定与销售管理页面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数据统计与报表分析页面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系统权限与日志管理页面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 用户角色与对应页面权限</w:t>
      </w:r>
      <w:bookmarkEnd w:id="1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3.1 客户用户（参展商）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可访问：门户主页 + 全部客户前台页面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不可访问：所有员工后台功能、参数配置、数据后台页面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核心行为：录入参展需求、自助获取AI推荐、查看展位分布图、查询动态价格、查看/下载个人报价单、预约展位。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3.2 销售员工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可访问：门户主页 + 员工后台基础页面 + 客户前台查看权限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权限：查看客户需求、查看AI推荐结果、协助客户生成报价、锁定展位、查看销售数据；</w:t>
      </w:r>
      <w:r>
        <w:rPr>
          <w:rFonts w:eastAsia="等线" w:ascii="Arial" w:cs="Arial" w:hAnsi="Arial"/>
          <w:b w:val="true"/>
          <w:sz w:val="22"/>
        </w:rPr>
        <w:t>不可修改AI模型参数、不可修改定价规则</w:t>
      </w:r>
      <w:r>
        <w:rPr>
          <w:rFonts w:eastAsia="等线" w:ascii="Arial" w:cs="Arial" w:hAnsi="Arial"/>
          <w:sz w:val="22"/>
        </w:rPr>
        <w:t>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3.3 运营/管理员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全权限访问，可操作所有后台页面，支持调整AI权重、动态定价系数、编辑展位图纸、配置系统规则、查看全量数据。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 网页详细流程（用户访问链路）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4.1 整体访问流程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用户输入网址，默认进入【系统门户主页】；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主页提供两个入口按钮：</w:t>
      </w:r>
      <w:r>
        <w:rPr>
          <w:rFonts w:eastAsia="等线" w:ascii="Arial" w:cs="Arial" w:hAnsi="Arial"/>
          <w:b w:val="true"/>
          <w:sz w:val="22"/>
        </w:rPr>
        <w:t>参展商入口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员工后台入口</w:t>
      </w:r>
      <w:r>
        <w:rPr>
          <w:rFonts w:eastAsia="等线" w:ascii="Arial" w:cs="Arial" w:hAnsi="Arial"/>
          <w:sz w:val="22"/>
        </w:rPr>
        <w:t>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客户点击【参展商入口】→ 跳转客户登录/注册 → 进入客户前台系统，通过顶部菜单切换各功能页面；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员工点击【员工后台入口】→ 跳转员工专属登录页 → 进入后台系统，通过侧边菜单栏切换所有后台功能页面。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 客户前台核心使用流程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主页进入前台 → 填写【参展需求录入页】信息（行业/预算/需求） → 提交AI计算 → 跳转【AI推荐结果页】展示三档方案 → 点击展位可跳转【展馆平面图页】可视化查看位置 → 查看【动态价格详情】→ 生成/下载报价单 → 预约锁定展位。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4.3 员工后台核心使用流程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主页进入后台 → 数据仪表盘概览 → 查看客户提交需求 → 复核AI推荐结果与动态定价 → 管理展位状态 → 按需调整AI参数/定价规则（管理员）→ 查看销售与空置数据报表。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5. 各页面详细功能需求（双端完整定义）</w:t>
      </w:r>
      <w:bookmarkEnd w:id="2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5.1 公共门户主页（系统统一入口）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页面定位：全站唯一入口，无复杂功能，以引导分流为主。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核心内容：系统简介、万耀企龙展会能力介绍、双端入口按钮、功能亮点展示（AI智能推荐、动态定价、可视化选位）。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跳转功能：点击「参展商入口」跳转前台登录；点击「员工后台入口」跳转后台登录。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5.2 客户前台端页面详细功能</w:t>
      </w:r>
      <w:bookmarkEnd w:id="2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5.2.1 客户中心首页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展示个人参展记录、最新报价单、未完成预约、系统公告、快速入口（录入需求、查看展位、查看报价）。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5.2.2 参展需求录入页（客户核心页面）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供可视化表单录入，字段包含：企业名称、所属行业、企业规模、参展预算区间、意向参展面积、参展目的（品牌曝光/招商/产品展示）、参展档期、是否首次参展、特殊展位需求。支持保存草稿、一键提交AI分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5.2.3 AI智能推荐结果页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提交需求后3秒AI运算完成，页面展示</w:t>
      </w:r>
      <w:r>
        <w:rPr>
          <w:rFonts w:eastAsia="等线" w:ascii="Arial" w:cs="Arial" w:hAnsi="Arial"/>
          <w:b w:val="true"/>
          <w:sz w:val="22"/>
        </w:rPr>
        <w:t>高端升级、最优适配、性价比备选</w:t>
      </w:r>
      <w:r>
        <w:rPr>
          <w:rFonts w:eastAsia="等线" w:ascii="Arial" w:cs="Arial" w:hAnsi="Arial"/>
          <w:sz w:val="22"/>
        </w:rPr>
        <w:t>三档方案，每方案展示展位列表、实时动态价格、AI推荐理由、适配场景。支持点击展位快速定位到展馆图纸。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5.2.4 虚拟展馆展位可视化浏览页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系统虚构的标准展馆二维平面图、全量展位分布。支持缩放、拖拽、筛选。展位状态颜色区分：绿色空置、蓝色AI推荐、黄色锁定、灰色已售、红色热门溢价。点击展位弹出详情：编号、面积、等级、实时价格、定价因子、适配行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5.2.5 动态价格详情页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展示单展位完整价格溯源：基础定价、AI溢价系数、供需浮动、客户权益折扣、最终成交价。支持展示价格波动趋势、24小时锁价说明。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5.2.6 我的报价与预约页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汇总所有AI生成报价单，支持在线预览、PDF导出、分享、预约展位管理、查看预约状态。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5.3 员工后台端页面详细功能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5.3.1 后台数据仪表盘首页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核心数据总览：展位总数量、空置率、已售占比、今日新增客户需求、AI推荐成交率、动态定价溢价收益、热门展位TOP10。以图表可视化展示，支持数据实时刷新。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b w:val="true"/>
          <w:sz w:val="28"/>
        </w:rPr>
        <w:t>5.3.2 客户需求管理页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查看所有客户提交的参展需求、筛选行业/预算/档期、查看对应AI推荐结果、支持销售手动备注、跟进客户状态。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5.3.3 展位资源管理页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后台管理全量虚构展位数据，支持编辑展位编号、面积、等级、基础单价、位置属性；手动修改展位状态（空置/锁定/已售）；支持批量编辑、批量状态更新。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5.3.4 AI模型参数配置页（管理员专属）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可视化调整AI模型权重：展位位置权重、流量权重、预算匹配权重；配置推荐方案配比、客户画像标签阈值；开关AI智能优化、自动学习功能。所有修改实时生效，留存操作日志。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b w:val="true"/>
          <w:sz w:val="28"/>
        </w:rPr>
        <w:t>5.3.5 动态定价规则配置页（管理员专属）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配置定价公式系数区间、价格上下限、早鸟/临期折扣规则、老客户权益系数、档期供需浮动规则。支持预设多套定价模板，适配不同展会。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5.3.6 销售与订单管理页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支持员工手动锁定展位、释放锁定、生成人工报价单、记录成交信息、跟进销售进度。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5.3.7 数据报表与日志页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全量销售数据、AI转化数据、展位空置数据统计，支持自定义时间筛选、Excel导出；记录所有后台参数修改、数据编辑、用户操作日志。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6. AI模型核心能力（保留原有完整能力，无删减）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系统内置5大会展专属AI模型，贯穿双端全流程，实现前台智能展示、后台智能调控：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用户需求画像AI</w:t>
      </w:r>
      <w:r>
        <w:rPr>
          <w:rFonts w:eastAsia="等线" w:ascii="Arial" w:cs="Arial" w:hAnsi="Arial"/>
          <w:sz w:val="22"/>
        </w:rPr>
        <w:t>：对客户行业、预算、需求进行标签化建模；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展位价值评分AI</w:t>
      </w:r>
      <w:r>
        <w:rPr>
          <w:rFonts w:eastAsia="等线" w:ascii="Arial" w:cs="Arial" w:hAnsi="Arial"/>
          <w:sz w:val="22"/>
        </w:rPr>
        <w:t>：基于位置、流量、面积、配套生成0-100分展位价值；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智能推荐AI</w:t>
      </w:r>
      <w:r>
        <w:rPr>
          <w:rFonts w:eastAsia="等线" w:ascii="Arial" w:cs="Arial" w:hAnsi="Arial"/>
          <w:sz w:val="22"/>
        </w:rPr>
        <w:t>：四维匹配，生成三档差异化展位方案；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动态定价AI</w:t>
      </w:r>
      <w:r>
        <w:rPr>
          <w:rFonts w:eastAsia="等线" w:ascii="Arial" w:cs="Arial" w:hAnsi="Arial"/>
          <w:sz w:val="22"/>
        </w:rPr>
        <w:t>：基础价+多维度系数浮动，实现一摊一价、实时调价；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供需预测AI</w:t>
      </w:r>
      <w:r>
        <w:rPr>
          <w:rFonts w:eastAsia="等线" w:ascii="Arial" w:cs="Arial" w:hAnsi="Arial"/>
          <w:sz w:val="22"/>
        </w:rPr>
        <w:t>：预测展位热度、空置率与价格走势，辅助后台运营决策。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7. 虚构展馆与展位数据（保留原有标准数据）</w:t>
      </w:r>
      <w:bookmarkEnd w:id="3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>7.1 虚拟展馆基础信息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虚拟场馆：上海国际博览中心N3馆，总面积8000㎡，含3条主通道、4条次通道，分区：入口迎宾区、核心特装区、标准展位区、配套服务区。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7.2 展位分级体系</w:t>
      </w:r>
      <w:bookmarkEnd w:id="40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S级顶级特装展位（12个）：36㎡，入口/核心通道，高溢价；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A级优质展位（36个）：18㎡，主通道两侧，主力推荐；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B级常规展位（80个）：9㎡，高性价比，中小企业首选；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C级基础展位（32个）：9㎡，边角区域，低价清仓档位。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7.3 基准定价虚拟数据</w:t>
      </w:r>
      <w:bookmarkEnd w:id="41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S级：38000元/展期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A级：22000元/展期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B级：12800元/展期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C级：9800元/展期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8. 页面跳转与菜单规范（标准化网页交互）</w:t>
      </w:r>
      <w:bookmarkEnd w:id="4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3" w:id="43"/>
      <w:r>
        <w:rPr>
          <w:rFonts w:eastAsia="等线" w:ascii="Arial" w:cs="Arial" w:hAnsi="Arial"/>
          <w:b w:val="true"/>
          <w:sz w:val="30"/>
        </w:rPr>
        <w:t>8.1 公共主页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顶部固定导航：首页、功能介绍、参展商入口、员工后台入口。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4" w:id="44"/>
      <w:r>
        <w:rPr>
          <w:rFonts w:eastAsia="等线" w:ascii="Arial" w:cs="Arial" w:hAnsi="Arial"/>
          <w:b w:val="true"/>
          <w:sz w:val="30"/>
        </w:rPr>
        <w:t>8.2 客户前台页面菜单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顶部导航菜单：首页、需求录入、AI展位推荐、展馆平面图、我的报价、个人中心。点击菜单实现页面无刷新/跳转切换。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b w:val="true"/>
          <w:sz w:val="30"/>
        </w:rPr>
        <w:t>8.3 员工后台页面菜单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左侧固定侧边栏菜单：数据概览、客户需求管理、展位资源管理、AI模型配置、定价规则设置、销售管理、数据报表、系统设置。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9. 权限控制规则</w:t>
      </w:r>
      <w:bookmarkEnd w:id="46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客户账号：仅可访问前台展示页面，无任何编辑、配置、删除权限；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销售账号：可查看后台数据、客户需求、AI结果，不可修改模型与定价参数；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管理员账号：全功能权限，可配置所有AI规则、定价规则、展位数据、系统权限；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双端账号体系独立隔离，客户无法登录后台，员工无权篡改客户前台数据。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10. 非功能需求、验收标准、风险规避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完全继承初版PRD要求，包含性能、安全、兼容性、验收标准、风险方案，无变更，保证系统稳定性与落地性。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11. 版本迭代规划</w:t>
      </w:r>
      <w:bookmarkEnd w:id="4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11.1 V1.0 首期上线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完成门户主页+双端全套页面架构、AI核心能力、虚拟展馆、动态定价、智能推荐、报价导出、基础后台管理功能。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0" w:id="50"/>
      <w:r>
        <w:rPr>
          <w:rFonts w:eastAsia="等线" w:ascii="Arial" w:cs="Arial" w:hAnsi="Arial"/>
          <w:b w:val="true"/>
          <w:sz w:val="30"/>
        </w:rPr>
        <w:t>11.2 V2.0 二期迭代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新增小程序端、真实图纸上传、AI深度学习优化、营收预测、全量数据复盘功能。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59970">
    <w:lvl>
      <w:numFmt w:val="bullet"/>
      <w:suff w:val="tab"/>
      <w:lvlText w:val="•"/>
      <w:rPr>
        <w:color w:val="3370ff"/>
      </w:rPr>
    </w:lvl>
  </w:abstractNum>
  <w:abstractNum w:abstractNumId="459971">
    <w:lvl>
      <w:numFmt w:val="bullet"/>
      <w:suff w:val="tab"/>
      <w:lvlText w:val="•"/>
      <w:rPr>
        <w:color w:val="3370ff"/>
      </w:rPr>
    </w:lvl>
  </w:abstractNum>
  <w:abstractNum w:abstractNumId="459972">
    <w:lvl>
      <w:numFmt w:val="bullet"/>
      <w:suff w:val="tab"/>
      <w:lvlText w:val="•"/>
      <w:rPr>
        <w:color w:val="3370ff"/>
      </w:rPr>
    </w:lvl>
  </w:abstractNum>
  <w:abstractNum w:abstractNumId="459973">
    <w:lvl>
      <w:numFmt w:val="bullet"/>
      <w:suff w:val="tab"/>
      <w:lvlText w:val="•"/>
      <w:rPr>
        <w:color w:val="3370ff"/>
      </w:rPr>
    </w:lvl>
  </w:abstractNum>
  <w:abstractNum w:abstractNumId="459974">
    <w:lvl>
      <w:numFmt w:val="bullet"/>
      <w:suff w:val="tab"/>
      <w:lvlText w:val="•"/>
      <w:rPr>
        <w:color w:val="3370ff"/>
      </w:rPr>
    </w:lvl>
  </w:abstractNum>
  <w:abstractNum w:abstractNumId="459975">
    <w:lvl>
      <w:start w:val="1"/>
      <w:numFmt w:val="decimal"/>
      <w:suff w:val="tab"/>
      <w:lvlText w:val="%1."/>
      <w:rPr>
        <w:color w:val="3370ff"/>
      </w:rPr>
    </w:lvl>
  </w:abstractNum>
  <w:abstractNum w:abstractNumId="459976">
    <w:lvl>
      <w:start w:val="2"/>
      <w:numFmt w:val="decimal"/>
      <w:suff w:val="tab"/>
      <w:lvlText w:val="%1."/>
      <w:rPr>
        <w:color w:val="3370ff"/>
      </w:rPr>
    </w:lvl>
  </w:abstractNum>
  <w:abstractNum w:abstractNumId="459977">
    <w:lvl>
      <w:numFmt w:val="bullet"/>
      <w:suff w:val="tab"/>
      <w:lvlText w:val="•"/>
      <w:rPr>
        <w:color w:val="3370ff"/>
      </w:rPr>
    </w:lvl>
  </w:abstractNum>
  <w:abstractNum w:abstractNumId="459978">
    <w:lvl>
      <w:numFmt w:val="bullet"/>
      <w:suff w:val="tab"/>
      <w:lvlText w:val="•"/>
      <w:rPr>
        <w:color w:val="3370ff"/>
      </w:rPr>
    </w:lvl>
  </w:abstractNum>
  <w:abstractNum w:abstractNumId="459979">
    <w:lvl>
      <w:numFmt w:val="bullet"/>
      <w:suff w:val="tab"/>
      <w:lvlText w:val="•"/>
      <w:rPr>
        <w:color w:val="3370ff"/>
      </w:rPr>
    </w:lvl>
  </w:abstractNum>
  <w:abstractNum w:abstractNumId="459980">
    <w:lvl>
      <w:numFmt w:val="bullet"/>
      <w:suff w:val="tab"/>
      <w:lvlText w:val="•"/>
      <w:rPr>
        <w:color w:val="3370ff"/>
      </w:rPr>
    </w:lvl>
  </w:abstractNum>
  <w:abstractNum w:abstractNumId="459981">
    <w:lvl>
      <w:numFmt w:val="bullet"/>
      <w:suff w:val="tab"/>
      <w:lvlText w:val="•"/>
      <w:rPr>
        <w:color w:val="3370ff"/>
      </w:rPr>
    </w:lvl>
  </w:abstractNum>
  <w:abstractNum w:abstractNumId="459982">
    <w:lvl>
      <w:numFmt w:val="bullet"/>
      <w:suff w:val="tab"/>
      <w:lvlText w:val="•"/>
      <w:rPr>
        <w:color w:val="3370ff"/>
      </w:rPr>
    </w:lvl>
  </w:abstractNum>
  <w:abstractNum w:abstractNumId="459983">
    <w:lvl>
      <w:numFmt w:val="bullet"/>
      <w:suff w:val="tab"/>
      <w:lvlText w:val="•"/>
      <w:rPr>
        <w:color w:val="3370ff"/>
      </w:rPr>
    </w:lvl>
  </w:abstractNum>
  <w:abstractNum w:abstractNumId="459984">
    <w:lvl>
      <w:numFmt w:val="bullet"/>
      <w:suff w:val="tab"/>
      <w:lvlText w:val="•"/>
      <w:rPr>
        <w:color w:val="3370ff"/>
      </w:rPr>
    </w:lvl>
  </w:abstractNum>
  <w:abstractNum w:abstractNumId="459985">
    <w:lvl>
      <w:numFmt w:val="bullet"/>
      <w:suff w:val="tab"/>
      <w:lvlText w:val="•"/>
      <w:rPr>
        <w:color w:val="3370ff"/>
      </w:rPr>
    </w:lvl>
  </w:abstractNum>
  <w:abstractNum w:abstractNumId="459986">
    <w:lvl>
      <w:numFmt w:val="bullet"/>
      <w:suff w:val="tab"/>
      <w:lvlText w:val="•"/>
      <w:rPr>
        <w:color w:val="3370ff"/>
      </w:rPr>
    </w:lvl>
  </w:abstractNum>
  <w:abstractNum w:abstractNumId="459987">
    <w:lvl>
      <w:numFmt w:val="bullet"/>
      <w:suff w:val="tab"/>
      <w:lvlText w:val="•"/>
      <w:rPr>
        <w:color w:val="3370ff"/>
      </w:rPr>
    </w:lvl>
  </w:abstractNum>
  <w:abstractNum w:abstractNumId="459988">
    <w:lvl>
      <w:numFmt w:val="bullet"/>
      <w:suff w:val="tab"/>
      <w:lvlText w:val="•"/>
      <w:rPr>
        <w:color w:val="3370ff"/>
      </w:rPr>
    </w:lvl>
  </w:abstractNum>
  <w:abstractNum w:abstractNumId="459989">
    <w:lvl>
      <w:numFmt w:val="bullet"/>
      <w:suff w:val="tab"/>
      <w:lvlText w:val="•"/>
      <w:rPr>
        <w:color w:val="3370ff"/>
      </w:rPr>
    </w:lvl>
  </w:abstractNum>
  <w:abstractNum w:abstractNumId="459990">
    <w:lvl>
      <w:numFmt w:val="bullet"/>
      <w:suff w:val="tab"/>
      <w:lvlText w:val="•"/>
      <w:rPr>
        <w:color w:val="3370ff"/>
      </w:rPr>
    </w:lvl>
  </w:abstractNum>
  <w:abstractNum w:abstractNumId="459991">
    <w:lvl>
      <w:numFmt w:val="bullet"/>
      <w:suff w:val="tab"/>
      <w:lvlText w:val="•"/>
      <w:rPr>
        <w:color w:val="3370ff"/>
      </w:rPr>
    </w:lvl>
  </w:abstractNum>
  <w:abstractNum w:abstractNumId="459992">
    <w:lvl>
      <w:numFmt w:val="bullet"/>
      <w:suff w:val="tab"/>
      <w:lvlText w:val="•"/>
      <w:rPr>
        <w:color w:val="3370ff"/>
      </w:rPr>
    </w:lvl>
  </w:abstractNum>
  <w:abstractNum w:abstractNumId="459993">
    <w:lvl>
      <w:start w:val="1"/>
      <w:numFmt w:val="decimal"/>
      <w:suff w:val="tab"/>
      <w:lvlText w:val="%1."/>
      <w:rPr>
        <w:color w:val="3370ff"/>
      </w:rPr>
    </w:lvl>
  </w:abstractNum>
  <w:abstractNum w:abstractNumId="459994">
    <w:lvl>
      <w:start w:val="2"/>
      <w:numFmt w:val="decimal"/>
      <w:suff w:val="tab"/>
      <w:lvlText w:val="%1."/>
      <w:rPr>
        <w:color w:val="3370ff"/>
      </w:rPr>
    </w:lvl>
  </w:abstractNum>
  <w:abstractNum w:abstractNumId="459995">
    <w:lvl>
      <w:start w:val="3"/>
      <w:numFmt w:val="decimal"/>
      <w:suff w:val="tab"/>
      <w:lvlText w:val="%1."/>
      <w:rPr>
        <w:color w:val="3370ff"/>
      </w:rPr>
    </w:lvl>
  </w:abstractNum>
  <w:abstractNum w:abstractNumId="459996">
    <w:lvl>
      <w:start w:val="4"/>
      <w:numFmt w:val="decimal"/>
      <w:suff w:val="tab"/>
      <w:lvlText w:val="%1."/>
      <w:rPr>
        <w:color w:val="3370ff"/>
      </w:rPr>
    </w:lvl>
  </w:abstractNum>
  <w:abstractNum w:abstractNumId="459997">
    <w:lvl>
      <w:start w:val="5"/>
      <w:numFmt w:val="decimal"/>
      <w:suff w:val="tab"/>
      <w:lvlText w:val="%1."/>
      <w:rPr>
        <w:color w:val="3370ff"/>
      </w:rPr>
    </w:lvl>
  </w:abstractNum>
  <w:abstractNum w:abstractNumId="459998">
    <w:lvl>
      <w:numFmt w:val="bullet"/>
      <w:suff w:val="tab"/>
      <w:lvlText w:val="•"/>
      <w:rPr>
        <w:color w:val="3370ff"/>
      </w:rPr>
    </w:lvl>
  </w:abstractNum>
  <w:abstractNum w:abstractNumId="459999">
    <w:lvl>
      <w:numFmt w:val="bullet"/>
      <w:suff w:val="tab"/>
      <w:lvlText w:val="•"/>
      <w:rPr>
        <w:color w:val="3370ff"/>
      </w:rPr>
    </w:lvl>
  </w:abstractNum>
  <w:abstractNum w:abstractNumId="460000">
    <w:lvl>
      <w:numFmt w:val="bullet"/>
      <w:suff w:val="tab"/>
      <w:lvlText w:val="•"/>
      <w:rPr>
        <w:color w:val="3370ff"/>
      </w:rPr>
    </w:lvl>
  </w:abstractNum>
  <w:abstractNum w:abstractNumId="460001">
    <w:lvl>
      <w:numFmt w:val="bullet"/>
      <w:suff w:val="tab"/>
      <w:lvlText w:val="•"/>
      <w:rPr>
        <w:color w:val="3370ff"/>
      </w:rPr>
    </w:lvl>
  </w:abstractNum>
  <w:abstractNum w:abstractNumId="460002">
    <w:lvl>
      <w:numFmt w:val="bullet"/>
      <w:suff w:val="tab"/>
      <w:lvlText w:val="•"/>
      <w:rPr>
        <w:color w:val="3370ff"/>
      </w:rPr>
    </w:lvl>
  </w:abstractNum>
  <w:abstractNum w:abstractNumId="460003">
    <w:lvl>
      <w:numFmt w:val="bullet"/>
      <w:suff w:val="tab"/>
      <w:lvlText w:val="•"/>
      <w:rPr>
        <w:color w:val="3370ff"/>
      </w:rPr>
    </w:lvl>
  </w:abstractNum>
  <w:abstractNum w:abstractNumId="460004">
    <w:lvl>
      <w:numFmt w:val="bullet"/>
      <w:suff w:val="tab"/>
      <w:lvlText w:val="•"/>
      <w:rPr>
        <w:color w:val="3370ff"/>
      </w:rPr>
    </w:lvl>
  </w:abstractNum>
  <w:abstractNum w:abstractNumId="460005">
    <w:lvl>
      <w:numFmt w:val="bullet"/>
      <w:suff w:val="tab"/>
      <w:lvlText w:val="•"/>
      <w:rPr>
        <w:color w:val="3370ff"/>
      </w:rPr>
    </w:lvl>
  </w:abstractNum>
  <w:abstractNum w:abstractNumId="460006">
    <w:lvl>
      <w:numFmt w:val="bullet"/>
      <w:suff w:val="tab"/>
      <w:lvlText w:val="•"/>
      <w:rPr>
        <w:color w:val="3370ff"/>
      </w:rPr>
    </w:lvl>
  </w:abstractNum>
  <w:abstractNum w:abstractNumId="460007">
    <w:lvl>
      <w:numFmt w:val="bullet"/>
      <w:suff w:val="tab"/>
      <w:lvlText w:val="•"/>
      <w:rPr>
        <w:color w:val="3370ff"/>
      </w:rPr>
    </w:lvl>
  </w:abstractNum>
  <w:abstractNum w:abstractNumId="460008">
    <w:lvl>
      <w:numFmt w:val="bullet"/>
      <w:suff w:val="tab"/>
      <w:lvlText w:val="•"/>
      <w:rPr>
        <w:color w:val="3370ff"/>
      </w:rPr>
    </w:lvl>
  </w:abstractNum>
  <w:abstractNum w:abstractNumId="460009">
    <w:lvl>
      <w:numFmt w:val="bullet"/>
      <w:suff w:val="tab"/>
      <w:lvlText w:val="•"/>
      <w:rPr>
        <w:color w:val="3370ff"/>
      </w:rPr>
    </w:lvl>
  </w:abstractNum>
  <w:num w:numId="1">
    <w:abstractNumId w:val="459970"/>
  </w:num>
  <w:num w:numId="2">
    <w:abstractNumId w:val="459971"/>
  </w:num>
  <w:num w:numId="3">
    <w:abstractNumId w:val="459972"/>
  </w:num>
  <w:num w:numId="4">
    <w:abstractNumId w:val="459973"/>
  </w:num>
  <w:num w:numId="5">
    <w:abstractNumId w:val="459974"/>
  </w:num>
  <w:num w:numId="6">
    <w:abstractNumId w:val="459975"/>
  </w:num>
  <w:num w:numId="7">
    <w:abstractNumId w:val="459976"/>
  </w:num>
  <w:num w:numId="8">
    <w:abstractNumId w:val="459977"/>
  </w:num>
  <w:num w:numId="9">
    <w:abstractNumId w:val="459978"/>
  </w:num>
  <w:num w:numId="10">
    <w:abstractNumId w:val="459979"/>
  </w:num>
  <w:num w:numId="11">
    <w:abstractNumId w:val="459980"/>
  </w:num>
  <w:num w:numId="12">
    <w:abstractNumId w:val="459981"/>
  </w:num>
  <w:num w:numId="13">
    <w:abstractNumId w:val="459982"/>
  </w:num>
  <w:num w:numId="14">
    <w:abstractNumId w:val="459983"/>
  </w:num>
  <w:num w:numId="15">
    <w:abstractNumId w:val="459984"/>
  </w:num>
  <w:num w:numId="16">
    <w:abstractNumId w:val="459985"/>
  </w:num>
  <w:num w:numId="17">
    <w:abstractNumId w:val="459986"/>
  </w:num>
  <w:num w:numId="18">
    <w:abstractNumId w:val="459987"/>
  </w:num>
  <w:num w:numId="19">
    <w:abstractNumId w:val="459988"/>
  </w:num>
  <w:num w:numId="20">
    <w:abstractNumId w:val="459989"/>
  </w:num>
  <w:num w:numId="21">
    <w:abstractNumId w:val="459990"/>
  </w:num>
  <w:num w:numId="22">
    <w:abstractNumId w:val="459991"/>
  </w:num>
  <w:num w:numId="23">
    <w:abstractNumId w:val="459992"/>
  </w:num>
  <w:num w:numId="24">
    <w:abstractNumId w:val="459993"/>
  </w:num>
  <w:num w:numId="25">
    <w:abstractNumId w:val="459994"/>
  </w:num>
  <w:num w:numId="26">
    <w:abstractNumId w:val="459995"/>
  </w:num>
  <w:num w:numId="27">
    <w:abstractNumId w:val="459996"/>
  </w:num>
  <w:num w:numId="28">
    <w:abstractNumId w:val="459997"/>
  </w:num>
  <w:num w:numId="29">
    <w:abstractNumId w:val="459998"/>
  </w:num>
  <w:num w:numId="30">
    <w:abstractNumId w:val="459999"/>
  </w:num>
  <w:num w:numId="31">
    <w:abstractNumId w:val="460000"/>
  </w:num>
  <w:num w:numId="32">
    <w:abstractNumId w:val="460001"/>
  </w:num>
  <w:num w:numId="33">
    <w:abstractNumId w:val="460002"/>
  </w:num>
  <w:num w:numId="34">
    <w:abstractNumId w:val="460003"/>
  </w:num>
  <w:num w:numId="35">
    <w:abstractNumId w:val="460004"/>
  </w:num>
  <w:num w:numId="36">
    <w:abstractNumId w:val="460005"/>
  </w:num>
  <w:num w:numId="37">
    <w:abstractNumId w:val="460006"/>
  </w:num>
  <w:num w:numId="38">
    <w:abstractNumId w:val="460007"/>
  </w:num>
  <w:num w:numId="39">
    <w:abstractNumId w:val="460008"/>
  </w:num>
  <w:num w:numId="40">
    <w:abstractNumId w:val="4600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2026-06-20T13:13:05Z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{"Label":"1","ContentProducer":"001191110102MACQD9K64010000","ProduceID":"7653464860123515857","ReservedCode1":"","ContentPropagator":"","PropagateID":"","ReservedCode2":""}</vt:lpwstr>
  </property>
</Properties>
</file>