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162CC" w:rsidRDefault="002162CC" w:rsidP="002162CC">
      <w:r>
        <w:t>126. In collectivist cultures, individuals engage in more conspicuous consumption behaviors compared to individualistic cultures.</w:t>
      </w:r>
    </w:p>
    <w:p w:rsidR="002162CC" w:rsidRDefault="002162CC" w:rsidP="002162CC">
      <w:r>
        <w:t>299. Employees who experience higher levels of social media disengagement and work under supervisors who are human-like bots are more likely to be subjected to abusive supervision compared to employees who are more engaged on social media and work under human supervisors.</w:t>
      </w:r>
    </w:p>
    <w:p w:rsidR="002162CC" w:rsidRDefault="002162CC" w:rsidP="002162CC">
      <w:r>
        <w:t xml:space="preserve"> 308. Organizations that use chatbots with more human-like interactions during the recruitment process will have a higher success rate in attracting and hiring top talent.</w:t>
      </w:r>
    </w:p>
    <w:p w:rsidR="002162CC" w:rsidRDefault="002162CC" w:rsidP="002162CC"/>
    <w:p w:rsidR="002162CC" w:rsidRDefault="002162CC" w:rsidP="002162CC"/>
    <w:tbl>
      <w:tblPr>
        <w:tblStyle w:val="TableGrid"/>
        <w:tblW w:w="0" w:type="auto"/>
        <w:tblLook w:val="04A0" w:firstRow="1" w:lastRow="0" w:firstColumn="1" w:lastColumn="0" w:noHBand="0" w:noVBand="1"/>
      </w:tblPr>
      <w:tblGrid>
        <w:gridCol w:w="704"/>
        <w:gridCol w:w="828"/>
        <w:gridCol w:w="873"/>
        <w:gridCol w:w="1015"/>
        <w:gridCol w:w="910"/>
        <w:gridCol w:w="910"/>
        <w:gridCol w:w="978"/>
        <w:gridCol w:w="910"/>
        <w:gridCol w:w="764"/>
        <w:gridCol w:w="1124"/>
      </w:tblGrid>
      <w:tr w:rsidR="002162CC" w:rsidRPr="002162CC" w:rsidTr="002162CC">
        <w:trPr>
          <w:trHeight w:val="300"/>
        </w:trPr>
        <w:tc>
          <w:tcPr>
            <w:tcW w:w="704" w:type="dxa"/>
            <w:noWrap/>
            <w:hideMark/>
          </w:tcPr>
          <w:p w:rsidR="002162CC" w:rsidRPr="002162CC" w:rsidRDefault="002162CC" w:rsidP="002162CC"/>
        </w:tc>
        <w:tc>
          <w:tcPr>
            <w:tcW w:w="2716" w:type="dxa"/>
            <w:gridSpan w:val="3"/>
            <w:noWrap/>
            <w:hideMark/>
          </w:tcPr>
          <w:p w:rsidR="002162CC" w:rsidRPr="002162CC" w:rsidRDefault="002162CC" w:rsidP="002162CC">
            <w:pPr>
              <w:jc w:val="center"/>
            </w:pPr>
            <w:r w:rsidRPr="002162CC">
              <w:t>126</w:t>
            </w:r>
          </w:p>
        </w:tc>
        <w:tc>
          <w:tcPr>
            <w:tcW w:w="2798" w:type="dxa"/>
            <w:gridSpan w:val="3"/>
            <w:hideMark/>
          </w:tcPr>
          <w:p w:rsidR="002162CC" w:rsidRPr="002162CC" w:rsidRDefault="002162CC" w:rsidP="002162CC">
            <w:pPr>
              <w:jc w:val="center"/>
            </w:pPr>
            <w:r w:rsidRPr="002162CC">
              <w:t>299</w:t>
            </w:r>
          </w:p>
        </w:tc>
        <w:tc>
          <w:tcPr>
            <w:tcW w:w="2798" w:type="dxa"/>
            <w:gridSpan w:val="3"/>
            <w:noWrap/>
            <w:hideMark/>
          </w:tcPr>
          <w:p w:rsidR="002162CC" w:rsidRPr="002162CC" w:rsidRDefault="002162CC" w:rsidP="002162CC">
            <w:pPr>
              <w:jc w:val="center"/>
            </w:pPr>
            <w:r w:rsidRPr="002162CC">
              <w:t>308</w:t>
            </w:r>
          </w:p>
        </w:tc>
      </w:tr>
      <w:tr w:rsidR="002162CC" w:rsidRPr="002162CC" w:rsidTr="002162CC">
        <w:trPr>
          <w:trHeight w:val="300"/>
        </w:trPr>
        <w:tc>
          <w:tcPr>
            <w:tcW w:w="704" w:type="dxa"/>
            <w:noWrap/>
            <w:hideMark/>
          </w:tcPr>
          <w:p w:rsidR="002162CC" w:rsidRPr="002162CC" w:rsidRDefault="002162CC" w:rsidP="002162CC"/>
        </w:tc>
        <w:tc>
          <w:tcPr>
            <w:tcW w:w="828" w:type="dxa"/>
            <w:noWrap/>
            <w:hideMark/>
          </w:tcPr>
          <w:p w:rsidR="002162CC" w:rsidRPr="002162CC" w:rsidRDefault="002162CC" w:rsidP="002162CC">
            <w:pPr>
              <w:jc w:val="center"/>
              <w:rPr>
                <w:sz w:val="16"/>
                <w:szCs w:val="16"/>
              </w:rPr>
            </w:pPr>
            <w:r w:rsidRPr="002162CC">
              <w:rPr>
                <w:sz w:val="16"/>
                <w:szCs w:val="16"/>
              </w:rPr>
              <w:t>Validness</w:t>
            </w:r>
          </w:p>
        </w:tc>
        <w:tc>
          <w:tcPr>
            <w:tcW w:w="873" w:type="dxa"/>
            <w:noWrap/>
            <w:hideMark/>
          </w:tcPr>
          <w:p w:rsidR="002162CC" w:rsidRPr="002162CC" w:rsidRDefault="002162CC" w:rsidP="002162CC">
            <w:pPr>
              <w:jc w:val="center"/>
              <w:rPr>
                <w:sz w:val="16"/>
                <w:szCs w:val="16"/>
              </w:rPr>
            </w:pPr>
            <w:r w:rsidRPr="002162CC">
              <w:rPr>
                <w:sz w:val="16"/>
                <w:szCs w:val="16"/>
              </w:rPr>
              <w:t>Novelty</w:t>
            </w:r>
          </w:p>
        </w:tc>
        <w:tc>
          <w:tcPr>
            <w:tcW w:w="1015" w:type="dxa"/>
            <w:noWrap/>
            <w:hideMark/>
          </w:tcPr>
          <w:p w:rsidR="002162CC" w:rsidRPr="002162CC" w:rsidRDefault="002162CC" w:rsidP="002162CC">
            <w:pPr>
              <w:jc w:val="center"/>
              <w:rPr>
                <w:sz w:val="16"/>
                <w:szCs w:val="16"/>
              </w:rPr>
            </w:pPr>
            <w:r w:rsidRPr="002162CC">
              <w:rPr>
                <w:sz w:val="16"/>
                <w:szCs w:val="16"/>
              </w:rPr>
              <w:t>Helpfulness</w:t>
            </w:r>
          </w:p>
        </w:tc>
        <w:tc>
          <w:tcPr>
            <w:tcW w:w="910" w:type="dxa"/>
            <w:noWrap/>
            <w:hideMark/>
          </w:tcPr>
          <w:p w:rsidR="002162CC" w:rsidRPr="002162CC" w:rsidRDefault="002162CC" w:rsidP="002162CC">
            <w:pPr>
              <w:jc w:val="center"/>
              <w:rPr>
                <w:sz w:val="16"/>
                <w:szCs w:val="16"/>
              </w:rPr>
            </w:pPr>
            <w:r w:rsidRPr="002162CC">
              <w:rPr>
                <w:sz w:val="16"/>
                <w:szCs w:val="16"/>
              </w:rPr>
              <w:t>Validness</w:t>
            </w:r>
          </w:p>
        </w:tc>
        <w:tc>
          <w:tcPr>
            <w:tcW w:w="910" w:type="dxa"/>
            <w:noWrap/>
            <w:hideMark/>
          </w:tcPr>
          <w:p w:rsidR="002162CC" w:rsidRPr="002162CC" w:rsidRDefault="002162CC" w:rsidP="002162CC">
            <w:pPr>
              <w:jc w:val="center"/>
              <w:rPr>
                <w:sz w:val="16"/>
                <w:szCs w:val="16"/>
              </w:rPr>
            </w:pPr>
            <w:r w:rsidRPr="002162CC">
              <w:rPr>
                <w:sz w:val="16"/>
                <w:szCs w:val="16"/>
              </w:rPr>
              <w:t>Novelty</w:t>
            </w:r>
          </w:p>
        </w:tc>
        <w:tc>
          <w:tcPr>
            <w:tcW w:w="978" w:type="dxa"/>
            <w:noWrap/>
            <w:hideMark/>
          </w:tcPr>
          <w:p w:rsidR="002162CC" w:rsidRPr="002162CC" w:rsidRDefault="002162CC" w:rsidP="002162CC">
            <w:pPr>
              <w:jc w:val="center"/>
              <w:rPr>
                <w:sz w:val="16"/>
                <w:szCs w:val="16"/>
              </w:rPr>
            </w:pPr>
            <w:r w:rsidRPr="002162CC">
              <w:rPr>
                <w:sz w:val="16"/>
                <w:szCs w:val="16"/>
              </w:rPr>
              <w:t>Helpfulness</w:t>
            </w:r>
          </w:p>
        </w:tc>
        <w:tc>
          <w:tcPr>
            <w:tcW w:w="910" w:type="dxa"/>
            <w:noWrap/>
            <w:hideMark/>
          </w:tcPr>
          <w:p w:rsidR="002162CC" w:rsidRPr="002162CC" w:rsidRDefault="002162CC" w:rsidP="002162CC">
            <w:pPr>
              <w:jc w:val="center"/>
              <w:rPr>
                <w:sz w:val="16"/>
                <w:szCs w:val="16"/>
              </w:rPr>
            </w:pPr>
            <w:r w:rsidRPr="002162CC">
              <w:rPr>
                <w:sz w:val="16"/>
                <w:szCs w:val="16"/>
              </w:rPr>
              <w:t>Validness</w:t>
            </w:r>
          </w:p>
        </w:tc>
        <w:tc>
          <w:tcPr>
            <w:tcW w:w="764" w:type="dxa"/>
            <w:noWrap/>
            <w:hideMark/>
          </w:tcPr>
          <w:p w:rsidR="002162CC" w:rsidRPr="002162CC" w:rsidRDefault="002162CC" w:rsidP="002162CC">
            <w:pPr>
              <w:jc w:val="center"/>
              <w:rPr>
                <w:sz w:val="16"/>
                <w:szCs w:val="16"/>
              </w:rPr>
            </w:pPr>
            <w:r w:rsidRPr="002162CC">
              <w:rPr>
                <w:sz w:val="16"/>
                <w:szCs w:val="16"/>
              </w:rPr>
              <w:t>Novelty</w:t>
            </w:r>
          </w:p>
        </w:tc>
        <w:tc>
          <w:tcPr>
            <w:tcW w:w="1124" w:type="dxa"/>
            <w:noWrap/>
            <w:hideMark/>
          </w:tcPr>
          <w:p w:rsidR="002162CC" w:rsidRPr="002162CC" w:rsidRDefault="002162CC" w:rsidP="002162CC">
            <w:pPr>
              <w:jc w:val="center"/>
              <w:rPr>
                <w:sz w:val="16"/>
                <w:szCs w:val="16"/>
              </w:rPr>
            </w:pPr>
            <w:r w:rsidRPr="002162CC">
              <w:rPr>
                <w:sz w:val="16"/>
                <w:szCs w:val="16"/>
              </w:rPr>
              <w:t>Helpfulness</w:t>
            </w:r>
          </w:p>
        </w:tc>
      </w:tr>
      <w:tr w:rsidR="002162CC" w:rsidRPr="002162CC" w:rsidTr="002162CC">
        <w:trPr>
          <w:trHeight w:val="300"/>
        </w:trPr>
        <w:tc>
          <w:tcPr>
            <w:tcW w:w="704" w:type="dxa"/>
            <w:noWrap/>
            <w:hideMark/>
          </w:tcPr>
          <w:p w:rsidR="002162CC" w:rsidRPr="002162CC" w:rsidRDefault="002162CC" w:rsidP="002162CC">
            <w:pPr>
              <w:jc w:val="center"/>
            </w:pPr>
            <w:r w:rsidRPr="002162CC">
              <w:t>EXP1</w:t>
            </w:r>
          </w:p>
        </w:tc>
        <w:tc>
          <w:tcPr>
            <w:tcW w:w="828" w:type="dxa"/>
            <w:noWrap/>
            <w:hideMark/>
          </w:tcPr>
          <w:p w:rsidR="002162CC" w:rsidRPr="002162CC" w:rsidRDefault="002162CC" w:rsidP="002162CC">
            <w:pPr>
              <w:jc w:val="center"/>
            </w:pPr>
            <w:r w:rsidRPr="002162CC">
              <w:t>4</w:t>
            </w:r>
          </w:p>
        </w:tc>
        <w:tc>
          <w:tcPr>
            <w:tcW w:w="873" w:type="dxa"/>
            <w:noWrap/>
            <w:hideMark/>
          </w:tcPr>
          <w:p w:rsidR="002162CC" w:rsidRPr="002162CC" w:rsidRDefault="002162CC" w:rsidP="002162CC">
            <w:pPr>
              <w:jc w:val="center"/>
            </w:pPr>
            <w:r w:rsidRPr="002162CC">
              <w:t>4</w:t>
            </w:r>
          </w:p>
        </w:tc>
        <w:tc>
          <w:tcPr>
            <w:tcW w:w="1015" w:type="dxa"/>
            <w:noWrap/>
            <w:hideMark/>
          </w:tcPr>
          <w:p w:rsidR="002162CC" w:rsidRPr="002162CC" w:rsidRDefault="002162CC" w:rsidP="002162CC">
            <w:pPr>
              <w:jc w:val="center"/>
            </w:pPr>
            <w:r w:rsidRPr="002162CC">
              <w:t>4</w:t>
            </w:r>
          </w:p>
        </w:tc>
        <w:tc>
          <w:tcPr>
            <w:tcW w:w="910" w:type="dxa"/>
            <w:noWrap/>
            <w:hideMark/>
          </w:tcPr>
          <w:p w:rsidR="002162CC" w:rsidRPr="002162CC" w:rsidRDefault="002162CC" w:rsidP="002162CC">
            <w:pPr>
              <w:jc w:val="center"/>
            </w:pPr>
            <w:r w:rsidRPr="002162CC">
              <w:t>3</w:t>
            </w:r>
          </w:p>
        </w:tc>
        <w:tc>
          <w:tcPr>
            <w:tcW w:w="910" w:type="dxa"/>
            <w:noWrap/>
            <w:hideMark/>
          </w:tcPr>
          <w:p w:rsidR="002162CC" w:rsidRPr="002162CC" w:rsidRDefault="002162CC" w:rsidP="002162CC">
            <w:pPr>
              <w:jc w:val="center"/>
            </w:pPr>
            <w:r w:rsidRPr="002162CC">
              <w:t>4</w:t>
            </w:r>
          </w:p>
        </w:tc>
        <w:tc>
          <w:tcPr>
            <w:tcW w:w="978" w:type="dxa"/>
            <w:noWrap/>
            <w:hideMark/>
          </w:tcPr>
          <w:p w:rsidR="002162CC" w:rsidRPr="002162CC" w:rsidRDefault="002162CC" w:rsidP="002162CC">
            <w:pPr>
              <w:jc w:val="center"/>
            </w:pPr>
            <w:r w:rsidRPr="002162CC">
              <w:t>4</w:t>
            </w:r>
          </w:p>
        </w:tc>
        <w:tc>
          <w:tcPr>
            <w:tcW w:w="910" w:type="dxa"/>
            <w:noWrap/>
            <w:hideMark/>
          </w:tcPr>
          <w:p w:rsidR="002162CC" w:rsidRPr="002162CC" w:rsidRDefault="002162CC" w:rsidP="002162CC">
            <w:pPr>
              <w:jc w:val="center"/>
            </w:pPr>
            <w:r w:rsidRPr="002162CC">
              <w:t>3</w:t>
            </w:r>
          </w:p>
        </w:tc>
        <w:tc>
          <w:tcPr>
            <w:tcW w:w="764" w:type="dxa"/>
            <w:noWrap/>
            <w:hideMark/>
          </w:tcPr>
          <w:p w:rsidR="002162CC" w:rsidRPr="002162CC" w:rsidRDefault="002162CC" w:rsidP="002162CC">
            <w:pPr>
              <w:jc w:val="center"/>
            </w:pPr>
            <w:r w:rsidRPr="002162CC">
              <w:t>4</w:t>
            </w:r>
          </w:p>
        </w:tc>
        <w:tc>
          <w:tcPr>
            <w:tcW w:w="1124" w:type="dxa"/>
            <w:noWrap/>
            <w:hideMark/>
          </w:tcPr>
          <w:p w:rsidR="002162CC" w:rsidRPr="002162CC" w:rsidRDefault="002162CC" w:rsidP="002162CC">
            <w:pPr>
              <w:jc w:val="center"/>
            </w:pPr>
            <w:r w:rsidRPr="002162CC">
              <w:t>4</w:t>
            </w:r>
          </w:p>
        </w:tc>
      </w:tr>
      <w:tr w:rsidR="002162CC" w:rsidRPr="002162CC" w:rsidTr="002162CC">
        <w:trPr>
          <w:trHeight w:val="300"/>
        </w:trPr>
        <w:tc>
          <w:tcPr>
            <w:tcW w:w="704" w:type="dxa"/>
            <w:noWrap/>
            <w:hideMark/>
          </w:tcPr>
          <w:p w:rsidR="002162CC" w:rsidRPr="002162CC" w:rsidRDefault="002162CC" w:rsidP="002162CC">
            <w:pPr>
              <w:jc w:val="center"/>
            </w:pPr>
            <w:r w:rsidRPr="002162CC">
              <w:t>EXP2</w:t>
            </w:r>
          </w:p>
        </w:tc>
        <w:tc>
          <w:tcPr>
            <w:tcW w:w="828" w:type="dxa"/>
            <w:noWrap/>
            <w:hideMark/>
          </w:tcPr>
          <w:p w:rsidR="002162CC" w:rsidRPr="002162CC" w:rsidRDefault="002162CC" w:rsidP="002162CC">
            <w:pPr>
              <w:jc w:val="center"/>
            </w:pPr>
            <w:r w:rsidRPr="002162CC">
              <w:t>3</w:t>
            </w:r>
          </w:p>
        </w:tc>
        <w:tc>
          <w:tcPr>
            <w:tcW w:w="873" w:type="dxa"/>
            <w:noWrap/>
            <w:hideMark/>
          </w:tcPr>
          <w:p w:rsidR="002162CC" w:rsidRPr="002162CC" w:rsidRDefault="002162CC" w:rsidP="002162CC">
            <w:pPr>
              <w:jc w:val="center"/>
            </w:pPr>
            <w:r w:rsidRPr="002162CC">
              <w:t>4</w:t>
            </w:r>
          </w:p>
        </w:tc>
        <w:tc>
          <w:tcPr>
            <w:tcW w:w="1015" w:type="dxa"/>
            <w:noWrap/>
            <w:hideMark/>
          </w:tcPr>
          <w:p w:rsidR="002162CC" w:rsidRPr="002162CC" w:rsidRDefault="002162CC" w:rsidP="002162CC">
            <w:pPr>
              <w:jc w:val="center"/>
            </w:pPr>
            <w:r w:rsidRPr="002162CC">
              <w:t>4</w:t>
            </w:r>
          </w:p>
        </w:tc>
        <w:tc>
          <w:tcPr>
            <w:tcW w:w="910" w:type="dxa"/>
            <w:noWrap/>
            <w:hideMark/>
          </w:tcPr>
          <w:p w:rsidR="002162CC" w:rsidRPr="002162CC" w:rsidRDefault="002162CC" w:rsidP="002162CC">
            <w:pPr>
              <w:jc w:val="center"/>
            </w:pPr>
            <w:r w:rsidRPr="002162CC">
              <w:t>3</w:t>
            </w:r>
          </w:p>
        </w:tc>
        <w:tc>
          <w:tcPr>
            <w:tcW w:w="910" w:type="dxa"/>
            <w:noWrap/>
            <w:hideMark/>
          </w:tcPr>
          <w:p w:rsidR="002162CC" w:rsidRPr="002162CC" w:rsidRDefault="002162CC" w:rsidP="002162CC">
            <w:pPr>
              <w:jc w:val="center"/>
            </w:pPr>
            <w:r w:rsidRPr="002162CC">
              <w:t>3</w:t>
            </w:r>
          </w:p>
        </w:tc>
        <w:tc>
          <w:tcPr>
            <w:tcW w:w="978" w:type="dxa"/>
            <w:noWrap/>
            <w:hideMark/>
          </w:tcPr>
          <w:p w:rsidR="002162CC" w:rsidRPr="002162CC" w:rsidRDefault="002162CC" w:rsidP="002162CC">
            <w:pPr>
              <w:jc w:val="center"/>
            </w:pPr>
            <w:r w:rsidRPr="002162CC">
              <w:t>3</w:t>
            </w:r>
          </w:p>
        </w:tc>
        <w:tc>
          <w:tcPr>
            <w:tcW w:w="910" w:type="dxa"/>
            <w:noWrap/>
            <w:hideMark/>
          </w:tcPr>
          <w:p w:rsidR="002162CC" w:rsidRPr="002162CC" w:rsidRDefault="002162CC" w:rsidP="002162CC">
            <w:pPr>
              <w:jc w:val="center"/>
            </w:pPr>
            <w:r w:rsidRPr="002162CC">
              <w:t>2</w:t>
            </w:r>
          </w:p>
        </w:tc>
        <w:tc>
          <w:tcPr>
            <w:tcW w:w="764" w:type="dxa"/>
            <w:noWrap/>
            <w:hideMark/>
          </w:tcPr>
          <w:p w:rsidR="002162CC" w:rsidRPr="002162CC" w:rsidRDefault="002162CC" w:rsidP="002162CC">
            <w:pPr>
              <w:jc w:val="center"/>
            </w:pPr>
            <w:r w:rsidRPr="002162CC">
              <w:t>4</w:t>
            </w:r>
          </w:p>
        </w:tc>
        <w:tc>
          <w:tcPr>
            <w:tcW w:w="1124" w:type="dxa"/>
            <w:noWrap/>
            <w:hideMark/>
          </w:tcPr>
          <w:p w:rsidR="002162CC" w:rsidRPr="002162CC" w:rsidRDefault="002162CC" w:rsidP="002162CC">
            <w:pPr>
              <w:jc w:val="center"/>
            </w:pPr>
            <w:r w:rsidRPr="002162CC">
              <w:t>4</w:t>
            </w:r>
          </w:p>
        </w:tc>
      </w:tr>
      <w:tr w:rsidR="002162CC" w:rsidRPr="002162CC" w:rsidTr="002162CC">
        <w:trPr>
          <w:trHeight w:val="300"/>
        </w:trPr>
        <w:tc>
          <w:tcPr>
            <w:tcW w:w="704" w:type="dxa"/>
            <w:noWrap/>
            <w:hideMark/>
          </w:tcPr>
          <w:p w:rsidR="002162CC" w:rsidRPr="002162CC" w:rsidRDefault="002162CC" w:rsidP="002162CC">
            <w:pPr>
              <w:jc w:val="center"/>
            </w:pPr>
            <w:r w:rsidRPr="002162CC">
              <w:t>EXP3</w:t>
            </w:r>
          </w:p>
        </w:tc>
        <w:tc>
          <w:tcPr>
            <w:tcW w:w="828" w:type="dxa"/>
            <w:noWrap/>
            <w:hideMark/>
          </w:tcPr>
          <w:p w:rsidR="002162CC" w:rsidRPr="002162CC" w:rsidRDefault="002162CC" w:rsidP="002162CC">
            <w:pPr>
              <w:jc w:val="center"/>
            </w:pPr>
            <w:r w:rsidRPr="002162CC">
              <w:t>3</w:t>
            </w:r>
          </w:p>
        </w:tc>
        <w:tc>
          <w:tcPr>
            <w:tcW w:w="873" w:type="dxa"/>
            <w:noWrap/>
            <w:hideMark/>
          </w:tcPr>
          <w:p w:rsidR="002162CC" w:rsidRPr="002162CC" w:rsidRDefault="002162CC" w:rsidP="002162CC">
            <w:pPr>
              <w:jc w:val="center"/>
            </w:pPr>
            <w:r w:rsidRPr="002162CC">
              <w:t>4</w:t>
            </w:r>
          </w:p>
        </w:tc>
        <w:tc>
          <w:tcPr>
            <w:tcW w:w="1015" w:type="dxa"/>
            <w:noWrap/>
            <w:hideMark/>
          </w:tcPr>
          <w:p w:rsidR="002162CC" w:rsidRPr="002162CC" w:rsidRDefault="002162CC" w:rsidP="002162CC">
            <w:pPr>
              <w:jc w:val="center"/>
            </w:pPr>
            <w:r w:rsidRPr="002162CC">
              <w:t>4</w:t>
            </w:r>
          </w:p>
        </w:tc>
        <w:tc>
          <w:tcPr>
            <w:tcW w:w="910" w:type="dxa"/>
            <w:noWrap/>
            <w:hideMark/>
          </w:tcPr>
          <w:p w:rsidR="002162CC" w:rsidRPr="002162CC" w:rsidRDefault="002162CC" w:rsidP="002162CC">
            <w:pPr>
              <w:jc w:val="center"/>
            </w:pPr>
            <w:r w:rsidRPr="002162CC">
              <w:t>3</w:t>
            </w:r>
          </w:p>
        </w:tc>
        <w:tc>
          <w:tcPr>
            <w:tcW w:w="910" w:type="dxa"/>
            <w:noWrap/>
            <w:hideMark/>
          </w:tcPr>
          <w:p w:rsidR="002162CC" w:rsidRPr="002162CC" w:rsidRDefault="002162CC" w:rsidP="002162CC">
            <w:pPr>
              <w:jc w:val="center"/>
            </w:pPr>
            <w:r w:rsidRPr="002162CC">
              <w:t>4</w:t>
            </w:r>
          </w:p>
        </w:tc>
        <w:tc>
          <w:tcPr>
            <w:tcW w:w="978" w:type="dxa"/>
            <w:noWrap/>
            <w:hideMark/>
          </w:tcPr>
          <w:p w:rsidR="002162CC" w:rsidRPr="002162CC" w:rsidRDefault="002162CC" w:rsidP="002162CC">
            <w:pPr>
              <w:jc w:val="center"/>
            </w:pPr>
            <w:r w:rsidRPr="002162CC">
              <w:t>3</w:t>
            </w:r>
          </w:p>
        </w:tc>
        <w:tc>
          <w:tcPr>
            <w:tcW w:w="910" w:type="dxa"/>
            <w:noWrap/>
            <w:hideMark/>
          </w:tcPr>
          <w:p w:rsidR="002162CC" w:rsidRPr="002162CC" w:rsidRDefault="002162CC" w:rsidP="002162CC">
            <w:pPr>
              <w:jc w:val="center"/>
            </w:pPr>
            <w:r w:rsidRPr="002162CC">
              <w:t>3</w:t>
            </w:r>
          </w:p>
        </w:tc>
        <w:tc>
          <w:tcPr>
            <w:tcW w:w="764" w:type="dxa"/>
            <w:noWrap/>
            <w:hideMark/>
          </w:tcPr>
          <w:p w:rsidR="002162CC" w:rsidRPr="002162CC" w:rsidRDefault="002162CC" w:rsidP="002162CC">
            <w:pPr>
              <w:jc w:val="center"/>
            </w:pPr>
            <w:r w:rsidRPr="002162CC">
              <w:t>4</w:t>
            </w:r>
          </w:p>
        </w:tc>
        <w:tc>
          <w:tcPr>
            <w:tcW w:w="1124" w:type="dxa"/>
            <w:noWrap/>
            <w:hideMark/>
          </w:tcPr>
          <w:p w:rsidR="002162CC" w:rsidRPr="002162CC" w:rsidRDefault="002162CC" w:rsidP="002162CC">
            <w:pPr>
              <w:jc w:val="center"/>
            </w:pPr>
            <w:r w:rsidRPr="002162CC">
              <w:t>4</w:t>
            </w:r>
          </w:p>
        </w:tc>
      </w:tr>
    </w:tbl>
    <w:p w:rsidR="002162CC" w:rsidRDefault="002162CC"/>
    <w:p w:rsidR="002162CC" w:rsidRDefault="002162CC"/>
    <w:p w:rsidR="002162CC" w:rsidRPr="002162CC" w:rsidRDefault="002162CC">
      <w:pPr>
        <w:rPr>
          <w:u w:val="single"/>
        </w:rPr>
      </w:pPr>
      <w:r w:rsidRPr="002162CC">
        <w:rPr>
          <w:u w:val="single"/>
        </w:rPr>
        <w:t>Comments for #126</w:t>
      </w:r>
    </w:p>
    <w:p w:rsidR="002162CC" w:rsidRDefault="002162CC"/>
    <w:p w:rsidR="00ED4AF8" w:rsidRDefault="00ED4AF8">
      <w:r>
        <w:t xml:space="preserve">The main reason I give a high mark for both three </w:t>
      </w:r>
      <w:r>
        <w:rPr>
          <w:rFonts w:hint="eastAsia"/>
        </w:rPr>
        <w:t>dimensions</w:t>
      </w:r>
      <w:r>
        <w:t xml:space="preserve"> </w:t>
      </w:r>
      <w:r>
        <w:rPr>
          <w:rFonts w:hint="eastAsia"/>
        </w:rPr>
        <w:t>of</w:t>
      </w:r>
      <w:r>
        <w:t xml:space="preserve"> this </w:t>
      </w:r>
      <w:r>
        <w:rPr>
          <w:rFonts w:hint="eastAsia"/>
        </w:rPr>
        <w:t>hypothesis</w:t>
      </w:r>
      <w:r>
        <w:t xml:space="preserve"> is because:</w:t>
      </w:r>
    </w:p>
    <w:p w:rsidR="00ED4AF8" w:rsidRDefault="00ED4AF8"/>
    <w:p w:rsidR="00ED4AF8" w:rsidRDefault="00ED4AF8">
      <w:r>
        <w:t>(1) For v</w:t>
      </w:r>
      <w:r w:rsidRPr="00ED4AF8">
        <w:t>alidness</w:t>
      </w:r>
      <w:r>
        <w:t>, t</w:t>
      </w:r>
      <w:r w:rsidRPr="00ED4AF8">
        <w:t>h</w:t>
      </w:r>
      <w:r>
        <w:t>is</w:t>
      </w:r>
      <w:r w:rsidRPr="00ED4AF8">
        <w:t xml:space="preserve"> hypothesis is based on existing cultural theories and empirical evidence that suggests cultural values significantly impact consumer behavior. It aligns with established concepts like collectivism and individualism that have been widely studied in cross-cultural psychology.</w:t>
      </w:r>
    </w:p>
    <w:p w:rsidR="00ED4AF8" w:rsidRDefault="00ED4AF8"/>
    <w:p w:rsidR="00ED4AF8" w:rsidRDefault="00ED4AF8">
      <w:r>
        <w:t>(2) For novelty, t</w:t>
      </w:r>
      <w:r w:rsidRPr="00ED4AF8">
        <w:t>h</w:t>
      </w:r>
      <w:r>
        <w:t>is</w:t>
      </w:r>
      <w:r w:rsidRPr="00ED4AF8">
        <w:t xml:space="preserve"> hypothesis is</w:t>
      </w:r>
      <w:r>
        <w:t xml:space="preserve"> counterintuitive to some extent. Prior r</w:t>
      </w:r>
      <w:r w:rsidRPr="00ED4AF8">
        <w:t xml:space="preserve">esearch has shown that </w:t>
      </w:r>
      <w:r>
        <w:rPr>
          <w:rFonts w:hint="eastAsia"/>
        </w:rPr>
        <w:t>c</w:t>
      </w:r>
      <w:r w:rsidRPr="00ED4AF8">
        <w:t>ollectivist cultures often prioritize group harmony, cooperation, and social cohesion over individual desires or displays of wealth. This emphasis on collective well-being might suggest a reduced inclination toward overt displays of personal wealth or status through conspicuous consumption.</w:t>
      </w:r>
      <w:r>
        <w:t xml:space="preserve"> </w:t>
      </w:r>
      <w:r w:rsidR="002162CC">
        <w:rPr>
          <w:rFonts w:hint="eastAsia"/>
        </w:rPr>
        <w:t>However</w:t>
      </w:r>
      <w:r w:rsidR="002162CC">
        <w:t>,</w:t>
      </w:r>
      <w:r>
        <w:t xml:space="preserve"> this hypothesis </w:t>
      </w:r>
      <w:r>
        <w:rPr>
          <w:rFonts w:hint="eastAsia"/>
        </w:rPr>
        <w:t>suggests</w:t>
      </w:r>
      <w:r>
        <w:t xml:space="preserve"> the opposite and </w:t>
      </w:r>
      <w:r>
        <w:rPr>
          <w:rFonts w:hint="eastAsia"/>
        </w:rPr>
        <w:t>say</w:t>
      </w:r>
      <w:r>
        <w:t xml:space="preserve">s </w:t>
      </w:r>
      <w:r w:rsidRPr="00ED4AF8">
        <w:t xml:space="preserve">individuals in collectivist cultures </w:t>
      </w:r>
      <w:r w:rsidR="002162CC">
        <w:t xml:space="preserve">could </w:t>
      </w:r>
      <w:r w:rsidRPr="00ED4AF8">
        <w:t>engage in more conspicuous consumption</w:t>
      </w:r>
      <w:r>
        <w:t xml:space="preserve">, </w:t>
      </w:r>
      <w:r w:rsidRPr="00ED4AF8">
        <w:t xml:space="preserve">which </w:t>
      </w:r>
      <w:r>
        <w:t>is</w:t>
      </w:r>
      <w:r w:rsidRPr="00ED4AF8">
        <w:t xml:space="preserve"> more commonly linked to individualistic societies in popular perceptions</w:t>
      </w:r>
      <w:r>
        <w:t>.</w:t>
      </w:r>
      <w:r w:rsidR="002162CC">
        <w:t xml:space="preserve"> </w:t>
      </w:r>
      <w:r w:rsidR="002162CC">
        <w:rPr>
          <w:rFonts w:hint="eastAsia"/>
        </w:rPr>
        <w:t>This</w:t>
      </w:r>
      <w:r w:rsidR="002162CC">
        <w:t xml:space="preserve"> </w:t>
      </w:r>
      <w:r w:rsidR="002162CC">
        <w:rPr>
          <w:rFonts w:hint="eastAsia"/>
        </w:rPr>
        <w:t>challenges</w:t>
      </w:r>
      <w:r w:rsidR="002162CC" w:rsidRPr="002162CC">
        <w:t xml:space="preserve"> the notion that members of collectivist cultures avoid </w:t>
      </w:r>
      <w:r w:rsidR="002162CC" w:rsidRPr="00ED4AF8">
        <w:t>conspicuous consumption</w:t>
      </w:r>
      <w:r w:rsidR="002162CC" w:rsidRPr="002162CC">
        <w:t xml:space="preserve"> behaviors.</w:t>
      </w:r>
    </w:p>
    <w:p w:rsidR="00ED4AF8" w:rsidRDefault="00ED4AF8"/>
    <w:p w:rsidR="00ED4AF8" w:rsidRDefault="00ED4AF8">
      <w:r>
        <w:t xml:space="preserve">(3) For helpfulness, if this </w:t>
      </w:r>
      <w:r>
        <w:rPr>
          <w:rFonts w:hint="eastAsia"/>
        </w:rPr>
        <w:t>hypothesis</w:t>
      </w:r>
      <w:r>
        <w:t xml:space="preserve"> is</w:t>
      </w:r>
      <w:r w:rsidRPr="00ED4AF8">
        <w:t xml:space="preserve"> confirmed, </w:t>
      </w:r>
      <w:r>
        <w:t>it</w:t>
      </w:r>
      <w:r w:rsidRPr="00ED4AF8">
        <w:t xml:space="preserve"> could have significant practical implications. Understanding the impact of cultural values on conspicuous consumption can assist businesses and marketers in crafting more effective cross-cultural marketing strategies. It could also aid policymakers in addressing societal issues related to consumerism.</w:t>
      </w:r>
      <w:r>
        <w:tab/>
      </w:r>
    </w:p>
    <w:p w:rsidR="005447C6" w:rsidRPr="005447C6" w:rsidRDefault="005447C6" w:rsidP="005447C6"/>
    <w:p w:rsidR="005447C6" w:rsidRDefault="005447C6" w:rsidP="005447C6"/>
    <w:p w:rsidR="005447C6" w:rsidRPr="005447C6" w:rsidRDefault="005447C6" w:rsidP="005447C6"/>
    <w:sectPr w:rsidR="005447C6" w:rsidRPr="005447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AF8"/>
    <w:rsid w:val="002162CC"/>
    <w:rsid w:val="005447C6"/>
    <w:rsid w:val="00ED4AF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66695B"/>
  <w15:chartTrackingRefBased/>
  <w15:docId w15:val="{8AC44879-10D6-B94A-B8EF-D0F097C98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62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416774">
      <w:bodyDiv w:val="1"/>
      <w:marLeft w:val="0"/>
      <w:marRight w:val="0"/>
      <w:marTop w:val="0"/>
      <w:marBottom w:val="0"/>
      <w:divBdr>
        <w:top w:val="none" w:sz="0" w:space="0" w:color="auto"/>
        <w:left w:val="none" w:sz="0" w:space="0" w:color="auto"/>
        <w:bottom w:val="none" w:sz="0" w:space="0" w:color="auto"/>
        <w:right w:val="none" w:sz="0" w:space="0" w:color="auto"/>
      </w:divBdr>
    </w:div>
    <w:div w:id="1907910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Junxian LI</dc:creator>
  <cp:keywords/>
  <dc:description/>
  <cp:lastModifiedBy>Junxian LI</cp:lastModifiedBy>
  <cp:revision>2</cp:revision>
  <dcterms:created xsi:type="dcterms:W3CDTF">2023-12-14T12:41:00Z</dcterms:created>
  <dcterms:modified xsi:type="dcterms:W3CDTF">2023-12-14T13:04:00Z</dcterms:modified>
</cp:coreProperties>
</file>