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pPr>
      <w:r>
        <w:rPr>
          <w:rFonts w:ascii="Arial" w:hAnsi="Arial"/>
          <w:b/>
          <w:color w:val="1B7F79"/>
          <w:sz w:val="20"/>
        </w:rPr>
        <w:t>DECISION MEMO  |  ADR-001</w:t>
      </w:r>
    </w:p>
    <w:p>
      <w:pPr>
        <w:pStyle w:val="Title"/>
      </w:pPr>
      <w:r>
        <w:t>Agentic Evidence</w:t>
        <w:br/>
        <w:t>Orchestration Harness</w:t>
      </w:r>
    </w:p>
    <w:p>
      <w:pPr>
        <w:pStyle w:val="Subtitle"/>
      </w:pPr>
      <w:r>
        <w:t>Architecture decision and build specification for CERT-In–triggered vulnerability intelligence</w:t>
      </w:r>
    </w:p>
    <w:tbl>
      <w:tblPr>
        <w:tblW w:type="auto" w:w="0"/>
        <w:jc w:val="center"/>
        <w:tblLayout w:type="fixed"/>
        <w:tblLook w:firstColumn="1" w:firstRow="1" w:lastColumn="0" w:lastRow="0" w:noHBand="0" w:noVBand="1" w:val="04A0"/>
      </w:tblPr>
      <w:tblGrid>
        <w:gridCol w:w="9144"/>
      </w:tblGrid>
      <w:tr>
        <w:trPr>
          <w:cantSplit/>
        </w:trPr>
        <w:tc>
          <w:tcPr>
            <w:tcW w:type="dxa" w:w="9144"/>
            <w:tcMar>
              <w:top w:w="140" w:type="dxa"/>
              <w:start w:w="160" w:type="dxa"/>
              <w:bottom w:w="140" w:type="dxa"/>
              <w:end w:w="160" w:type="dxa"/>
            </w:tcMar>
            <w:shd w:fill="E8F4F2"/>
            <w:tcBorders>
              <w:top w:sz="10" w:val="single" w:color="1B7F79" w:space="0"/>
              <w:left w:sz="10" w:val="single" w:color="1B7F79" w:space="0"/>
              <w:bottom w:sz="10" w:val="single" w:color="1B7F79" w:space="0"/>
              <w:right w:sz="10" w:val="single" w:color="1B7F79" w:space="0"/>
            </w:tcBorders>
          </w:tcPr>
          <w:p>
            <w:pPr>
              <w:spacing w:after="60"/>
            </w:pPr>
            <w:r>
              <w:rPr>
                <w:rFonts w:ascii="Arial" w:hAnsi="Arial"/>
                <w:b/>
                <w:color w:val="17365D"/>
                <w:sz w:val="22"/>
              </w:rPr>
              <w:t>Decision</w:t>
            </w:r>
          </w:p>
          <w:p>
            <w:pPr>
              <w:spacing w:after="0" w:line="252" w:lineRule="auto"/>
            </w:pPr>
            <w:r>
              <w:t>Adopt LangGraph as the orchestration kernel, backed by a separate append-only case event ledger and immutable artifact store. Keep a small set of specialist capabilities, but let acquisition and evidence resolution create bounded work shards dynamically. Share conclusions through a materialized blackboard—not through agent transcripts—and defer Temporal until measured durability needs justify an outer control plane.</w:t>
            </w:r>
          </w:p>
        </w:tc>
      </w:tr>
    </w:tbl>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160"/>
            <w:tcMar>
              <w:top w:w="80" w:type="dxa"/>
              <w:start w:w="120" w:type="dxa"/>
              <w:bottom w:w="80" w:type="dxa"/>
              <w:end w:w="120" w:type="dxa"/>
            </w:tcMar>
            <w:shd w:fill="F2F4F7"/>
            <w:vAlign w:val="center"/>
          </w:tcPr>
          <w:p>
            <w:pPr>
              <w:spacing w:after="0"/>
            </w:pPr>
            <w:r>
              <w:rPr>
                <w:rFonts w:ascii="Arial" w:hAnsi="Arial"/>
                <w:b/>
                <w:color w:val="17365D"/>
                <w:sz w:val="18"/>
              </w:rPr>
              <w:t>Field</w:t>
            </w:r>
          </w:p>
        </w:tc>
        <w:tc>
          <w:tcPr>
            <w:tcW w:type="dxa" w:w="6984"/>
            <w:tcMar>
              <w:top w:w="80" w:type="dxa"/>
              <w:start w:w="120" w:type="dxa"/>
              <w:bottom w:w="80" w:type="dxa"/>
              <w:end w:w="120" w:type="dxa"/>
            </w:tcMar>
            <w:shd w:fill="F2F4F7"/>
            <w:vAlign w:val="center"/>
          </w:tcPr>
          <w:p>
            <w:pPr>
              <w:spacing w:after="0"/>
            </w:pPr>
            <w:r>
              <w:rPr>
                <w:rFonts w:ascii="Arial" w:hAnsi="Arial"/>
                <w:b/>
                <w:color w:val="17365D"/>
                <w:sz w:val="18"/>
              </w:rPr>
              <w:t>Decision record</w:t>
            </w:r>
          </w:p>
        </w:tc>
      </w:tr>
      <w:tr>
        <w:tc>
          <w:tcPr>
            <w:tcW w:type="dxa" w:w="2160"/>
            <w:tcMar>
              <w:top w:w="80" w:type="dxa"/>
              <w:start w:w="120" w:type="dxa"/>
              <w:bottom w:w="80" w:type="dxa"/>
              <w:end w:w="120" w:type="dxa"/>
            </w:tcMar>
            <w:vAlign w:val="top"/>
          </w:tcPr>
          <w:p>
            <w:pPr>
              <w:spacing w:after="0" w:line="240" w:lineRule="auto"/>
            </w:pPr>
            <w:r>
              <w:rPr>
                <w:rFonts w:ascii="Arial" w:hAnsi="Arial"/>
                <w:color w:val="243447"/>
                <w:sz w:val="18"/>
              </w:rPr>
              <w:t>Status</w:t>
            </w:r>
          </w:p>
        </w:tc>
        <w:tc>
          <w:tcPr>
            <w:tcW w:type="dxa" w:w="6984"/>
            <w:tcMar>
              <w:top w:w="80" w:type="dxa"/>
              <w:start w:w="120" w:type="dxa"/>
              <w:bottom w:w="80" w:type="dxa"/>
              <w:end w:w="120" w:type="dxa"/>
            </w:tcMar>
            <w:vAlign w:val="top"/>
          </w:tcPr>
          <w:p>
            <w:pPr>
              <w:spacing w:after="0" w:line="240" w:lineRule="auto"/>
            </w:pPr>
            <w:r>
              <w:rPr>
                <w:rFonts w:ascii="Arial" w:hAnsi="Arial"/>
                <w:color w:val="243447"/>
                <w:sz w:val="18"/>
              </w:rPr>
              <w:t>Recommended for implementation</w:t>
            </w:r>
          </w:p>
        </w:tc>
      </w:tr>
      <w:tr>
        <w:tc>
          <w:tcPr>
            <w:tcW w:type="dxa" w:w="2160"/>
            <w:tcMar>
              <w:top w:w="80" w:type="dxa"/>
              <w:start w:w="120" w:type="dxa"/>
              <w:bottom w:w="80" w:type="dxa"/>
              <w:end w:w="120" w:type="dxa"/>
            </w:tcMar>
            <w:vAlign w:val="top"/>
            <w:shd w:fill="FAFBFC"/>
          </w:tcPr>
          <w:p>
            <w:pPr>
              <w:spacing w:after="0" w:line="240" w:lineRule="auto"/>
            </w:pPr>
            <w:r>
              <w:rPr>
                <w:rFonts w:ascii="Arial" w:hAnsi="Arial"/>
                <w:color w:val="243447"/>
                <w:sz w:val="18"/>
              </w:rPr>
              <w:t>Date</w:t>
            </w:r>
          </w:p>
        </w:tc>
        <w:tc>
          <w:tcPr>
            <w:tcW w:type="dxa" w:w="6984"/>
            <w:tcMar>
              <w:top w:w="80" w:type="dxa"/>
              <w:start w:w="120" w:type="dxa"/>
              <w:bottom w:w="80" w:type="dxa"/>
              <w:end w:w="120" w:type="dxa"/>
            </w:tcMar>
            <w:vAlign w:val="top"/>
            <w:shd w:fill="FAFBFC"/>
          </w:tcPr>
          <w:p>
            <w:pPr>
              <w:spacing w:after="0" w:line="240" w:lineRule="auto"/>
            </w:pPr>
            <w:r>
              <w:rPr>
                <w:rFonts w:ascii="Arial" w:hAnsi="Arial"/>
                <w:color w:val="243447"/>
                <w:sz w:val="18"/>
              </w:rPr>
              <w:t>15 August 2026</w:t>
            </w:r>
          </w:p>
        </w:tc>
      </w:tr>
      <w:tr>
        <w:tc>
          <w:tcPr>
            <w:tcW w:type="dxa" w:w="2160"/>
            <w:tcMar>
              <w:top w:w="80" w:type="dxa"/>
              <w:start w:w="120" w:type="dxa"/>
              <w:bottom w:w="80" w:type="dxa"/>
              <w:end w:w="120" w:type="dxa"/>
            </w:tcMar>
            <w:vAlign w:val="top"/>
          </w:tcPr>
          <w:p>
            <w:pPr>
              <w:spacing w:after="0" w:line="240" w:lineRule="auto"/>
            </w:pPr>
            <w:r>
              <w:rPr>
                <w:rFonts w:ascii="Arial" w:hAnsi="Arial"/>
                <w:color w:val="243447"/>
                <w:sz w:val="18"/>
              </w:rPr>
              <w:t>Scope</w:t>
            </w:r>
          </w:p>
        </w:tc>
        <w:tc>
          <w:tcPr>
            <w:tcW w:type="dxa" w:w="6984"/>
            <w:tcMar>
              <w:top w:w="80" w:type="dxa"/>
              <w:start w:w="120" w:type="dxa"/>
              <w:bottom w:w="80" w:type="dxa"/>
              <w:end w:w="120" w:type="dxa"/>
            </w:tcMar>
            <w:vAlign w:val="top"/>
          </w:tcPr>
          <w:p>
            <w:pPr>
              <w:spacing w:after="0" w:line="240" w:lineRule="auto"/>
            </w:pPr>
            <w:r>
              <w:rPr>
                <w:rFonts w:ascii="Arial" w:hAnsi="Arial"/>
                <w:color w:val="243447"/>
                <w:sz w:val="18"/>
              </w:rPr>
              <w:t>Agent orchestration, shared state, auditability, harness selection</w:t>
            </w:r>
          </w:p>
        </w:tc>
      </w:tr>
      <w:tr>
        <w:tc>
          <w:tcPr>
            <w:tcW w:type="dxa" w:w="2160"/>
            <w:tcMar>
              <w:top w:w="80" w:type="dxa"/>
              <w:start w:w="120" w:type="dxa"/>
              <w:bottom w:w="80" w:type="dxa"/>
              <w:end w:w="120" w:type="dxa"/>
            </w:tcMar>
            <w:vAlign w:val="top"/>
            <w:shd w:fill="FAFBFC"/>
          </w:tcPr>
          <w:p>
            <w:pPr>
              <w:spacing w:after="0" w:line="240" w:lineRule="auto"/>
            </w:pPr>
            <w:r>
              <w:rPr>
                <w:rFonts w:ascii="Arial" w:hAnsi="Arial"/>
                <w:color w:val="243447"/>
                <w:sz w:val="18"/>
              </w:rPr>
              <w:t>Primary users</w:t>
            </w:r>
          </w:p>
        </w:tc>
        <w:tc>
          <w:tcPr>
            <w:tcW w:type="dxa" w:w="6984"/>
            <w:tcMar>
              <w:top w:w="80" w:type="dxa"/>
              <w:start w:w="120" w:type="dxa"/>
              <w:bottom w:w="80" w:type="dxa"/>
              <w:end w:w="120" w:type="dxa"/>
            </w:tcMar>
            <w:vAlign w:val="top"/>
            <w:shd w:fill="FAFBFC"/>
          </w:tcPr>
          <w:p>
            <w:pPr>
              <w:spacing w:after="0" w:line="240" w:lineRule="auto"/>
            </w:pPr>
            <w:r>
              <w:rPr>
                <w:rFonts w:ascii="Arial" w:hAnsi="Arial"/>
                <w:color w:val="243447"/>
                <w:sz w:val="18"/>
              </w:rPr>
              <w:t>Platform engineering, security research, vulnerability operations</w:t>
            </w:r>
          </w:p>
        </w:tc>
      </w:tr>
      <w:tr>
        <w:tc>
          <w:tcPr>
            <w:tcW w:type="dxa" w:w="2160"/>
            <w:tcMar>
              <w:top w:w="80" w:type="dxa"/>
              <w:start w:w="120" w:type="dxa"/>
              <w:bottom w:w="80" w:type="dxa"/>
              <w:end w:w="120" w:type="dxa"/>
            </w:tcMar>
            <w:vAlign w:val="top"/>
          </w:tcPr>
          <w:p>
            <w:pPr>
              <w:spacing w:after="0" w:line="240" w:lineRule="auto"/>
            </w:pPr>
            <w:r>
              <w:rPr>
                <w:rFonts w:ascii="Arial" w:hAnsi="Arial"/>
                <w:color w:val="243447"/>
                <w:sz w:val="18"/>
              </w:rPr>
              <w:t>Research basis</w:t>
            </w:r>
          </w:p>
        </w:tc>
        <w:tc>
          <w:tcPr>
            <w:tcW w:type="dxa" w:w="6984"/>
            <w:tcMar>
              <w:top w:w="80" w:type="dxa"/>
              <w:start w:w="120" w:type="dxa"/>
              <w:bottom w:w="80" w:type="dxa"/>
              <w:end w:w="120" w:type="dxa"/>
            </w:tcMar>
            <w:vAlign w:val="top"/>
          </w:tcPr>
          <w:p>
            <w:pPr>
              <w:spacing w:after="0" w:line="240" w:lineRule="auto"/>
            </w:pPr>
            <w:r>
              <w:rPr>
                <w:rFonts w:ascii="Arial" w:hAnsi="Arial"/>
                <w:color w:val="243447"/>
                <w:sz w:val="18"/>
              </w:rPr>
              <w:t>CERT-In 2026 advisory surfaces and 1–3 click vendor-reference chains</w:t>
            </w:r>
          </w:p>
        </w:tc>
      </w:tr>
      <w:tr>
        <w:tc>
          <w:tcPr>
            <w:tcW w:type="dxa" w:w="2160"/>
            <w:tcMar>
              <w:top w:w="80" w:type="dxa"/>
              <w:start w:w="120" w:type="dxa"/>
              <w:bottom w:w="80" w:type="dxa"/>
              <w:end w:w="120" w:type="dxa"/>
            </w:tcMar>
            <w:vAlign w:val="top"/>
            <w:shd w:fill="FAFBFC"/>
          </w:tcPr>
          <w:p>
            <w:pPr>
              <w:spacing w:after="0" w:line="240" w:lineRule="auto"/>
            </w:pPr>
            <w:r>
              <w:rPr>
                <w:rFonts w:ascii="Arial" w:hAnsi="Arial"/>
                <w:color w:val="243447"/>
                <w:sz w:val="18"/>
              </w:rPr>
              <w:t>Out of scope</w:t>
            </w:r>
          </w:p>
        </w:tc>
        <w:tc>
          <w:tcPr>
            <w:tcW w:type="dxa" w:w="6984"/>
            <w:tcMar>
              <w:top w:w="80" w:type="dxa"/>
              <w:start w:w="120" w:type="dxa"/>
              <w:bottom w:w="80" w:type="dxa"/>
              <w:end w:w="120" w:type="dxa"/>
            </w:tcMar>
            <w:vAlign w:val="top"/>
            <w:shd w:fill="FAFBFC"/>
          </w:tcPr>
          <w:p>
            <w:pPr>
              <w:spacing w:after="0" w:line="240" w:lineRule="auto"/>
            </w:pPr>
            <w:r>
              <w:rPr>
                <w:rFonts w:ascii="Arial" w:hAnsi="Arial"/>
                <w:color w:val="243447"/>
                <w:sz w:val="18"/>
              </w:rPr>
              <w:t>Production code, connectors, UI, infrastructure sizing, ticket-system implementation</w:t>
            </w:r>
          </w:p>
        </w:tc>
      </w:tr>
    </w:tbl>
    <w:p>
      <w:pPr>
        <w:spacing w:after="0"/>
      </w:pPr>
    </w:p>
    <w:p>
      <w:pPr>
        <w:spacing w:before="360" w:after="0"/>
      </w:pPr>
      <w:r>
        <w:rPr>
          <w:rFonts w:ascii="Arial" w:hAnsi="Arial"/>
          <w:b/>
          <w:color w:val="17365D"/>
          <w:sz w:val="20"/>
        </w:rPr>
        <w:t>Prepared as a build handoff</w:t>
      </w:r>
    </w:p>
    <w:p>
      <w:pPr>
        <w:spacing w:after="0"/>
      </w:pPr>
      <w:r>
        <w:t>The document fixes the operating model and system boundaries. The implementation harness may evolve without changing the evidence contract or audit guarantees.</w:t>
      </w:r>
    </w:p>
    <w:p>
      <w:r>
        <w:br w:type="page"/>
      </w:r>
    </w:p>
    <w:p>
      <w:pPr>
        <w:pStyle w:val="Heading1"/>
      </w:pPr>
      <w:r>
        <w:t>1. Executive decision</w:t>
      </w:r>
    </w:p>
    <w:p>
      <w:pPr>
        <w:keepLines w:val="0"/>
      </w:pPr>
      <w:r>
        <w:t>Build a case-centric evidence system, not a society of autonomous chat agents. The orchestrator is a deterministic state machine with bounded model-assisted planning. A specialist is a reusable capability subgraph; a team is that subgraph’s planner, temporary work shards, isolated runs and reducer. The case—not any agent transcript—is the durable unit of work.</w:t>
      </w:r>
    </w:p>
    <w:p>
      <w:pPr>
        <w:pStyle w:val="Heading2"/>
      </w:pPr>
      <w:r>
        <w:t>1.1 The decision in six points</w:t>
      </w:r>
    </w:p>
    <w:p>
      <w:pPr>
        <w:pStyle w:val="ListBullet"/>
        <w:keepLines w:val="0"/>
      </w:pPr>
      <w:r>
        <w:t>Use a deterministic applicability gate before opening a deep case. A non-match becomes a dormant, re-checkable record—not a claim that the advisory is irrelevant.</w:t>
      </w:r>
    </w:p>
    <w:p>
      <w:pPr>
        <w:pStyle w:val="ListBullet"/>
        <w:keepLines w:val="0"/>
      </w:pPr>
      <w:r>
        <w:t>Use LangGraph’s StateGraph, persistence, subgraphs and interrupts as the execution kernel.[1–4] Do not build checkpointing, resumability and human pause/resume from scratch.</w:t>
      </w:r>
    </w:p>
    <w:p>
      <w:pPr>
        <w:pStyle w:val="ListBullet"/>
        <w:keepLines w:val="0"/>
      </w:pPr>
      <w:r>
        <w:t>Keep authoritative evidence state outside LangGraph: PostgreSQL for events and materialized state; object storage for immutable source artifacts; an asset/component graph for applicability.</w:t>
      </w:r>
    </w:p>
    <w:p>
      <w:pPr>
        <w:pStyle w:val="ListBullet"/>
        <w:keepLines w:val="0"/>
      </w:pPr>
      <w:r>
        <w:t>Maintain three specialist capabilities: elastic acquisition, elastic evidence resolution and a remediation composer. Fan out only independent shards with measurable evidence value; add an adjudicator or tool builder only on explicit escalation.</w:t>
      </w:r>
    </w:p>
    <w:p>
      <w:pPr>
        <w:pStyle w:val="ListBullet"/>
        <w:keepLines w:val="0"/>
      </w:pPr>
      <w:r>
        <w:t>Derive phase from evidence coverage and unresolved contradictions. New evidence may move a case backward; agents never manually declare a phase complete.</w:t>
      </w:r>
    </w:p>
    <w:p>
      <w:pPr>
        <w:pStyle w:val="ListBullet"/>
        <w:keepLines w:val="0"/>
      </w:pPr>
      <w:r>
        <w:t>Treat runtime traces and checkpoints as operational telemetry. A separate, append-only, tamper-evident event ledger is the audit system of record.</w:t>
      </w:r>
    </w:p>
    <w:p>
      <w:pPr>
        <w:pStyle w:val="Heading2"/>
      </w:pPr>
      <w:r>
        <w:t>1.2 Why this is the right boundary</w:t>
      </w:r>
    </w:p>
    <w:p>
      <w:pPr>
        <w:keepLines w:val="0"/>
      </w:pPr>
      <w:r>
        <w:t>CERT-In pages are inconsistent by construction: key rows may be embedded as generic-alt images; vendor destinations can be HTML, PDFs, CSAF/VEX, JS applications, authenticated notes, patch commits or research chains; and revisions can contradict the original page. That variability belongs in the acquisition toolkit and evidence model. It should not force the control plane itself to become improvisational.</w:t>
      </w:r>
    </w:p>
    <w:tbl>
      <w:tblPr>
        <w:tblW w:type="auto" w:w="0"/>
        <w:jc w:val="center"/>
        <w:tblLayout w:type="fixed"/>
        <w:tblLook w:firstColumn="1" w:firstRow="1" w:lastColumn="0" w:lastRow="0" w:noHBand="0" w:noVBand="1" w:val="04A0"/>
      </w:tblPr>
      <w:tblGrid>
        <w:gridCol w:w="9144"/>
      </w:tblGrid>
      <w:tr>
        <w:trPr>
          <w:cantSplit/>
        </w:trPr>
        <w:tc>
          <w:tcPr>
            <w:tcW w:type="dxa" w:w="9144"/>
            <w:tcMar>
              <w:top w:w="140" w:type="dxa"/>
              <w:start w:w="160" w:type="dxa"/>
              <w:bottom w:w="140" w:type="dxa"/>
              <w:end w:w="160" w:type="dxa"/>
            </w:tcMar>
            <w:shd w:fill="EAF2F8"/>
            <w:tcBorders>
              <w:top w:sz="10" w:val="single" w:color="2E74B5" w:space="0"/>
              <w:left w:sz="10" w:val="single" w:color="2E74B5" w:space="0"/>
              <w:bottom w:sz="10" w:val="single" w:color="2E74B5" w:space="0"/>
              <w:right w:sz="10" w:val="single" w:color="2E74B5" w:space="0"/>
            </w:tcBorders>
          </w:tcPr>
          <w:p>
            <w:pPr>
              <w:spacing w:after="60"/>
            </w:pPr>
            <w:r>
              <w:rPr>
                <w:rFonts w:ascii="Arial" w:hAnsi="Arial"/>
                <w:b/>
                <w:color w:val="17365D"/>
                <w:sz w:val="22"/>
              </w:rPr>
              <w:t>Architecture rule</w:t>
            </w:r>
          </w:p>
          <w:p>
            <w:pPr>
              <w:spacing w:after="0" w:line="252" w:lineRule="auto"/>
            </w:pPr>
            <w:r>
              <w:t>Runs discover and propose. Team reducers consolidate. The case reducer validates and commits. Policies route and stop. Humans approve material ambiguity. No agent run writes authoritative case state directly.</w:t>
            </w:r>
          </w:p>
        </w:tc>
      </w:tr>
    </w:tbl>
    <w:p>
      <w:pPr>
        <w:pStyle w:val="Heading2"/>
      </w:pPr>
      <w:r>
        <w:t>1.3 Success condition</w:t>
      </w:r>
    </w:p>
    <w:p>
      <w:pPr>
        <w:keepLines w:val="0"/>
      </w:pPr>
      <w:r>
        <w:t>A case is successful when the system can explain, from an immutable source artifact, why an asset is affected or not affected, what action is safe, what remains uncertain, who approved the decision and which exact model/tool/prompt versions participated. A longer transcript is not evidence of a better investigation.</w:t>
      </w:r>
    </w:p>
    <w:p>
      <w:pPr>
        <w:spacing w:after="60"/>
      </w:pPr>
    </w:p>
    <w:p>
      <w:pPr>
        <w:pStyle w:val="Heading1"/>
      </w:pPr>
      <w:r>
        <w:t>2. Problem boundaries and design drivers</w:t>
      </w:r>
    </w:p>
    <w:p>
      <w:pPr>
        <w:pStyle w:val="Heading2"/>
      </w:pPr>
      <w:r>
        <w:t>2.1 What the system must handle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232"/>
            <w:tcMar>
              <w:top w:w="80" w:type="dxa"/>
              <w:start w:w="120" w:type="dxa"/>
              <w:bottom w:w="80" w:type="dxa"/>
              <w:end w:w="120" w:type="dxa"/>
            </w:tcMar>
            <w:shd w:fill="F2F4F7"/>
            <w:vAlign w:val="center"/>
          </w:tcPr>
          <w:p>
            <w:pPr>
              <w:spacing w:after="0"/>
            </w:pPr>
            <w:r>
              <w:rPr>
                <w:rFonts w:ascii="Arial" w:hAnsi="Arial"/>
                <w:b/>
                <w:color w:val="17365D"/>
                <w:sz w:val="17"/>
              </w:rPr>
              <w:t>Driver</w:t>
            </w:r>
          </w:p>
        </w:tc>
        <w:tc>
          <w:tcPr>
            <w:tcW w:type="dxa" w:w="6912"/>
            <w:tcMar>
              <w:top w:w="80" w:type="dxa"/>
              <w:start w:w="120" w:type="dxa"/>
              <w:bottom w:w="80" w:type="dxa"/>
              <w:end w:w="120" w:type="dxa"/>
            </w:tcMar>
            <w:shd w:fill="F2F4F7"/>
            <w:vAlign w:val="center"/>
          </w:tcPr>
          <w:p>
            <w:pPr>
              <w:spacing w:after="0"/>
            </w:pPr>
            <w:r>
              <w:rPr>
                <w:rFonts w:ascii="Arial" w:hAnsi="Arial"/>
                <w:b/>
                <w:color w:val="17365D"/>
                <w:sz w:val="17"/>
              </w:rPr>
              <w:t>Implication</w:t>
            </w:r>
          </w:p>
        </w:tc>
      </w:tr>
      <w:tr>
        <w:tc>
          <w:tcPr>
            <w:tcW w:type="dxa" w:w="2232"/>
            <w:tcMar>
              <w:top w:w="80" w:type="dxa"/>
              <w:start w:w="120" w:type="dxa"/>
              <w:bottom w:w="80" w:type="dxa"/>
              <w:end w:w="120" w:type="dxa"/>
            </w:tcMar>
            <w:vAlign w:val="top"/>
          </w:tcPr>
          <w:p>
            <w:pPr>
              <w:spacing w:after="0" w:line="240" w:lineRule="auto"/>
            </w:pPr>
            <w:r>
              <w:rPr>
                <w:rFonts w:ascii="Arial" w:hAnsi="Arial"/>
                <w:color w:val="243447"/>
                <w:sz w:val="17"/>
              </w:rPr>
              <w:t>Irregular acquisition</w:t>
            </w:r>
          </w:p>
        </w:tc>
        <w:tc>
          <w:tcPr>
            <w:tcW w:type="dxa" w:w="6912"/>
            <w:tcMar>
              <w:top w:w="80" w:type="dxa"/>
              <w:start w:w="120" w:type="dxa"/>
              <w:bottom w:w="80" w:type="dxa"/>
              <w:end w:w="120" w:type="dxa"/>
            </w:tcMar>
            <w:vAlign w:val="top"/>
          </w:tcPr>
          <w:p>
            <w:pPr>
              <w:spacing w:after="0" w:line="240" w:lineRule="auto"/>
            </w:pPr>
            <w:r>
              <w:rPr>
                <w:rFonts w:ascii="Arial" w:hAnsi="Arial"/>
                <w:color w:val="243447"/>
                <w:sz w:val="17"/>
              </w:rPr>
              <w:t>Static HTML, dynamic JS, image-only tables, native/scanned PDFs, redirects, authenticated destinations and transient CERT-In availability.</w:t>
            </w:r>
          </w:p>
        </w:tc>
      </w:tr>
      <w:tr>
        <w:tc>
          <w:tcPr>
            <w:tcW w:type="dxa" w:w="2232"/>
            <w:tcMar>
              <w:top w:w="80" w:type="dxa"/>
              <w:start w:w="120" w:type="dxa"/>
              <w:bottom w:w="80" w:type="dxa"/>
              <w:end w:w="120" w:type="dxa"/>
            </w:tcMar>
            <w:vAlign w:val="top"/>
            <w:shd w:fill="FAFBFC"/>
          </w:tcPr>
          <w:p>
            <w:pPr>
              <w:spacing w:after="0" w:line="240" w:lineRule="auto"/>
            </w:pPr>
            <w:r>
              <w:rPr>
                <w:rFonts w:ascii="Arial" w:hAnsi="Arial"/>
                <w:color w:val="243447"/>
                <w:sz w:val="17"/>
              </w:rPr>
              <w:t>Reference expansion</w:t>
            </w:r>
          </w:p>
        </w:tc>
        <w:tc>
          <w:tcPr>
            <w:tcW w:type="dxa" w:w="6912"/>
            <w:tcMar>
              <w:top w:w="80" w:type="dxa"/>
              <w:start w:w="120" w:type="dxa"/>
              <w:bottom w:w="80" w:type="dxa"/>
              <w:end w:w="120" w:type="dxa"/>
            </w:tcMar>
            <w:vAlign w:val="top"/>
            <w:shd w:fill="FAFBFC"/>
          </w:tcPr>
          <w:p>
            <w:pPr>
              <w:spacing w:after="0" w:line="240" w:lineRule="auto"/>
            </w:pPr>
            <w:r>
              <w:rPr>
                <w:rFonts w:ascii="Arial" w:hAnsi="Arial"/>
                <w:color w:val="243447"/>
                <w:sz w:val="17"/>
              </w:rPr>
              <w:t>A vendor landing page may link the machine-readable advisory, the patch, a revision, a ticket, a commit, a maintainer postmortem or an exploit source.</w:t>
            </w:r>
          </w:p>
        </w:tc>
      </w:tr>
      <w:tr>
        <w:tc>
          <w:tcPr>
            <w:tcW w:type="dxa" w:w="2232"/>
            <w:tcMar>
              <w:top w:w="80" w:type="dxa"/>
              <w:start w:w="120" w:type="dxa"/>
              <w:bottom w:w="80" w:type="dxa"/>
              <w:end w:w="120" w:type="dxa"/>
            </w:tcMar>
            <w:vAlign w:val="top"/>
          </w:tcPr>
          <w:p>
            <w:pPr>
              <w:spacing w:after="0" w:line="240" w:lineRule="auto"/>
            </w:pPr>
            <w:r>
              <w:rPr>
                <w:rFonts w:ascii="Arial" w:hAnsi="Arial"/>
                <w:color w:val="243447"/>
                <w:sz w:val="17"/>
              </w:rPr>
              <w:t>Conflicting truth</w:t>
            </w:r>
          </w:p>
        </w:tc>
        <w:tc>
          <w:tcPr>
            <w:tcW w:type="dxa" w:w="6912"/>
            <w:tcMar>
              <w:top w:w="80" w:type="dxa"/>
              <w:start w:w="120" w:type="dxa"/>
              <w:bottom w:w="80" w:type="dxa"/>
              <w:end w:w="120" w:type="dxa"/>
            </w:tcMar>
            <w:vAlign w:val="top"/>
          </w:tcPr>
          <w:p>
            <w:pPr>
              <w:spacing w:after="0" w:line="240" w:lineRule="auto"/>
            </w:pPr>
            <w:r>
              <w:rPr>
                <w:rFonts w:ascii="Arial" w:hAnsi="Arial"/>
                <w:color w:val="243447"/>
                <w:sz w:val="17"/>
              </w:rPr>
              <w:t>CERT-In, CNA, vendor, NVD, upstream component and product vendor can legitimately disagree on severity, affected range and exploitation context.</w:t>
            </w:r>
          </w:p>
        </w:tc>
      </w:tr>
      <w:tr>
        <w:tc>
          <w:tcPr>
            <w:tcW w:type="dxa" w:w="2232"/>
            <w:tcMar>
              <w:top w:w="80" w:type="dxa"/>
              <w:start w:w="120" w:type="dxa"/>
              <w:bottom w:w="80" w:type="dxa"/>
              <w:end w:w="120" w:type="dxa"/>
            </w:tcMar>
            <w:vAlign w:val="top"/>
            <w:shd w:fill="FAFBFC"/>
          </w:tcPr>
          <w:p>
            <w:pPr>
              <w:spacing w:after="0" w:line="240" w:lineRule="auto"/>
            </w:pPr>
            <w:r>
              <w:rPr>
                <w:rFonts w:ascii="Arial" w:hAnsi="Arial"/>
                <w:color w:val="243447"/>
                <w:sz w:val="17"/>
              </w:rPr>
              <w:t>Asset applicability</w:t>
            </w:r>
          </w:p>
        </w:tc>
        <w:tc>
          <w:tcPr>
            <w:tcW w:type="dxa" w:w="6912"/>
            <w:tcMar>
              <w:top w:w="80" w:type="dxa"/>
              <w:start w:w="120" w:type="dxa"/>
              <w:bottom w:w="80" w:type="dxa"/>
              <w:end w:w="120" w:type="dxa"/>
            </w:tcMar>
            <w:vAlign w:val="top"/>
            <w:shd w:fill="FAFBFC"/>
          </w:tcPr>
          <w:p>
            <w:pPr>
              <w:spacing w:after="0" w:line="240" w:lineRule="auto"/>
            </w:pPr>
            <w:r>
              <w:rPr>
                <w:rFonts w:ascii="Arial" w:hAnsi="Arial"/>
                <w:color w:val="243447"/>
                <w:sz w:val="17"/>
              </w:rPr>
              <w:t>CPE-only matching misses product–component relationships; aliases, packages, firmware, build numbers, configurations and embedded components must be represented.</w:t>
            </w:r>
          </w:p>
        </w:tc>
      </w:tr>
      <w:tr>
        <w:tc>
          <w:tcPr>
            <w:tcW w:type="dxa" w:w="2232"/>
            <w:tcMar>
              <w:top w:w="80" w:type="dxa"/>
              <w:start w:w="120" w:type="dxa"/>
              <w:bottom w:w="80" w:type="dxa"/>
              <w:end w:w="120" w:type="dxa"/>
            </w:tcMar>
            <w:vAlign w:val="top"/>
          </w:tcPr>
          <w:p>
            <w:pPr>
              <w:spacing w:after="0" w:line="240" w:lineRule="auto"/>
            </w:pPr>
            <w:r>
              <w:rPr>
                <w:rFonts w:ascii="Arial" w:hAnsi="Arial"/>
                <w:color w:val="243447"/>
                <w:sz w:val="17"/>
              </w:rPr>
              <w:t>Operational action</w:t>
            </w:r>
          </w:p>
        </w:tc>
        <w:tc>
          <w:tcPr>
            <w:tcW w:type="dxa" w:w="6912"/>
            <w:tcMar>
              <w:top w:w="80" w:type="dxa"/>
              <w:start w:w="120" w:type="dxa"/>
              <w:bottom w:w="80" w:type="dxa"/>
              <w:end w:w="120" w:type="dxa"/>
            </w:tcMar>
            <w:vAlign w:val="top"/>
          </w:tcPr>
          <w:p>
            <w:pPr>
              <w:spacing w:after="0" w:line="240" w:lineRule="auto"/>
            </w:pPr>
            <w:r>
              <w:rPr>
                <w:rFonts w:ascii="Arial" w:hAnsi="Arial"/>
                <w:color w:val="243447"/>
                <w:sz w:val="17"/>
              </w:rPr>
              <w:t>Executives, analysts, on-call leads and engineers require different projections of the same claims, not four independently generated stories.</w:t>
            </w:r>
          </w:p>
        </w:tc>
      </w:tr>
      <w:tr>
        <w:tc>
          <w:tcPr>
            <w:tcW w:type="dxa" w:w="2232"/>
            <w:tcMar>
              <w:top w:w="80" w:type="dxa"/>
              <w:start w:w="120" w:type="dxa"/>
              <w:bottom w:w="80" w:type="dxa"/>
              <w:end w:w="120" w:type="dxa"/>
            </w:tcMar>
            <w:vAlign w:val="top"/>
            <w:shd w:fill="FAFBFC"/>
          </w:tcPr>
          <w:p>
            <w:pPr>
              <w:spacing w:after="0" w:line="240" w:lineRule="auto"/>
            </w:pPr>
            <w:r>
              <w:rPr>
                <w:rFonts w:ascii="Arial" w:hAnsi="Arial"/>
                <w:color w:val="243447"/>
                <w:sz w:val="17"/>
              </w:rPr>
              <w:t>Revision over time</w:t>
            </w:r>
          </w:p>
        </w:tc>
        <w:tc>
          <w:tcPr>
            <w:tcW w:type="dxa" w:w="6912"/>
            <w:tcMar>
              <w:top w:w="80" w:type="dxa"/>
              <w:start w:w="120" w:type="dxa"/>
              <w:bottom w:w="80" w:type="dxa"/>
              <w:end w:w="120" w:type="dxa"/>
            </w:tcMar>
            <w:vAlign w:val="top"/>
            <w:shd w:fill="FAFBFC"/>
          </w:tcPr>
          <w:p>
            <w:pPr>
              <w:spacing w:after="0" w:line="240" w:lineRule="auto"/>
            </w:pPr>
            <w:r>
              <w:rPr>
                <w:rFonts w:ascii="Arial" w:hAnsi="Arial"/>
                <w:color w:val="243447"/>
                <w:sz w:val="17"/>
              </w:rPr>
              <w:t>A previously closed case may reopen when a vendor changes a fixed version, exploit state, workaround or affected product set.</w:t>
            </w:r>
          </w:p>
        </w:tc>
      </w:tr>
    </w:tbl>
    <w:p>
      <w:pPr>
        <w:spacing w:after="0"/>
      </w:pPr>
    </w:p>
    <w:p>
      <w:pPr>
        <w:pStyle w:val="Heading2"/>
      </w:pPr>
      <w:r>
        <w:t>2.2 Governing principles</w:t>
      </w:r>
    </w:p>
    <w:p>
      <w:pPr>
        <w:pStyle w:val="ListBullet"/>
        <w:keepLines w:val="0"/>
      </w:pPr>
      <w:r>
        <w:t>Applicability before depth. Spend the expensive exploration budget only where an asset, component, telemetry signal or inventory gap makes it rational.</w:t>
      </w:r>
    </w:p>
    <w:p>
      <w:pPr>
        <w:pStyle w:val="ListBullet"/>
        <w:keepLines w:val="0"/>
      </w:pPr>
      <w:r>
        <w:t>Evidence before narrative. Preserve raw bytes, rendered state, locators and hashes before asking a model to summarize.</w:t>
      </w:r>
    </w:p>
    <w:p>
      <w:pPr>
        <w:pStyle w:val="ListBullet"/>
        <w:keepLines w:val="0"/>
      </w:pPr>
      <w:r>
        <w:t>Claims before documents. Normalize subject–predicate–object claims with provenance instead of treating a scraped page as a single truth object.</w:t>
      </w:r>
    </w:p>
    <w:p>
      <w:pPr>
        <w:pStyle w:val="ListBullet"/>
        <w:keepLines w:val="0"/>
      </w:pPr>
      <w:r>
        <w:t>Separation of concerns. Execution state, domain state, evidence artifacts, observability and the audit ledger are related but not interchangeable.</w:t>
      </w:r>
    </w:p>
    <w:p>
      <w:pPr>
        <w:pStyle w:val="ListBullet"/>
        <w:keepLines w:val="0"/>
      </w:pPr>
      <w:r>
        <w:t>Monotonic evidence, reversible conclusions. Artifacts and events are immutable; conclusions and phases can be superseded with an explicit reason.</w:t>
      </w:r>
    </w:p>
    <w:p>
      <w:pPr>
        <w:pStyle w:val="ListBullet"/>
        <w:keepLines w:val="0"/>
      </w:pPr>
      <w:r>
        <w:t>Bounded autonomy. Every work order names a gap, tool policy, budget, stop rule and expected schema.</w:t>
      </w:r>
    </w:p>
    <w:p>
      <w:pPr>
        <w:pStyle w:val="ListBullet"/>
        <w:keepLines w:val="0"/>
      </w:pPr>
      <w:r>
        <w:t>Specialization by failure surface. Create a role only when it owns a distinct toolset, schema and evaluation suite—not merely a different persona.</w:t>
      </w:r>
    </w:p>
    <w:p>
      <w:pPr>
        <w:pStyle w:val="Heading2"/>
      </w:pPr>
      <w:r>
        <w:t>2.3 Explicit non-goals</w:t>
      </w:r>
    </w:p>
    <w:p>
      <w:pPr>
        <w:pStyle w:val="ListBullet"/>
        <w:keepLines w:val="0"/>
      </w:pPr>
      <w:r>
        <w:t>A free-form agent swarm that debates until consensus.</w:t>
      </w:r>
    </w:p>
    <w:p>
      <w:pPr>
        <w:pStyle w:val="ListBullet"/>
        <w:keepLines w:val="0"/>
      </w:pPr>
      <w:r>
        <w:t>A single universal crawler or a universal page schema.</w:t>
      </w:r>
    </w:p>
    <w:p>
      <w:pPr>
        <w:pStyle w:val="ListBullet"/>
        <w:keepLines w:val="0"/>
      </w:pPr>
      <w:r>
        <w:t>Using CVSS or CERT-In severity as the sole prioritization signal.</w:t>
      </w:r>
    </w:p>
    <w:p>
      <w:pPr>
        <w:pStyle w:val="ListBullet"/>
        <w:keepLines w:val="0"/>
      </w:pPr>
      <w:r>
        <w:t>Generating a remediation ticket when applicability or fixed-version evidence remains unknown.</w:t>
      </w:r>
    </w:p>
    <w:p>
      <w:pPr>
        <w:pStyle w:val="ListBullet"/>
        <w:keepLines w:val="0"/>
      </w:pPr>
      <w:r>
        <w:t>Treating model chain-of-thought or vendor marketing copy as auditable evidence.</w:t>
      </w:r>
    </w:p>
    <w:p>
      <w:pPr>
        <w:spacing w:after="60"/>
      </w:pPr>
    </w:p>
    <w:p>
      <w:pPr>
        <w:pStyle w:val="Heading1"/>
      </w:pPr>
      <w:r>
        <w:t>3. Lean, elastic specialist operating model</w:t>
      </w:r>
    </w:p>
    <w:p>
      <w:pPr>
        <w:keepLines w:val="0"/>
      </w:pPr>
      <w:r>
        <w:t>The stable architecture is a small capability set—not a fixed headcount. Acquisition and evidence resolution are elastic team subgraphs that create temporary work shards when the source graph or contradiction graph justifies parallelism. Remediation is a single composer by default and becomes a team only when independent products, platforms or change domains require separate grounded plans. Multimodal extraction remains an acquisition arsenal, not a separate team.</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656"/>
            <w:tcMar>
              <w:top w:w="80" w:type="dxa"/>
              <w:start w:w="120" w:type="dxa"/>
              <w:bottom w:w="80" w:type="dxa"/>
              <w:end w:w="120" w:type="dxa"/>
            </w:tcMar>
            <w:shd w:fill="F2F4F7"/>
            <w:vAlign w:val="center"/>
          </w:tcPr>
          <w:p>
            <w:pPr>
              <w:spacing w:after="0"/>
            </w:pPr>
            <w:r>
              <w:rPr>
                <w:rFonts w:ascii="Arial" w:hAnsi="Arial"/>
                <w:b/>
                <w:color w:val="17365D"/>
                <w:sz w:val="15"/>
              </w:rPr>
              <w:t>Role</w:t>
            </w:r>
          </w:p>
        </w:tc>
        <w:tc>
          <w:tcPr>
            <w:tcW w:type="dxa" w:w="2520"/>
            <w:tcMar>
              <w:top w:w="80" w:type="dxa"/>
              <w:start w:w="120" w:type="dxa"/>
              <w:bottom w:w="80" w:type="dxa"/>
              <w:end w:w="120" w:type="dxa"/>
            </w:tcMar>
            <w:shd w:fill="F2F4F7"/>
            <w:vAlign w:val="center"/>
          </w:tcPr>
          <w:p>
            <w:pPr>
              <w:spacing w:after="0"/>
            </w:pPr>
            <w:r>
              <w:rPr>
                <w:rFonts w:ascii="Arial" w:hAnsi="Arial"/>
                <w:b/>
                <w:color w:val="17365D"/>
                <w:sz w:val="15"/>
              </w:rPr>
              <w:t>Mandate</w:t>
            </w:r>
          </w:p>
        </w:tc>
        <w:tc>
          <w:tcPr>
            <w:tcW w:type="dxa" w:w="2376"/>
            <w:tcMar>
              <w:top w:w="80" w:type="dxa"/>
              <w:start w:w="120" w:type="dxa"/>
              <w:bottom w:w="80" w:type="dxa"/>
              <w:end w:w="120" w:type="dxa"/>
            </w:tcMar>
            <w:shd w:fill="F2F4F7"/>
            <w:vAlign w:val="center"/>
          </w:tcPr>
          <w:p>
            <w:pPr>
              <w:spacing w:after="0"/>
            </w:pPr>
            <w:r>
              <w:rPr>
                <w:rFonts w:ascii="Arial" w:hAnsi="Arial"/>
                <w:b/>
                <w:color w:val="17365D"/>
                <w:sz w:val="15"/>
              </w:rPr>
              <w:t>Primary tools</w:t>
            </w:r>
          </w:p>
        </w:tc>
        <w:tc>
          <w:tcPr>
            <w:tcW w:type="dxa" w:w="2592"/>
            <w:tcMar>
              <w:top w:w="80" w:type="dxa"/>
              <w:start w:w="120" w:type="dxa"/>
              <w:bottom w:w="80" w:type="dxa"/>
              <w:end w:w="120" w:type="dxa"/>
            </w:tcMar>
            <w:shd w:fill="F2F4F7"/>
            <w:vAlign w:val="center"/>
          </w:tcPr>
          <w:p>
            <w:pPr>
              <w:spacing w:after="0"/>
            </w:pPr>
            <w:r>
              <w:rPr>
                <w:rFonts w:ascii="Arial" w:hAnsi="Arial"/>
                <w:b/>
                <w:color w:val="17365D"/>
                <w:sz w:val="15"/>
              </w:rPr>
              <w:t>Must return</w:t>
            </w:r>
          </w:p>
        </w:tc>
      </w:tr>
      <w:tr>
        <w:tc>
          <w:tcPr>
            <w:tcW w:type="dxa" w:w="1656"/>
            <w:tcMar>
              <w:top w:w="80" w:type="dxa"/>
              <w:start w:w="120" w:type="dxa"/>
              <w:bottom w:w="80" w:type="dxa"/>
              <w:end w:w="120" w:type="dxa"/>
            </w:tcMar>
            <w:vAlign w:val="top"/>
          </w:tcPr>
          <w:p>
            <w:pPr>
              <w:spacing w:after="0" w:line="240" w:lineRule="auto"/>
            </w:pPr>
            <w:r>
              <w:rPr>
                <w:rFonts w:ascii="Arial" w:hAnsi="Arial"/>
                <w:color w:val="243447"/>
                <w:sz w:val="15"/>
              </w:rPr>
              <w:t>Case controller</w:t>
            </w:r>
          </w:p>
        </w:tc>
        <w:tc>
          <w:tcPr>
            <w:tcW w:type="dxa" w:w="2520"/>
            <w:tcMar>
              <w:top w:w="80" w:type="dxa"/>
              <w:start w:w="120" w:type="dxa"/>
              <w:bottom w:w="80" w:type="dxa"/>
              <w:end w:w="120" w:type="dxa"/>
            </w:tcMar>
            <w:vAlign w:val="top"/>
          </w:tcPr>
          <w:p>
            <w:pPr>
              <w:spacing w:after="0" w:line="240" w:lineRule="auto"/>
            </w:pPr>
            <w:r>
              <w:rPr>
                <w:rFonts w:ascii="Arial" w:hAnsi="Arial"/>
                <w:color w:val="243447"/>
                <w:sz w:val="15"/>
              </w:rPr>
              <w:t>Choose the next wave, enforce policy, checkpoint session state, interrupt or stop.</w:t>
            </w:r>
          </w:p>
        </w:tc>
        <w:tc>
          <w:tcPr>
            <w:tcW w:type="dxa" w:w="2376"/>
            <w:tcMar>
              <w:top w:w="80" w:type="dxa"/>
              <w:start w:w="120" w:type="dxa"/>
              <w:bottom w:w="80" w:type="dxa"/>
              <w:end w:w="120" w:type="dxa"/>
            </w:tcMar>
            <w:vAlign w:val="top"/>
          </w:tcPr>
          <w:p>
            <w:pPr>
              <w:spacing w:after="0" w:line="240" w:lineRule="auto"/>
            </w:pPr>
            <w:r>
              <w:rPr>
                <w:rFonts w:ascii="Arial" w:hAnsi="Arial"/>
                <w:color w:val="243447"/>
                <w:sz w:val="15"/>
              </w:rPr>
              <w:t>Rules, coverage reducer, LangGraph, budget manager</w:t>
            </w:r>
          </w:p>
        </w:tc>
        <w:tc>
          <w:tcPr>
            <w:tcW w:type="dxa" w:w="2592"/>
            <w:tcMar>
              <w:top w:w="80" w:type="dxa"/>
              <w:start w:w="120" w:type="dxa"/>
              <w:bottom w:w="80" w:type="dxa"/>
              <w:end w:w="120" w:type="dxa"/>
            </w:tcMar>
            <w:vAlign w:val="top"/>
          </w:tcPr>
          <w:p>
            <w:pPr>
              <w:spacing w:after="0" w:line="240" w:lineRule="auto"/>
            </w:pPr>
            <w:r>
              <w:rPr>
                <w:rFonts w:ascii="Arial" w:hAnsi="Arial"/>
                <w:color w:val="243447"/>
                <w:sz w:val="15"/>
              </w:rPr>
              <w:t>Shard plan or terminal decision</w:t>
            </w:r>
          </w:p>
        </w:tc>
      </w:tr>
      <w:tr>
        <w:tc>
          <w:tcPr>
            <w:tcW w:type="dxa" w:w="1656"/>
            <w:tcMar>
              <w:top w:w="80" w:type="dxa"/>
              <w:start w:w="120" w:type="dxa"/>
              <w:bottom w:w="80" w:type="dxa"/>
              <w:end w:w="120" w:type="dxa"/>
            </w:tcMar>
            <w:vAlign w:val="top"/>
            <w:shd w:fill="FAFBFC"/>
          </w:tcPr>
          <w:p>
            <w:pPr>
              <w:spacing w:after="0" w:line="240" w:lineRule="auto"/>
            </w:pPr>
            <w:r>
              <w:rPr>
                <w:rFonts w:ascii="Arial" w:hAnsi="Arial"/>
                <w:color w:val="243447"/>
                <w:sz w:val="15"/>
              </w:rPr>
              <w:t>Acquisition team</w:t>
            </w:r>
          </w:p>
        </w:tc>
        <w:tc>
          <w:tcPr>
            <w:tcW w:type="dxa" w:w="2520"/>
            <w:tcMar>
              <w:top w:w="80" w:type="dxa"/>
              <w:start w:w="120" w:type="dxa"/>
              <w:bottom w:w="80" w:type="dxa"/>
              <w:end w:w="120" w:type="dxa"/>
            </w:tcMar>
            <w:vAlign w:val="top"/>
            <w:shd w:fill="FAFBFC"/>
          </w:tcPr>
          <w:p>
            <w:pPr>
              <w:spacing w:after="0" w:line="240" w:lineRule="auto"/>
            </w:pPr>
            <w:r>
              <w:rPr>
                <w:rFonts w:ascii="Arial" w:hAnsi="Arial"/>
                <w:color w:val="243447"/>
                <w:sz w:val="15"/>
              </w:rPr>
              <w:t>Survey the surface, partition independent source branches and capture authoritative evidence.</w:t>
            </w:r>
          </w:p>
        </w:tc>
        <w:tc>
          <w:tcPr>
            <w:tcW w:type="dxa" w:w="2376"/>
            <w:tcMar>
              <w:top w:w="80" w:type="dxa"/>
              <w:start w:w="120" w:type="dxa"/>
              <w:bottom w:w="80" w:type="dxa"/>
              <w:end w:w="120" w:type="dxa"/>
            </w:tcMar>
            <w:vAlign w:val="top"/>
            <w:shd w:fill="FAFBFC"/>
          </w:tcPr>
          <w:p>
            <w:pPr>
              <w:spacing w:after="0" w:line="240" w:lineRule="auto"/>
            </w:pPr>
            <w:r>
              <w:rPr>
                <w:rFonts w:ascii="Arial" w:hAnsi="Arial"/>
                <w:color w:val="243447"/>
                <w:sz w:val="15"/>
              </w:rPr>
              <w:t>HTTP, browser, network capture, OCR, PDF, CSAF/VEX, hashing</w:t>
            </w:r>
          </w:p>
        </w:tc>
        <w:tc>
          <w:tcPr>
            <w:tcW w:type="dxa" w:w="2592"/>
            <w:tcMar>
              <w:top w:w="80" w:type="dxa"/>
              <w:start w:w="120" w:type="dxa"/>
              <w:bottom w:w="80" w:type="dxa"/>
              <w:end w:w="120" w:type="dxa"/>
            </w:tcMar>
            <w:vAlign w:val="top"/>
            <w:shd w:fill="FAFBFC"/>
          </w:tcPr>
          <w:p>
            <w:pPr>
              <w:spacing w:after="0" w:line="240" w:lineRule="auto"/>
            </w:pPr>
            <w:r>
              <w:rPr>
                <w:rFonts w:ascii="Arial" w:hAnsi="Arial"/>
                <w:color w:val="243447"/>
                <w:sz w:val="15"/>
              </w:rPr>
              <w:t>Team-reduced EvidenceDelta + frontier requests</w:t>
            </w:r>
          </w:p>
        </w:tc>
      </w:tr>
      <w:tr>
        <w:tc>
          <w:tcPr>
            <w:tcW w:type="dxa" w:w="1656"/>
            <w:tcMar>
              <w:top w:w="80" w:type="dxa"/>
              <w:start w:w="120" w:type="dxa"/>
              <w:bottom w:w="80" w:type="dxa"/>
              <w:end w:w="120" w:type="dxa"/>
            </w:tcMar>
            <w:vAlign w:val="top"/>
          </w:tcPr>
          <w:p>
            <w:pPr>
              <w:spacing w:after="0" w:line="240" w:lineRule="auto"/>
            </w:pPr>
            <w:r>
              <w:rPr>
                <w:rFonts w:ascii="Arial" w:hAnsi="Arial"/>
                <w:color w:val="243447"/>
                <w:sz w:val="15"/>
              </w:rPr>
              <w:t>Evidence resolution team</w:t>
            </w:r>
          </w:p>
        </w:tc>
        <w:tc>
          <w:tcPr>
            <w:tcW w:type="dxa" w:w="2520"/>
            <w:tcMar>
              <w:top w:w="80" w:type="dxa"/>
              <w:start w:w="120" w:type="dxa"/>
              <w:bottom w:w="80" w:type="dxa"/>
              <w:end w:w="120" w:type="dxa"/>
            </w:tcMar>
            <w:vAlign w:val="top"/>
          </w:tcPr>
          <w:p>
            <w:pPr>
              <w:spacing w:after="0" w:line="240" w:lineRule="auto"/>
            </w:pPr>
            <w:r>
              <w:rPr>
                <w:rFonts w:ascii="Arial" w:hAnsi="Arial"/>
                <w:color w:val="243447"/>
                <w:sz w:val="15"/>
              </w:rPr>
              <w:t>Partition claim families; normalize, reconcile, revise and match assets/components.</w:t>
            </w:r>
          </w:p>
        </w:tc>
        <w:tc>
          <w:tcPr>
            <w:tcW w:type="dxa" w:w="2376"/>
            <w:tcMar>
              <w:top w:w="80" w:type="dxa"/>
              <w:start w:w="120" w:type="dxa"/>
              <w:bottom w:w="80" w:type="dxa"/>
              <w:end w:w="120" w:type="dxa"/>
            </w:tcMar>
            <w:vAlign w:val="top"/>
          </w:tcPr>
          <w:p>
            <w:pPr>
              <w:spacing w:after="0" w:line="240" w:lineRule="auto"/>
            </w:pPr>
            <w:r>
              <w:rPr>
                <w:rFonts w:ascii="Arial" w:hAnsi="Arial"/>
                <w:color w:val="243447"/>
                <w:sz w:val="15"/>
              </w:rPr>
              <w:t>Schemas, range parsers, identifier repair, graph queries</w:t>
            </w:r>
          </w:p>
        </w:tc>
        <w:tc>
          <w:tcPr>
            <w:tcW w:type="dxa" w:w="2592"/>
            <w:tcMar>
              <w:top w:w="80" w:type="dxa"/>
              <w:start w:w="120" w:type="dxa"/>
              <w:bottom w:w="80" w:type="dxa"/>
              <w:end w:w="120" w:type="dxa"/>
            </w:tcMar>
            <w:vAlign w:val="top"/>
          </w:tcPr>
          <w:p>
            <w:pPr>
              <w:spacing w:after="0" w:line="240" w:lineRule="auto"/>
            </w:pPr>
            <w:r>
              <w:rPr>
                <w:rFonts w:ascii="Arial" w:hAnsi="Arial"/>
                <w:color w:val="243447"/>
                <w:sz w:val="15"/>
              </w:rPr>
              <w:t>Team-reduced claims + conflicts + applicability</w:t>
            </w:r>
          </w:p>
        </w:tc>
      </w:tr>
      <w:tr>
        <w:tc>
          <w:tcPr>
            <w:tcW w:type="dxa" w:w="1656"/>
            <w:tcMar>
              <w:top w:w="80" w:type="dxa"/>
              <w:start w:w="120" w:type="dxa"/>
              <w:bottom w:w="80" w:type="dxa"/>
              <w:end w:w="120" w:type="dxa"/>
            </w:tcMar>
            <w:vAlign w:val="top"/>
            <w:shd w:fill="FAFBFC"/>
          </w:tcPr>
          <w:p>
            <w:pPr>
              <w:spacing w:after="0" w:line="240" w:lineRule="auto"/>
            </w:pPr>
            <w:r>
              <w:rPr>
                <w:rFonts w:ascii="Arial" w:hAnsi="Arial"/>
                <w:color w:val="243447"/>
                <w:sz w:val="15"/>
              </w:rPr>
              <w:t>Remediation composer / team</w:t>
            </w:r>
          </w:p>
        </w:tc>
        <w:tc>
          <w:tcPr>
            <w:tcW w:type="dxa" w:w="2520"/>
            <w:tcMar>
              <w:top w:w="80" w:type="dxa"/>
              <w:start w:w="120" w:type="dxa"/>
              <w:bottom w:w="80" w:type="dxa"/>
              <w:end w:w="120" w:type="dxa"/>
            </w:tcMar>
            <w:vAlign w:val="top"/>
            <w:shd w:fill="FAFBFC"/>
          </w:tcPr>
          <w:p>
            <w:pPr>
              <w:spacing w:after="0" w:line="240" w:lineRule="auto"/>
            </w:pPr>
            <w:r>
              <w:rPr>
                <w:rFonts w:ascii="Arial" w:hAnsi="Arial"/>
                <w:color w:val="243447"/>
                <w:sz w:val="15"/>
              </w:rPr>
              <w:t>Build one safe change plan; fan out only when operational domains diverge.</w:t>
            </w:r>
          </w:p>
        </w:tc>
        <w:tc>
          <w:tcPr>
            <w:tcW w:type="dxa" w:w="2376"/>
            <w:tcMar>
              <w:top w:w="80" w:type="dxa"/>
              <w:start w:w="120" w:type="dxa"/>
              <w:bottom w:w="80" w:type="dxa"/>
              <w:end w:w="120" w:type="dxa"/>
            </w:tcMar>
            <w:vAlign w:val="top"/>
            <w:shd w:fill="FAFBFC"/>
          </w:tcPr>
          <w:p>
            <w:pPr>
              <w:spacing w:after="0" w:line="240" w:lineRule="auto"/>
            </w:pPr>
            <w:r>
              <w:rPr>
                <w:rFonts w:ascii="Arial" w:hAnsi="Arial"/>
                <w:color w:val="243447"/>
                <w:sz w:val="15"/>
              </w:rPr>
              <w:t>Patch/KB/build mapping, runbooks, ticket templates</w:t>
            </w:r>
          </w:p>
        </w:tc>
        <w:tc>
          <w:tcPr>
            <w:tcW w:type="dxa" w:w="2592"/>
            <w:tcMar>
              <w:top w:w="80" w:type="dxa"/>
              <w:start w:w="120" w:type="dxa"/>
              <w:bottom w:w="80" w:type="dxa"/>
              <w:end w:w="120" w:type="dxa"/>
            </w:tcMar>
            <w:vAlign w:val="top"/>
            <w:shd w:fill="FAFBFC"/>
          </w:tcPr>
          <w:p>
            <w:pPr>
              <w:spacing w:after="0" w:line="240" w:lineRule="auto"/>
            </w:pPr>
            <w:r>
              <w:rPr>
                <w:rFonts w:ascii="Arial" w:hAnsi="Arial"/>
                <w:color w:val="243447"/>
                <w:sz w:val="15"/>
              </w:rPr>
              <w:t>Action plan or investigation ticket</w:t>
            </w:r>
          </w:p>
        </w:tc>
      </w:tr>
      <w:tr>
        <w:tc>
          <w:tcPr>
            <w:tcW w:type="dxa" w:w="1656"/>
            <w:tcMar>
              <w:top w:w="80" w:type="dxa"/>
              <w:start w:w="120" w:type="dxa"/>
              <w:bottom w:w="80" w:type="dxa"/>
              <w:end w:w="120" w:type="dxa"/>
            </w:tcMar>
            <w:vAlign w:val="top"/>
          </w:tcPr>
          <w:p>
            <w:pPr>
              <w:spacing w:after="0" w:line="240" w:lineRule="auto"/>
            </w:pPr>
            <w:r>
              <w:rPr>
                <w:rFonts w:ascii="Arial" w:hAnsi="Arial"/>
                <w:color w:val="243447"/>
                <w:sz w:val="15"/>
              </w:rPr>
              <w:t>Adjudicator — conditional</w:t>
            </w:r>
          </w:p>
        </w:tc>
        <w:tc>
          <w:tcPr>
            <w:tcW w:type="dxa" w:w="2520"/>
            <w:tcMar>
              <w:top w:w="80" w:type="dxa"/>
              <w:start w:w="120" w:type="dxa"/>
              <w:bottom w:w="80" w:type="dxa"/>
              <w:end w:w="120" w:type="dxa"/>
            </w:tcMar>
            <w:vAlign w:val="top"/>
          </w:tcPr>
          <w:p>
            <w:pPr>
              <w:spacing w:after="0" w:line="240" w:lineRule="auto"/>
            </w:pPr>
            <w:r>
              <w:rPr>
                <w:rFonts w:ascii="Arial" w:hAnsi="Arial"/>
                <w:color w:val="243447"/>
                <w:sz w:val="15"/>
              </w:rPr>
              <w:t>Review high-impact conflicts, OCR-only decisions or irreversible change.</w:t>
            </w:r>
          </w:p>
        </w:tc>
        <w:tc>
          <w:tcPr>
            <w:tcW w:type="dxa" w:w="2376"/>
            <w:tcMar>
              <w:top w:w="80" w:type="dxa"/>
              <w:start w:w="120" w:type="dxa"/>
              <w:bottom w:w="80" w:type="dxa"/>
              <w:end w:w="120" w:type="dxa"/>
            </w:tcMar>
            <w:vAlign w:val="top"/>
          </w:tcPr>
          <w:p>
            <w:pPr>
              <w:spacing w:after="0" w:line="240" w:lineRule="auto"/>
            </w:pPr>
            <w:r>
              <w:rPr>
                <w:rFonts w:ascii="Arial" w:hAnsi="Arial"/>
                <w:color w:val="243447"/>
                <w:sz w:val="15"/>
              </w:rPr>
              <w:t>Read-only evidence packet, policy rubric</w:t>
            </w:r>
          </w:p>
        </w:tc>
        <w:tc>
          <w:tcPr>
            <w:tcW w:type="dxa" w:w="2592"/>
            <w:tcMar>
              <w:top w:w="80" w:type="dxa"/>
              <w:start w:w="120" w:type="dxa"/>
              <w:bottom w:w="80" w:type="dxa"/>
              <w:end w:w="120" w:type="dxa"/>
            </w:tcMar>
            <w:vAlign w:val="top"/>
          </w:tcPr>
          <w:p>
            <w:pPr>
              <w:spacing w:after="0" w:line="240" w:lineRule="auto"/>
            </w:pPr>
            <w:r>
              <w:rPr>
                <w:rFonts w:ascii="Arial" w:hAnsi="Arial"/>
                <w:color w:val="243447"/>
                <w:sz w:val="15"/>
              </w:rPr>
              <w:t>Approve, reject or request named evidence</w:t>
            </w:r>
          </w:p>
        </w:tc>
      </w:tr>
      <w:tr>
        <w:tc>
          <w:tcPr>
            <w:tcW w:type="dxa" w:w="1656"/>
            <w:tcMar>
              <w:top w:w="80" w:type="dxa"/>
              <w:start w:w="120" w:type="dxa"/>
              <w:bottom w:w="80" w:type="dxa"/>
              <w:end w:w="120" w:type="dxa"/>
            </w:tcMar>
            <w:vAlign w:val="top"/>
            <w:shd w:fill="FAFBFC"/>
          </w:tcPr>
          <w:p>
            <w:pPr>
              <w:spacing w:after="0" w:line="240" w:lineRule="auto"/>
            </w:pPr>
            <w:r>
              <w:rPr>
                <w:rFonts w:ascii="Arial" w:hAnsi="Arial"/>
                <w:color w:val="243447"/>
                <w:sz w:val="15"/>
              </w:rPr>
              <w:t>Tool builder — conditional</w:t>
            </w:r>
          </w:p>
        </w:tc>
        <w:tc>
          <w:tcPr>
            <w:tcW w:type="dxa" w:w="2520"/>
            <w:tcMar>
              <w:top w:w="80" w:type="dxa"/>
              <w:start w:w="120" w:type="dxa"/>
              <w:bottom w:w="80" w:type="dxa"/>
              <w:end w:w="120" w:type="dxa"/>
            </w:tcMar>
            <w:vAlign w:val="top"/>
            <w:shd w:fill="FAFBFC"/>
          </w:tcPr>
          <w:p>
            <w:pPr>
              <w:spacing w:after="0" w:line="240" w:lineRule="auto"/>
            </w:pPr>
            <w:r>
              <w:rPr>
                <w:rFonts w:ascii="Arial" w:hAnsi="Arial"/>
                <w:color w:val="243447"/>
                <w:sz w:val="15"/>
              </w:rPr>
              <w:t>Create or repair a reusable acquisition adapter when failure repeats.</w:t>
            </w:r>
          </w:p>
        </w:tc>
        <w:tc>
          <w:tcPr>
            <w:tcW w:type="dxa" w:w="2376"/>
            <w:tcMar>
              <w:top w:w="80" w:type="dxa"/>
              <w:start w:w="120" w:type="dxa"/>
              <w:bottom w:w="80" w:type="dxa"/>
              <w:end w:w="120" w:type="dxa"/>
            </w:tcMar>
            <w:vAlign w:val="top"/>
            <w:shd w:fill="FAFBFC"/>
          </w:tcPr>
          <w:p>
            <w:pPr>
              <w:spacing w:after="0" w:line="240" w:lineRule="auto"/>
            </w:pPr>
            <w:r>
              <w:rPr>
                <w:rFonts w:ascii="Arial" w:hAnsi="Arial"/>
                <w:color w:val="243447"/>
                <w:sz w:val="15"/>
              </w:rPr>
              <w:t>Sandbox, tests, adapter SDK</w:t>
            </w:r>
          </w:p>
        </w:tc>
        <w:tc>
          <w:tcPr>
            <w:tcW w:type="dxa" w:w="2592"/>
            <w:tcMar>
              <w:top w:w="80" w:type="dxa"/>
              <w:start w:w="120" w:type="dxa"/>
              <w:bottom w:w="80" w:type="dxa"/>
              <w:end w:w="120" w:type="dxa"/>
            </w:tcMar>
            <w:vAlign w:val="top"/>
            <w:shd w:fill="FAFBFC"/>
          </w:tcPr>
          <w:p>
            <w:pPr>
              <w:spacing w:after="0" w:line="240" w:lineRule="auto"/>
            </w:pPr>
            <w:r>
              <w:rPr>
                <w:rFonts w:ascii="Arial" w:hAnsi="Arial"/>
                <w:color w:val="243447"/>
                <w:sz w:val="15"/>
              </w:rPr>
              <w:t>Versioned tool + fixtures + capability manifest</w:t>
            </w:r>
          </w:p>
        </w:tc>
      </w:tr>
    </w:tbl>
    <w:p>
      <w:pPr>
        <w:spacing w:after="0"/>
      </w:pPr>
    </w:p>
    <w:p>
      <w:pPr>
        <w:pStyle w:val="Heading2"/>
      </w:pPr>
      <w:r>
        <w:t>3.1 Why a small capability set beats a larger generalist pool</w:t>
      </w:r>
    </w:p>
    <w:p>
      <w:pPr>
        <w:keepLines w:val="0"/>
      </w:pPr>
      <w:r>
        <w:t>The advantage is not that specialists reason better in the abstract. Their action spaces, permissions, state and evaluation targets are narrower and measurable. Acquisition is scored on artifact completeness and identifier recovery; resolution on claim accuracy and contradiction handling; remediation on safe fixed-version and validation mapping. More capacity is created by sharding work inside a capability, not by adding interchangeable personas.</w:t>
      </w:r>
    </w:p>
    <w:p>
      <w:pPr>
        <w:pStyle w:val="ListBullet"/>
        <w:keepLines w:val="0"/>
      </w:pPr>
      <w:r>
        <w:t>One team planner leases each source or claim partition once, reducing duplicate fetches and repeated reading.</w:t>
      </w:r>
    </w:p>
    <w:p>
      <w:pPr>
        <w:pStyle w:val="ListBullet"/>
        <w:keepLines w:val="0"/>
      </w:pPr>
      <w:r>
        <w:t>Smaller tool permissions and lower prompt-injection blast radius.</w:t>
      </w:r>
    </w:p>
    <w:p>
      <w:pPr>
        <w:pStyle w:val="ListBullet"/>
        <w:keepLines w:val="0"/>
      </w:pPr>
      <w:r>
        <w:t>Stable input/output contracts that can be replayed against fixtures.</w:t>
      </w:r>
    </w:p>
    <w:p>
      <w:pPr>
        <w:pStyle w:val="ListBullet"/>
        <w:keepLines w:val="0"/>
      </w:pPr>
      <w:r>
        <w:t>Clear ownership of misses: acquisition, interpretation, applicability or actionability.</w:t>
      </w:r>
    </w:p>
    <w:p>
      <w:pPr>
        <w:pStyle w:val="ListBullet"/>
        <w:keepLines w:val="0"/>
      </w:pPr>
      <w:r>
        <w:t>Less coordination prose; more machine-verifiable deltas.</w:t>
      </w:r>
    </w:p>
    <w:p>
      <w:pPr>
        <w:pStyle w:val="Heading2"/>
      </w:pPr>
      <w:r>
        <w:t>3.2 Team semantics: capability, shard, run and reducer</w:t>
      </w:r>
    </w:p>
    <w:p>
      <w:pPr>
        <w:keepLines w:val="0"/>
      </w:pPr>
      <w:r>
        <w:t>In LangGraph terms, each specialist team is a reusable subgraph. Its planner inspects the current blackboard, emits typed work shards, dynamically fans out isolated subgraph invocations, then reduces their EvidenceDeltas into one team result. A run may request more frontier work, but it does not recursively spawn grandchildren; the planner evaluates the request in the next bounded wave. This gives autonomy without an unbounded agent tree.</w:t>
      </w:r>
    </w:p>
    <w:tbl>
      <w:tblPr>
        <w:tblW w:type="auto" w:w="0"/>
        <w:jc w:val="center"/>
        <w:tblLook w:firstColumn="1" w:firstRow="1" w:lastColumn="0" w:lastRow="0" w:noHBand="0" w:noVBand="1" w:val="04A0"/>
      </w:tblPr>
      <w:tblGrid>
        <w:gridCol w:w="9360"/>
      </w:tblGrid>
      <w:tr>
        <w:trPr>
          <w:cantSplit/>
        </w:trPr>
        <w:tc>
          <w:tcPr>
            <w:tcW w:type="dxa" w:w="9360"/>
            <w:shd w:fill="F6F8FA"/>
            <w:tcMar>
              <w:top w:w="110" w:type="dxa"/>
              <w:start w:w="140" w:type="dxa"/>
              <w:bottom w:w="110" w:type="dxa"/>
              <w:end w:w="140" w:type="dxa"/>
            </w:tcMar>
            <w:tcBorders>
              <w:top w:sz="6" w:val="single" w:color="D0D5DD" w:space="0"/>
              <w:left w:sz="6" w:val="single" w:color="D0D5DD" w:space="0"/>
              <w:bottom w:sz="6" w:val="single" w:color="D0D5DD" w:space="0"/>
              <w:right w:sz="6" w:val="single" w:color="D0D5DD" w:space="0"/>
            </w:tcBorders>
          </w:tcPr>
          <w:p>
            <w:pPr>
              <w:spacing w:after="0"/>
            </w:pPr>
            <w:r>
              <w:rPr>
                <w:rFonts w:ascii="Consolas" w:hAnsi="Consolas"/>
                <w:color w:val="243447"/>
                <w:sz w:val="16"/>
              </w:rPr>
              <w:t>team_planner → work_shards[] → Send × N → isolated_specialist_runs</w:t>
              <w:br/>
            </w:r>
            <w:r>
              <w:rPr>
                <w:rFonts w:ascii="Consolas" w:hAnsi="Consolas"/>
                <w:color w:val="243447"/>
                <w:sz w:val="16"/>
              </w:rPr>
              <w:t xml:space="preserve">               → team_reducer → EvidenceDelta + frontier_expansion_requests</w:t>
              <w:br/>
            </w:r>
            <w:r>
              <w:rPr>
                <w:rFonts w:ascii="Consolas" w:hAnsi="Consolas"/>
                <w:color w:val="243447"/>
                <w:sz w:val="16"/>
              </w:rPr>
              <w:t xml:space="preserve">               → coverage_check → next_wave | stop | escalate</w:t>
            </w:r>
          </w:p>
        </w:tc>
      </w:tr>
    </w:tbl>
    <w:p>
      <w:pPr>
        <w:pStyle w:val="Heading2"/>
      </w:pPr>
      <w:r>
        <w:t>3.3 Why the orchestrator should not be another generalist</w:t>
      </w:r>
    </w:p>
    <w:p>
      <w:pPr>
        <w:keepLines w:val="0"/>
      </w:pPr>
      <w:r>
        <w:t>A conversational manager agent tends to re-read the case, produce plans that are difficult to diff and accumulate narrative state. The recommended controller is mostly code. A model may rank several admissible work orders when rules cannot distinguish them, but the candidate actions, budget and commit path are deterministic.</w:t>
      </w:r>
    </w:p>
    <w:tbl>
      <w:tblPr>
        <w:tblW w:type="auto" w:w="0"/>
        <w:jc w:val="center"/>
        <w:tblLayout w:type="fixed"/>
        <w:tblLook w:firstColumn="1" w:firstRow="1" w:lastColumn="0" w:lastRow="0" w:noHBand="0" w:noVBand="1" w:val="04A0"/>
      </w:tblPr>
      <w:tblGrid>
        <w:gridCol w:w="9144"/>
      </w:tblGrid>
      <w:tr>
        <w:trPr>
          <w:cantSplit/>
        </w:trPr>
        <w:tc>
          <w:tcPr>
            <w:tcW w:type="dxa" w:w="9144"/>
            <w:tcMar>
              <w:top w:w="140" w:type="dxa"/>
              <w:start w:w="160" w:type="dxa"/>
              <w:bottom w:w="140" w:type="dxa"/>
              <w:end w:w="160" w:type="dxa"/>
            </w:tcMar>
            <w:shd w:fill="FFF4D6"/>
            <w:tcBorders>
              <w:top w:sz="10" w:val="single" w:color="D89C2B" w:space="0"/>
              <w:left w:sz="10" w:val="single" w:color="D89C2B" w:space="0"/>
              <w:bottom w:sz="10" w:val="single" w:color="D89C2B" w:space="0"/>
              <w:right w:sz="10" w:val="single" w:color="D89C2B" w:space="0"/>
            </w:tcBorders>
          </w:tcPr>
          <w:p>
            <w:pPr>
              <w:spacing w:after="60"/>
            </w:pPr>
            <w:r>
              <w:rPr>
                <w:rFonts w:ascii="Arial" w:hAnsi="Arial"/>
                <w:b/>
                <w:color w:val="17365D"/>
                <w:sz w:val="22"/>
              </w:rPr>
              <w:t>Scaling rule</w:t>
            </w:r>
          </w:p>
          <w:p>
            <w:pPr>
              <w:spacing w:after="0" w:line="252" w:lineRule="auto"/>
            </w:pPr>
            <w:r>
              <w:t>Increase runs only when independent shards exist, the expected evidence gain is positive, no active lease duplicates the work and the case budget permits it. First change modality or tool; then add a bounded run; only then commission a reusable adapter when the failure repeats.</w:t>
            </w:r>
          </w:p>
        </w:tc>
      </w:tr>
    </w:tbl>
    <w:p>
      <w:pPr>
        <w:spacing w:after="60"/>
      </w:pPr>
    </w:p>
    <w:p>
      <w:pPr>
        <w:pStyle w:val="Heading1"/>
      </w:pPr>
      <w:r>
        <w:t>4. Recommended orchestration architecture</w:t>
      </w:r>
    </w:p>
    <w:p>
      <w:pPr>
        <w:jc w:val="center"/>
      </w:pPr>
      <w:r>
        <w:drawing>
          <wp:inline xmlns:a="http://schemas.openxmlformats.org/drawingml/2006/main" xmlns:pic="http://schemas.openxmlformats.org/drawingml/2006/picture">
            <wp:extent cx="5806440" cy="3716122"/>
            <wp:docPr id="1" name="Picture 1" title="Elastic evidence orchestration" descr="CERT-In applicability gate feeds a LangGraph case controller. The controller uses shared session memory and dynamically fans out acquisition, evidence resolution and conditional remediation work shards. Team memory stays inside each team. Validated deltas enter an immutable event ledger, which materializes the shared blackboard; sanitized capability memory persists across cases."/>
            <wp:cNvGraphicFramePr>
              <a:graphicFrameLocks noChangeAspect="1"/>
            </wp:cNvGraphicFramePr>
            <a:graphic>
              <a:graphicData uri="http://schemas.openxmlformats.org/drawingml/2006/picture">
                <pic:pic>
                  <pic:nvPicPr>
                    <pic:cNvPr id="0" name="orchestration_architecture.png"/>
                    <pic:cNvPicPr/>
                  </pic:nvPicPr>
                  <pic:blipFill>
                    <a:blip r:embed="rId11"/>
                    <a:stretch>
                      <a:fillRect/>
                    </a:stretch>
                  </pic:blipFill>
                  <pic:spPr>
                    <a:xfrm>
                      <a:off x="0" y="0"/>
                      <a:ext cx="5806440" cy="3716122"/>
                    </a:xfrm>
                    <a:prstGeom prst="rect"/>
                  </pic:spPr>
                </pic:pic>
              </a:graphicData>
            </a:graphic>
          </wp:inline>
        </w:drawing>
      </w:r>
    </w:p>
    <w:p>
      <w:pPr>
        <w:spacing w:after="160"/>
        <w:jc w:val="center"/>
      </w:pPr>
      <w:r>
        <w:rPr>
          <w:i/>
          <w:color w:val="667085"/>
          <w:sz w:val="17"/>
        </w:rPr>
        <w:t>Figure 1. Specialist capabilities fan out through temporary shards; explicit memory layers prevent transcripts from becoming state.</w:t>
      </w:r>
    </w:p>
    <w:p>
      <w:pPr>
        <w:pStyle w:val="Heading2"/>
      </w:pPr>
      <w:r>
        <w:t>4.1 Top-of-funnel applicability gate</w:t>
      </w:r>
    </w:p>
    <w:p>
      <w:pPr>
        <w:keepLines w:val="0"/>
      </w:pPr>
      <w:r>
        <w:t>The gate consumes a lightweight advisory seed—identifiers, vendor/product tokens, CVEs, broad versions and high-confidence component names—and queries the asset, software, dependency and telemetry indices. It runs before a full reference crawl.</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448"/>
            <w:tcMar>
              <w:top w:w="80" w:type="dxa"/>
              <w:start w:w="120" w:type="dxa"/>
              <w:bottom w:w="80" w:type="dxa"/>
              <w:end w:w="120" w:type="dxa"/>
            </w:tcMar>
            <w:shd w:fill="F2F4F7"/>
            <w:vAlign w:val="center"/>
          </w:tcPr>
          <w:p>
            <w:pPr>
              <w:spacing w:after="0"/>
            </w:pPr>
            <w:r>
              <w:rPr>
                <w:rFonts w:ascii="Arial" w:hAnsi="Arial"/>
                <w:b/>
                <w:color w:val="17365D"/>
                <w:sz w:val="16"/>
              </w:rPr>
              <w:t>Gate outcome</w:t>
            </w:r>
          </w:p>
        </w:tc>
        <w:tc>
          <w:tcPr>
            <w:tcW w:type="dxa" w:w="6696"/>
            <w:tcMar>
              <w:top w:w="80" w:type="dxa"/>
              <w:start w:w="120" w:type="dxa"/>
              <w:bottom w:w="80" w:type="dxa"/>
              <w:end w:w="120" w:type="dxa"/>
            </w:tcMar>
            <w:shd w:fill="F2F4F7"/>
            <w:vAlign w:val="center"/>
          </w:tcPr>
          <w:p>
            <w:pPr>
              <w:spacing w:after="0"/>
            </w:pPr>
            <w:r>
              <w:rPr>
                <w:rFonts w:ascii="Arial" w:hAnsi="Arial"/>
                <w:b/>
                <w:color w:val="17365D"/>
                <w:sz w:val="16"/>
              </w:rPr>
              <w:t>System action</w:t>
            </w:r>
          </w:p>
        </w:tc>
      </w:tr>
      <w:tr>
        <w:tc>
          <w:tcPr>
            <w:tcW w:type="dxa" w:w="2448"/>
            <w:tcMar>
              <w:top w:w="80" w:type="dxa"/>
              <w:start w:w="120" w:type="dxa"/>
              <w:bottom w:w="80" w:type="dxa"/>
              <w:end w:w="120" w:type="dxa"/>
            </w:tcMar>
            <w:vAlign w:val="top"/>
          </w:tcPr>
          <w:p>
            <w:pPr>
              <w:spacing w:after="0" w:line="240" w:lineRule="auto"/>
            </w:pPr>
            <w:r>
              <w:rPr>
                <w:rFonts w:ascii="Arial" w:hAnsi="Arial"/>
                <w:color w:val="243447"/>
                <w:sz w:val="16"/>
              </w:rPr>
              <w:t>confirmed_candidate</w:t>
            </w:r>
          </w:p>
        </w:tc>
        <w:tc>
          <w:tcPr>
            <w:tcW w:type="dxa" w:w="6696"/>
            <w:tcMar>
              <w:top w:w="80" w:type="dxa"/>
              <w:start w:w="120" w:type="dxa"/>
              <w:bottom w:w="80" w:type="dxa"/>
              <w:end w:w="120" w:type="dxa"/>
            </w:tcMar>
            <w:vAlign w:val="top"/>
          </w:tcPr>
          <w:p>
            <w:pPr>
              <w:spacing w:after="0" w:line="240" w:lineRule="auto"/>
            </w:pPr>
            <w:r>
              <w:rPr>
                <w:rFonts w:ascii="Arial" w:hAnsi="Arial"/>
                <w:color w:val="243447"/>
                <w:sz w:val="16"/>
              </w:rPr>
              <w:t>Open a case at high priority with matched assets.</w:t>
            </w:r>
          </w:p>
        </w:tc>
      </w:tr>
      <w:tr>
        <w:tc>
          <w:tcPr>
            <w:tcW w:type="dxa" w:w="2448"/>
            <w:tcMar>
              <w:top w:w="80" w:type="dxa"/>
              <w:start w:w="120" w:type="dxa"/>
              <w:bottom w:w="80" w:type="dxa"/>
              <w:end w:w="120" w:type="dxa"/>
            </w:tcMar>
            <w:vAlign w:val="top"/>
            <w:shd w:fill="FAFBFC"/>
          </w:tcPr>
          <w:p>
            <w:pPr>
              <w:spacing w:after="0" w:line="240" w:lineRule="auto"/>
            </w:pPr>
            <w:r>
              <w:rPr>
                <w:rFonts w:ascii="Arial" w:hAnsi="Arial"/>
                <w:color w:val="243447"/>
                <w:sz w:val="16"/>
              </w:rPr>
              <w:t>possible_candidate</w:t>
            </w:r>
          </w:p>
        </w:tc>
        <w:tc>
          <w:tcPr>
            <w:tcW w:type="dxa" w:w="6696"/>
            <w:tcMar>
              <w:top w:w="80" w:type="dxa"/>
              <w:start w:w="120" w:type="dxa"/>
              <w:bottom w:w="80" w:type="dxa"/>
              <w:end w:w="120" w:type="dxa"/>
            </w:tcMar>
            <w:vAlign w:val="top"/>
            <w:shd w:fill="FAFBFC"/>
          </w:tcPr>
          <w:p>
            <w:pPr>
              <w:spacing w:after="0" w:line="240" w:lineRule="auto"/>
            </w:pPr>
            <w:r>
              <w:rPr>
                <w:rFonts w:ascii="Arial" w:hAnsi="Arial"/>
                <w:color w:val="243447"/>
                <w:sz w:val="16"/>
              </w:rPr>
              <w:t>Open a case; make applicability the first evidence gap.</w:t>
            </w:r>
          </w:p>
        </w:tc>
      </w:tr>
      <w:tr>
        <w:tc>
          <w:tcPr>
            <w:tcW w:type="dxa" w:w="2448"/>
            <w:tcMar>
              <w:top w:w="80" w:type="dxa"/>
              <w:start w:w="120" w:type="dxa"/>
              <w:bottom w:w="80" w:type="dxa"/>
              <w:end w:w="120" w:type="dxa"/>
            </w:tcMar>
            <w:vAlign w:val="top"/>
          </w:tcPr>
          <w:p>
            <w:pPr>
              <w:spacing w:after="0" w:line="240" w:lineRule="auto"/>
            </w:pPr>
            <w:r>
              <w:rPr>
                <w:rFonts w:ascii="Arial" w:hAnsi="Arial"/>
                <w:color w:val="243447"/>
                <w:sz w:val="16"/>
              </w:rPr>
              <w:t>relationship_candidate</w:t>
            </w:r>
          </w:p>
        </w:tc>
        <w:tc>
          <w:tcPr>
            <w:tcW w:type="dxa" w:w="6696"/>
            <w:tcMar>
              <w:top w:w="80" w:type="dxa"/>
              <w:start w:w="120" w:type="dxa"/>
              <w:bottom w:w="80" w:type="dxa"/>
              <w:end w:w="120" w:type="dxa"/>
            </w:tcMar>
            <w:vAlign w:val="top"/>
          </w:tcPr>
          <w:p>
            <w:pPr>
              <w:spacing w:after="0" w:line="240" w:lineRule="auto"/>
            </w:pPr>
            <w:r>
              <w:rPr>
                <w:rFonts w:ascii="Arial" w:hAnsi="Arial"/>
                <w:color w:val="243447"/>
                <w:sz w:val="16"/>
              </w:rPr>
              <w:t>Open a case because an installed product may embed the named component.</w:t>
            </w:r>
          </w:p>
        </w:tc>
      </w:tr>
      <w:tr>
        <w:tc>
          <w:tcPr>
            <w:tcW w:type="dxa" w:w="2448"/>
            <w:tcMar>
              <w:top w:w="80" w:type="dxa"/>
              <w:start w:w="120" w:type="dxa"/>
              <w:bottom w:w="80" w:type="dxa"/>
              <w:end w:w="120" w:type="dxa"/>
            </w:tcMar>
            <w:vAlign w:val="top"/>
            <w:shd w:fill="FAFBFC"/>
          </w:tcPr>
          <w:p>
            <w:pPr>
              <w:spacing w:after="0" w:line="240" w:lineRule="auto"/>
            </w:pPr>
            <w:r>
              <w:rPr>
                <w:rFonts w:ascii="Arial" w:hAnsi="Arial"/>
                <w:color w:val="243447"/>
                <w:sz w:val="16"/>
              </w:rPr>
              <w:t>telemetry_candidate</w:t>
            </w:r>
          </w:p>
        </w:tc>
        <w:tc>
          <w:tcPr>
            <w:tcW w:type="dxa" w:w="6696"/>
            <w:tcMar>
              <w:top w:w="80" w:type="dxa"/>
              <w:start w:w="120" w:type="dxa"/>
              <w:bottom w:w="80" w:type="dxa"/>
              <w:end w:w="120" w:type="dxa"/>
            </w:tcMar>
            <w:vAlign w:val="top"/>
            <w:shd w:fill="FAFBFC"/>
          </w:tcPr>
          <w:p>
            <w:pPr>
              <w:spacing w:after="0" w:line="240" w:lineRule="auto"/>
            </w:pPr>
            <w:r>
              <w:rPr>
                <w:rFonts w:ascii="Arial" w:hAnsi="Arial"/>
                <w:color w:val="243447"/>
                <w:sz w:val="16"/>
              </w:rPr>
              <w:t>Open a case because detections, IOCs or exploit activity intersect the environment.</w:t>
            </w:r>
          </w:p>
        </w:tc>
      </w:tr>
      <w:tr>
        <w:tc>
          <w:tcPr>
            <w:tcW w:type="dxa" w:w="2448"/>
            <w:tcMar>
              <w:top w:w="80" w:type="dxa"/>
              <w:start w:w="120" w:type="dxa"/>
              <w:bottom w:w="80" w:type="dxa"/>
              <w:end w:w="120" w:type="dxa"/>
            </w:tcMar>
            <w:vAlign w:val="top"/>
          </w:tcPr>
          <w:p>
            <w:pPr>
              <w:spacing w:after="0" w:line="240" w:lineRule="auto"/>
            </w:pPr>
            <w:r>
              <w:rPr>
                <w:rFonts w:ascii="Arial" w:hAnsi="Arial"/>
                <w:color w:val="243447"/>
                <w:sz w:val="16"/>
              </w:rPr>
              <w:t>inventory_gap</w:t>
            </w:r>
          </w:p>
        </w:tc>
        <w:tc>
          <w:tcPr>
            <w:tcW w:type="dxa" w:w="6696"/>
            <w:tcMar>
              <w:top w:w="80" w:type="dxa"/>
              <w:start w:w="120" w:type="dxa"/>
              <w:bottom w:w="80" w:type="dxa"/>
              <w:end w:w="120" w:type="dxa"/>
            </w:tcMar>
            <w:vAlign w:val="top"/>
          </w:tcPr>
          <w:p>
            <w:pPr>
              <w:spacing w:after="0" w:line="240" w:lineRule="auto"/>
            </w:pPr>
            <w:r>
              <w:rPr>
                <w:rFonts w:ascii="Arial" w:hAnsi="Arial"/>
                <w:color w:val="243447"/>
                <w:sz w:val="16"/>
              </w:rPr>
              <w:t>Open an investigation case; do not infer safety from missing inventory.</w:t>
            </w:r>
          </w:p>
        </w:tc>
      </w:tr>
      <w:tr>
        <w:tc>
          <w:tcPr>
            <w:tcW w:type="dxa" w:w="2448"/>
            <w:tcMar>
              <w:top w:w="80" w:type="dxa"/>
              <w:start w:w="120" w:type="dxa"/>
              <w:bottom w:w="80" w:type="dxa"/>
              <w:end w:w="120" w:type="dxa"/>
            </w:tcMar>
            <w:vAlign w:val="top"/>
            <w:shd w:fill="FAFBFC"/>
          </w:tcPr>
          <w:p>
            <w:pPr>
              <w:spacing w:after="0" w:line="240" w:lineRule="auto"/>
            </w:pPr>
            <w:r>
              <w:rPr>
                <w:rFonts w:ascii="Arial" w:hAnsi="Arial"/>
                <w:color w:val="243447"/>
                <w:sz w:val="16"/>
              </w:rPr>
              <w:t>no_current_evidence</w:t>
            </w:r>
          </w:p>
        </w:tc>
        <w:tc>
          <w:tcPr>
            <w:tcW w:type="dxa" w:w="6696"/>
            <w:tcMar>
              <w:top w:w="80" w:type="dxa"/>
              <w:start w:w="120" w:type="dxa"/>
              <w:bottom w:w="80" w:type="dxa"/>
              <w:end w:w="120" w:type="dxa"/>
            </w:tcMar>
            <w:vAlign w:val="top"/>
            <w:shd w:fill="FAFBFC"/>
          </w:tcPr>
          <w:p>
            <w:pPr>
              <w:spacing w:after="0" w:line="240" w:lineRule="auto"/>
            </w:pPr>
            <w:r>
              <w:rPr>
                <w:rFonts w:ascii="Arial" w:hAnsi="Arial"/>
                <w:color w:val="243447"/>
                <w:sz w:val="16"/>
              </w:rPr>
              <w:t>Create a dormant record with reason, evidence timestamp and reactivation triggers.</w:t>
            </w:r>
          </w:p>
        </w:tc>
      </w:tr>
      <w:tr>
        <w:tc>
          <w:tcPr>
            <w:tcW w:type="dxa" w:w="2448"/>
            <w:tcMar>
              <w:top w:w="80" w:type="dxa"/>
              <w:start w:w="120" w:type="dxa"/>
              <w:bottom w:w="80" w:type="dxa"/>
              <w:end w:w="120" w:type="dxa"/>
            </w:tcMar>
            <w:vAlign w:val="top"/>
          </w:tcPr>
          <w:p>
            <w:pPr>
              <w:spacing w:after="0" w:line="240" w:lineRule="auto"/>
            </w:pPr>
            <w:r>
              <w:rPr>
                <w:rFonts w:ascii="Arial" w:hAnsi="Arial"/>
                <w:color w:val="243447"/>
                <w:sz w:val="16"/>
              </w:rPr>
              <w:t>global_override</w:t>
            </w:r>
          </w:p>
        </w:tc>
        <w:tc>
          <w:tcPr>
            <w:tcW w:type="dxa" w:w="6696"/>
            <w:tcMar>
              <w:top w:w="80" w:type="dxa"/>
              <w:start w:w="120" w:type="dxa"/>
              <w:bottom w:w="80" w:type="dxa"/>
              <w:end w:w="120" w:type="dxa"/>
            </w:tcMar>
            <w:vAlign w:val="top"/>
          </w:tcPr>
          <w:p>
            <w:pPr>
              <w:spacing w:after="0" w:line="240" w:lineRule="auto"/>
            </w:pPr>
            <w:r>
              <w:rPr>
                <w:rFonts w:ascii="Arial" w:hAnsi="Arial"/>
                <w:color w:val="243447"/>
                <w:sz w:val="16"/>
              </w:rPr>
              <w:t>Open regardless of inventory—for example KEV, perimeter technology or incident linkage.</w:t>
            </w:r>
          </w:p>
        </w:tc>
      </w:tr>
    </w:tbl>
    <w:p>
      <w:pPr>
        <w:spacing w:after="0"/>
      </w:pPr>
    </w:p>
    <w:p>
      <w:pPr>
        <w:pStyle w:val="Heading2"/>
      </w:pPr>
      <w:r>
        <w:t>4.2 Case creation and derived phase</w:t>
      </w:r>
    </w:p>
    <w:p>
      <w:pPr>
        <w:keepLines w:val="0"/>
      </w:pPr>
      <w:r>
        <w:t>A case starts with a coverage vector, not a prescribed sequence. Its phase is a view over current coverage, open contradictions, applicability confidence and actionability. This preserves flexible exploration while keeping progress comparable across advisories.</w:t>
      </w:r>
    </w:p>
    <w:tbl>
      <w:tblPr>
        <w:tblW w:type="auto" w:w="0"/>
        <w:jc w:val="center"/>
        <w:tblLook w:firstColumn="1" w:firstRow="1" w:lastColumn="0" w:lastRow="0" w:noHBand="0" w:noVBand="1" w:val="04A0"/>
      </w:tblPr>
      <w:tblGrid>
        <w:gridCol w:w="9360"/>
      </w:tblGrid>
      <w:tr>
        <w:trPr>
          <w:cantSplit/>
        </w:trPr>
        <w:tc>
          <w:tcPr>
            <w:tcW w:type="dxa" w:w="9360"/>
            <w:shd w:fill="F6F8FA"/>
            <w:tcMar>
              <w:top w:w="110" w:type="dxa"/>
              <w:start w:w="140" w:type="dxa"/>
              <w:bottom w:w="110" w:type="dxa"/>
              <w:end w:w="140" w:type="dxa"/>
            </w:tcMar>
            <w:tcBorders>
              <w:top w:sz="6" w:val="single" w:color="D0D5DD" w:space="0"/>
              <w:left w:sz="6" w:val="single" w:color="D0D5DD" w:space="0"/>
              <w:bottom w:sz="6" w:val="single" w:color="D0D5DD" w:space="0"/>
              <w:right w:sz="6" w:val="single" w:color="D0D5DD" w:space="0"/>
            </w:tcBorders>
          </w:tcPr>
          <w:p>
            <w:pPr>
              <w:spacing w:after="0"/>
            </w:pPr>
            <w:r>
              <w:rPr>
                <w:rFonts w:ascii="Consolas" w:hAnsi="Consolas"/>
                <w:color w:val="243447"/>
                <w:sz w:val="16"/>
              </w:rPr>
              <w:t>coverage_vector = {</w:t>
              <w:br/>
            </w:r>
            <w:r>
              <w:rPr>
                <w:rFonts w:ascii="Consolas" w:hAnsi="Consolas"/>
                <w:color w:val="243447"/>
                <w:sz w:val="16"/>
              </w:rPr>
              <w:t xml:space="preserve">  identity: score, sources: score, affected_assets: score, applicability: score, exploitability: score, impact: score, remediation: score, operational_change: score, verification: score, provenance_freshness: score</w:t>
              <w:br/>
            </w:r>
            <w:r>
              <w:rPr>
                <w:rFonts w:ascii="Consolas" w:hAnsi="Consolas"/>
                <w:color w:val="243447"/>
                <w:sz w:val="16"/>
              </w:rPr>
              <w:t>}</w:t>
              <w:br/>
            </w:r>
            <w:r>
              <w:rPr>
                <w:rFonts w:ascii="Consolas" w:hAnsi="Consolas"/>
                <w:color w:val="243447"/>
                <w:sz w:val="16"/>
              </w:rPr>
              <w:t>phase = derive_phase(coverage_vector, contradictions, blockers)</w:t>
            </w:r>
          </w:p>
        </w:tc>
      </w:tr>
    </w:tbl>
    <w:p>
      <w:pPr>
        <w:pStyle w:val="Heading2"/>
      </w:pPr>
      <w:r>
        <w:t>4.3 Dynamic fan-out and bounded autonomy</w:t>
      </w:r>
    </w:p>
    <w:p>
      <w:pPr>
        <w:keepLines w:val="0"/>
      </w:pPr>
      <w:r>
        <w:t>The controller selects the highest-value unresolved gap and invokes the relevant team subgraph. A team scout estimates the surface—reference branches, file modalities, product families or conflict partitions—then emits typed shards. LangGraph’s dynamic fan-out can execute independent shards concurrently and reduce their deltas.[3] The number of runs is therefore a consequence of discovered work, not a fixed team size.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1944"/>
            <w:tcMar>
              <w:top w:w="80" w:type="dxa"/>
              <w:start w:w="120" w:type="dxa"/>
              <w:bottom w:w="80" w:type="dxa"/>
              <w:end w:w="120" w:type="dxa"/>
            </w:tcMar>
            <w:shd w:fill="F2F4F7"/>
            <w:vAlign w:val="center"/>
          </w:tcPr>
          <w:p>
            <w:pPr>
              <w:spacing w:after="0"/>
            </w:pPr>
            <w:r>
              <w:rPr>
                <w:rFonts w:ascii="Arial" w:hAnsi="Arial"/>
                <w:b/>
                <w:color w:val="17365D"/>
                <w:sz w:val="16"/>
              </w:rPr>
              <w:t>Fan-out decision</w:t>
            </w:r>
          </w:p>
        </w:tc>
        <w:tc>
          <w:tcPr>
            <w:tcW w:type="dxa" w:w="7200"/>
            <w:tcMar>
              <w:top w:w="80" w:type="dxa"/>
              <w:start w:w="120" w:type="dxa"/>
              <w:bottom w:w="80" w:type="dxa"/>
              <w:end w:w="120" w:type="dxa"/>
            </w:tcMar>
            <w:shd w:fill="F2F4F7"/>
            <w:vAlign w:val="center"/>
          </w:tcPr>
          <w:p>
            <w:pPr>
              <w:spacing w:after="0"/>
            </w:pPr>
            <w:r>
              <w:rPr>
                <w:rFonts w:ascii="Arial" w:hAnsi="Arial"/>
                <w:b/>
                <w:color w:val="17365D"/>
                <w:sz w:val="16"/>
              </w:rPr>
              <w:t>Rule</w:t>
            </w:r>
          </w:p>
        </w:tc>
      </w:tr>
      <w:tr>
        <w:tc>
          <w:tcPr>
            <w:tcW w:type="dxa" w:w="1944"/>
            <w:tcMar>
              <w:top w:w="80" w:type="dxa"/>
              <w:start w:w="120" w:type="dxa"/>
              <w:bottom w:w="80" w:type="dxa"/>
              <w:end w:w="120" w:type="dxa"/>
            </w:tcMar>
            <w:vAlign w:val="top"/>
          </w:tcPr>
          <w:p>
            <w:pPr>
              <w:spacing w:after="0" w:line="240" w:lineRule="auto"/>
            </w:pPr>
            <w:r>
              <w:rPr>
                <w:rFonts w:ascii="Arial" w:hAnsi="Arial"/>
                <w:color w:val="243447"/>
                <w:sz w:val="16"/>
              </w:rPr>
              <w:t>Spawn</w:t>
            </w:r>
          </w:p>
        </w:tc>
        <w:tc>
          <w:tcPr>
            <w:tcW w:type="dxa" w:w="7200"/>
            <w:tcMar>
              <w:top w:w="80" w:type="dxa"/>
              <w:start w:w="120" w:type="dxa"/>
              <w:bottom w:w="80" w:type="dxa"/>
              <w:end w:w="120" w:type="dxa"/>
            </w:tcMar>
            <w:vAlign w:val="top"/>
          </w:tcPr>
          <w:p>
            <w:pPr>
              <w:spacing w:after="0" w:line="240" w:lineRule="auto"/>
            </w:pPr>
            <w:r>
              <w:rPr>
                <w:rFonts w:ascii="Arial" w:hAnsi="Arial"/>
                <w:color w:val="243447"/>
                <w:sz w:val="16"/>
              </w:rPr>
              <w:t>Independent shard; required coverage gap; expected gain above threshold; no duplicate lease; budget available.</w:t>
            </w:r>
          </w:p>
        </w:tc>
      </w:tr>
      <w:tr>
        <w:tc>
          <w:tcPr>
            <w:tcW w:type="dxa" w:w="1944"/>
            <w:tcMar>
              <w:top w:w="80" w:type="dxa"/>
              <w:start w:w="120" w:type="dxa"/>
              <w:bottom w:w="80" w:type="dxa"/>
              <w:end w:w="120" w:type="dxa"/>
            </w:tcMar>
            <w:vAlign w:val="top"/>
            <w:shd w:fill="FAFBFC"/>
          </w:tcPr>
          <w:p>
            <w:pPr>
              <w:spacing w:after="0" w:line="240" w:lineRule="auto"/>
            </w:pPr>
            <w:r>
              <w:rPr>
                <w:rFonts w:ascii="Arial" w:hAnsi="Arial"/>
                <w:color w:val="243447"/>
                <w:sz w:val="16"/>
              </w:rPr>
              <w:t>Do not spawn</w:t>
            </w:r>
          </w:p>
        </w:tc>
        <w:tc>
          <w:tcPr>
            <w:tcW w:type="dxa" w:w="7200"/>
            <w:tcMar>
              <w:top w:w="80" w:type="dxa"/>
              <w:start w:w="120" w:type="dxa"/>
              <w:bottom w:w="80" w:type="dxa"/>
              <w:end w:w="120" w:type="dxa"/>
            </w:tcMar>
            <w:vAlign w:val="top"/>
            <w:shd w:fill="FAFBFC"/>
          </w:tcPr>
          <w:p>
            <w:pPr>
              <w:spacing w:after="0" w:line="240" w:lineRule="auto"/>
            </w:pPr>
            <w:r>
              <w:rPr>
                <w:rFonts w:ascii="Arial" w:hAnsi="Arial"/>
                <w:color w:val="243447"/>
                <w:sz w:val="16"/>
              </w:rPr>
              <w:t>Same URL/content, dependent task, low-authority repetition, unresolved prerequisite or no measurable output contract.</w:t>
            </w:r>
          </w:p>
        </w:tc>
      </w:tr>
      <w:tr>
        <w:tc>
          <w:tcPr>
            <w:tcW w:type="dxa" w:w="1944"/>
            <w:tcMar>
              <w:top w:w="80" w:type="dxa"/>
              <w:start w:w="120" w:type="dxa"/>
              <w:bottom w:w="80" w:type="dxa"/>
              <w:end w:w="120" w:type="dxa"/>
            </w:tcMar>
            <w:vAlign w:val="top"/>
          </w:tcPr>
          <w:p>
            <w:pPr>
              <w:spacing w:after="0" w:line="240" w:lineRule="auto"/>
            </w:pPr>
            <w:r>
              <w:rPr>
                <w:rFonts w:ascii="Arial" w:hAnsi="Arial"/>
                <w:color w:val="243447"/>
                <w:sz w:val="16"/>
              </w:rPr>
              <w:t>Expand</w:t>
            </w:r>
          </w:p>
        </w:tc>
        <w:tc>
          <w:tcPr>
            <w:tcW w:type="dxa" w:w="7200"/>
            <w:tcMar>
              <w:top w:w="80" w:type="dxa"/>
              <w:start w:w="120" w:type="dxa"/>
              <w:bottom w:w="80" w:type="dxa"/>
              <w:end w:w="120" w:type="dxa"/>
            </w:tcMar>
            <w:vAlign w:val="top"/>
          </w:tcPr>
          <w:p>
            <w:pPr>
              <w:spacing w:after="0" w:line="240" w:lineRule="auto"/>
            </w:pPr>
            <w:r>
              <w:rPr>
                <w:rFonts w:ascii="Arial" w:hAnsi="Arial"/>
                <w:color w:val="243447"/>
                <w:sz w:val="16"/>
              </w:rPr>
              <w:t>A run returns a frontier_expansion_request with source context, expected value and proposed tool—not a child agent.</w:t>
            </w:r>
          </w:p>
        </w:tc>
      </w:tr>
      <w:tr>
        <w:tc>
          <w:tcPr>
            <w:tcW w:type="dxa" w:w="1944"/>
            <w:tcMar>
              <w:top w:w="80" w:type="dxa"/>
              <w:start w:w="120" w:type="dxa"/>
              <w:bottom w:w="80" w:type="dxa"/>
              <w:end w:w="120" w:type="dxa"/>
            </w:tcMar>
            <w:vAlign w:val="top"/>
            <w:shd w:fill="FAFBFC"/>
          </w:tcPr>
          <w:p>
            <w:pPr>
              <w:spacing w:after="0" w:line="240" w:lineRule="auto"/>
            </w:pPr>
            <w:r>
              <w:rPr>
                <w:rFonts w:ascii="Arial" w:hAnsi="Arial"/>
                <w:color w:val="243447"/>
                <w:sz w:val="16"/>
              </w:rPr>
              <w:t>Stop / escalate</w:t>
            </w:r>
          </w:p>
        </w:tc>
        <w:tc>
          <w:tcPr>
            <w:tcW w:type="dxa" w:w="7200"/>
            <w:tcMar>
              <w:top w:w="80" w:type="dxa"/>
              <w:start w:w="120" w:type="dxa"/>
              <w:bottom w:w="80" w:type="dxa"/>
              <w:end w:w="120" w:type="dxa"/>
            </w:tcMar>
            <w:vAlign w:val="top"/>
            <w:shd w:fill="FAFBFC"/>
          </w:tcPr>
          <w:p>
            <w:pPr>
              <w:spacing w:after="0" w:line="240" w:lineRule="auto"/>
            </w:pPr>
            <w:r>
              <w:rPr>
                <w:rFonts w:ascii="Arial" w:hAnsi="Arial"/>
                <w:color w:val="243447"/>
                <w:sz w:val="16"/>
              </w:rPr>
              <w:t>Coverage threshold reached, repeated zero-delta, stable external blocker, material ambiguity or budget boundary.</w:t>
            </w:r>
          </w:p>
        </w:tc>
      </w:tr>
    </w:tbl>
    <w:p>
      <w:pPr>
        <w:spacing w:after="0"/>
      </w:pPr>
    </w:p>
    <w:p>
      <w:pPr>
        <w:spacing w:after="60"/>
      </w:pPr>
    </w:p>
    <w:p>
      <w:pPr>
        <w:pStyle w:val="Heading1"/>
      </w:pPr>
      <w:r>
        <w:t>5. State model: phases defined by what is uncovered</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656"/>
            <w:tcMar>
              <w:top w:w="80" w:type="dxa"/>
              <w:start w:w="120" w:type="dxa"/>
              <w:bottom w:w="80" w:type="dxa"/>
              <w:end w:w="120" w:type="dxa"/>
            </w:tcMar>
            <w:shd w:fill="F2F4F7"/>
            <w:vAlign w:val="center"/>
          </w:tcPr>
          <w:p>
            <w:pPr>
              <w:spacing w:after="0"/>
            </w:pPr>
            <w:r>
              <w:rPr>
                <w:rFonts w:ascii="Arial" w:hAnsi="Arial"/>
                <w:b/>
                <w:color w:val="17365D"/>
                <w:sz w:val="14"/>
              </w:rPr>
              <w:t>Derived phase</w:t>
            </w:r>
          </w:p>
        </w:tc>
        <w:tc>
          <w:tcPr>
            <w:tcW w:type="dxa" w:w="2088"/>
            <w:tcMar>
              <w:top w:w="80" w:type="dxa"/>
              <w:start w:w="120" w:type="dxa"/>
              <w:bottom w:w="80" w:type="dxa"/>
              <w:end w:w="120" w:type="dxa"/>
            </w:tcMar>
            <w:shd w:fill="F2F4F7"/>
            <w:vAlign w:val="center"/>
          </w:tcPr>
          <w:p>
            <w:pPr>
              <w:spacing w:after="0"/>
            </w:pPr>
            <w:r>
              <w:rPr>
                <w:rFonts w:ascii="Arial" w:hAnsi="Arial"/>
                <w:b/>
                <w:color w:val="17365D"/>
                <w:sz w:val="14"/>
              </w:rPr>
              <w:t>Entry condition</w:t>
            </w:r>
          </w:p>
        </w:tc>
        <w:tc>
          <w:tcPr>
            <w:tcW w:type="dxa" w:w="2520"/>
            <w:tcMar>
              <w:top w:w="80" w:type="dxa"/>
              <w:start w:w="120" w:type="dxa"/>
              <w:bottom w:w="80" w:type="dxa"/>
              <w:end w:w="120" w:type="dxa"/>
            </w:tcMar>
            <w:shd w:fill="F2F4F7"/>
            <w:vAlign w:val="center"/>
          </w:tcPr>
          <w:p>
            <w:pPr>
              <w:spacing w:after="0"/>
            </w:pPr>
            <w:r>
              <w:rPr>
                <w:rFonts w:ascii="Arial" w:hAnsi="Arial"/>
                <w:b/>
                <w:color w:val="17365D"/>
                <w:sz w:val="14"/>
              </w:rPr>
              <w:t>Primary question</w:t>
            </w:r>
          </w:p>
        </w:tc>
        <w:tc>
          <w:tcPr>
            <w:tcW w:type="dxa" w:w="2880"/>
            <w:tcMar>
              <w:top w:w="80" w:type="dxa"/>
              <w:start w:w="120" w:type="dxa"/>
              <w:bottom w:w="80" w:type="dxa"/>
              <w:end w:w="120" w:type="dxa"/>
            </w:tcMar>
            <w:shd w:fill="F2F4F7"/>
            <w:vAlign w:val="center"/>
          </w:tcPr>
          <w:p>
            <w:pPr>
              <w:spacing w:after="0"/>
            </w:pPr>
            <w:r>
              <w:rPr>
                <w:rFonts w:ascii="Arial" w:hAnsi="Arial"/>
                <w:b/>
                <w:color w:val="17365D"/>
                <w:sz w:val="14"/>
              </w:rPr>
              <w:t>Exit evidence</w:t>
            </w:r>
          </w:p>
        </w:tc>
      </w:tr>
      <w:tr>
        <w:tc>
          <w:tcPr>
            <w:tcW w:type="dxa" w:w="1656"/>
            <w:tcMar>
              <w:top w:w="80" w:type="dxa"/>
              <w:start w:w="120" w:type="dxa"/>
              <w:bottom w:w="80" w:type="dxa"/>
              <w:end w:w="120" w:type="dxa"/>
            </w:tcMar>
            <w:vAlign w:val="top"/>
          </w:tcPr>
          <w:p>
            <w:pPr>
              <w:spacing w:after="0" w:line="240" w:lineRule="auto"/>
            </w:pPr>
            <w:r>
              <w:rPr>
                <w:rFonts w:ascii="Arial" w:hAnsi="Arial"/>
                <w:color w:val="243447"/>
                <w:sz w:val="14"/>
              </w:rPr>
              <w:t>Dormant / suppressed</w:t>
            </w:r>
          </w:p>
        </w:tc>
        <w:tc>
          <w:tcPr>
            <w:tcW w:type="dxa" w:w="2088"/>
            <w:tcMar>
              <w:top w:w="80" w:type="dxa"/>
              <w:start w:w="120" w:type="dxa"/>
              <w:bottom w:w="80" w:type="dxa"/>
              <w:end w:w="120" w:type="dxa"/>
            </w:tcMar>
            <w:vAlign w:val="top"/>
          </w:tcPr>
          <w:p>
            <w:pPr>
              <w:spacing w:after="0" w:line="240" w:lineRule="auto"/>
            </w:pPr>
            <w:r>
              <w:rPr>
                <w:rFonts w:ascii="Arial" w:hAnsi="Arial"/>
                <w:color w:val="243447"/>
                <w:sz w:val="14"/>
              </w:rPr>
              <w:t>No current asset or policy trigger</w:t>
            </w:r>
          </w:p>
        </w:tc>
        <w:tc>
          <w:tcPr>
            <w:tcW w:type="dxa" w:w="2520"/>
            <w:tcMar>
              <w:top w:w="80" w:type="dxa"/>
              <w:start w:w="120" w:type="dxa"/>
              <w:bottom w:w="80" w:type="dxa"/>
              <w:end w:w="120" w:type="dxa"/>
            </w:tcMar>
            <w:vAlign w:val="top"/>
          </w:tcPr>
          <w:p>
            <w:pPr>
              <w:spacing w:after="0" w:line="240" w:lineRule="auto"/>
            </w:pPr>
            <w:r>
              <w:rPr>
                <w:rFonts w:ascii="Arial" w:hAnsi="Arial"/>
                <w:color w:val="243447"/>
                <w:sz w:val="14"/>
              </w:rPr>
              <w:t>What would reactivate this?</w:t>
            </w:r>
          </w:p>
        </w:tc>
        <w:tc>
          <w:tcPr>
            <w:tcW w:type="dxa" w:w="2880"/>
            <w:tcMar>
              <w:top w:w="80" w:type="dxa"/>
              <w:start w:w="120" w:type="dxa"/>
              <w:bottom w:w="80" w:type="dxa"/>
              <w:end w:w="120" w:type="dxa"/>
            </w:tcMar>
            <w:vAlign w:val="top"/>
          </w:tcPr>
          <w:p>
            <w:pPr>
              <w:spacing w:after="0" w:line="240" w:lineRule="auto"/>
            </w:pPr>
            <w:r>
              <w:rPr>
                <w:rFonts w:ascii="Arial" w:hAnsi="Arial"/>
                <w:color w:val="243447"/>
                <w:sz w:val="14"/>
              </w:rPr>
              <w:t>Reason, freshness and trigger predicates stored</w:t>
            </w:r>
          </w:p>
        </w:tc>
      </w:tr>
      <w:tr>
        <w:tc>
          <w:tcPr>
            <w:tcW w:type="dxa" w:w="1656"/>
            <w:tcMar>
              <w:top w:w="80" w:type="dxa"/>
              <w:start w:w="120" w:type="dxa"/>
              <w:bottom w:w="80" w:type="dxa"/>
              <w:end w:w="120" w:type="dxa"/>
            </w:tcMar>
            <w:vAlign w:val="top"/>
            <w:shd w:fill="FAFBFC"/>
          </w:tcPr>
          <w:p>
            <w:pPr>
              <w:spacing w:after="0" w:line="240" w:lineRule="auto"/>
            </w:pPr>
            <w:r>
              <w:rPr>
                <w:rFonts w:ascii="Arial" w:hAnsi="Arial"/>
                <w:color w:val="243447"/>
                <w:sz w:val="14"/>
              </w:rPr>
              <w:t>Discovery</w:t>
            </w:r>
          </w:p>
        </w:tc>
        <w:tc>
          <w:tcPr>
            <w:tcW w:type="dxa" w:w="2088"/>
            <w:tcMar>
              <w:top w:w="80" w:type="dxa"/>
              <w:start w:w="120" w:type="dxa"/>
              <w:bottom w:w="80" w:type="dxa"/>
              <w:end w:w="120" w:type="dxa"/>
            </w:tcMar>
            <w:vAlign w:val="top"/>
            <w:shd w:fill="FAFBFC"/>
          </w:tcPr>
          <w:p>
            <w:pPr>
              <w:spacing w:after="0" w:line="240" w:lineRule="auto"/>
            </w:pPr>
            <w:r>
              <w:rPr>
                <w:rFonts w:ascii="Arial" w:hAnsi="Arial"/>
                <w:color w:val="243447"/>
                <w:sz w:val="14"/>
              </w:rPr>
              <w:t>Case opened; source identity incomplete</w:t>
            </w:r>
          </w:p>
        </w:tc>
        <w:tc>
          <w:tcPr>
            <w:tcW w:type="dxa" w:w="2520"/>
            <w:tcMar>
              <w:top w:w="80" w:type="dxa"/>
              <w:start w:w="120" w:type="dxa"/>
              <w:bottom w:w="80" w:type="dxa"/>
              <w:end w:w="120" w:type="dxa"/>
            </w:tcMar>
            <w:vAlign w:val="top"/>
            <w:shd w:fill="FAFBFC"/>
          </w:tcPr>
          <w:p>
            <w:pPr>
              <w:spacing w:after="0" w:line="240" w:lineRule="auto"/>
            </w:pPr>
            <w:r>
              <w:rPr>
                <w:rFonts w:ascii="Arial" w:hAnsi="Arial"/>
                <w:color w:val="243447"/>
                <w:sz w:val="14"/>
              </w:rPr>
              <w:t>What are the authoritative surfaces?</w:t>
            </w:r>
          </w:p>
        </w:tc>
        <w:tc>
          <w:tcPr>
            <w:tcW w:type="dxa" w:w="2880"/>
            <w:tcMar>
              <w:top w:w="80" w:type="dxa"/>
              <w:start w:w="120" w:type="dxa"/>
              <w:bottom w:w="80" w:type="dxa"/>
              <w:end w:w="120" w:type="dxa"/>
            </w:tcMar>
            <w:vAlign w:val="top"/>
            <w:shd w:fill="FAFBFC"/>
          </w:tcPr>
          <w:p>
            <w:pPr>
              <w:spacing w:after="0" w:line="240" w:lineRule="auto"/>
            </w:pPr>
            <w:r>
              <w:rPr>
                <w:rFonts w:ascii="Arial" w:hAnsi="Arial"/>
                <w:color w:val="243447"/>
                <w:sz w:val="14"/>
              </w:rPr>
              <w:t>CERT record, vendor root, identifiers, artifacts</w:t>
            </w:r>
          </w:p>
        </w:tc>
      </w:tr>
      <w:tr>
        <w:tc>
          <w:tcPr>
            <w:tcW w:type="dxa" w:w="1656"/>
            <w:tcMar>
              <w:top w:w="80" w:type="dxa"/>
              <w:start w:w="120" w:type="dxa"/>
              <w:bottom w:w="80" w:type="dxa"/>
              <w:end w:w="120" w:type="dxa"/>
            </w:tcMar>
            <w:vAlign w:val="top"/>
          </w:tcPr>
          <w:p>
            <w:pPr>
              <w:spacing w:after="0" w:line="240" w:lineRule="auto"/>
            </w:pPr>
            <w:r>
              <w:rPr>
                <w:rFonts w:ascii="Arial" w:hAnsi="Arial"/>
                <w:color w:val="243447"/>
                <w:sz w:val="14"/>
              </w:rPr>
              <w:t>Expansion</w:t>
            </w:r>
          </w:p>
        </w:tc>
        <w:tc>
          <w:tcPr>
            <w:tcW w:type="dxa" w:w="2088"/>
            <w:tcMar>
              <w:top w:w="80" w:type="dxa"/>
              <w:start w:w="120" w:type="dxa"/>
              <w:bottom w:w="80" w:type="dxa"/>
              <w:end w:w="120" w:type="dxa"/>
            </w:tcMar>
            <w:vAlign w:val="top"/>
          </w:tcPr>
          <w:p>
            <w:pPr>
              <w:spacing w:after="0" w:line="240" w:lineRule="auto"/>
            </w:pPr>
            <w:r>
              <w:rPr>
                <w:rFonts w:ascii="Arial" w:hAnsi="Arial"/>
                <w:color w:val="243447"/>
                <w:sz w:val="14"/>
              </w:rPr>
              <w:t>Promising reference frontier remains</w:t>
            </w:r>
          </w:p>
        </w:tc>
        <w:tc>
          <w:tcPr>
            <w:tcW w:type="dxa" w:w="2520"/>
            <w:tcMar>
              <w:top w:w="80" w:type="dxa"/>
              <w:start w:w="120" w:type="dxa"/>
              <w:bottom w:w="80" w:type="dxa"/>
              <w:end w:w="120" w:type="dxa"/>
            </w:tcMar>
            <w:vAlign w:val="top"/>
          </w:tcPr>
          <w:p>
            <w:pPr>
              <w:spacing w:after="0" w:line="240" w:lineRule="auto"/>
            </w:pPr>
            <w:r>
              <w:rPr>
                <w:rFonts w:ascii="Arial" w:hAnsi="Arial"/>
                <w:color w:val="243447"/>
                <w:sz w:val="14"/>
              </w:rPr>
              <w:t>What is one to three clicks deeper?</w:t>
            </w:r>
          </w:p>
        </w:tc>
        <w:tc>
          <w:tcPr>
            <w:tcW w:type="dxa" w:w="2880"/>
            <w:tcMar>
              <w:top w:w="80" w:type="dxa"/>
              <w:start w:w="120" w:type="dxa"/>
              <w:bottom w:w="80" w:type="dxa"/>
              <w:end w:w="120" w:type="dxa"/>
            </w:tcMar>
            <w:vAlign w:val="top"/>
          </w:tcPr>
          <w:p>
            <w:pPr>
              <w:spacing w:after="0" w:line="240" w:lineRule="auto"/>
            </w:pPr>
            <w:r>
              <w:rPr>
                <w:rFonts w:ascii="Arial" w:hAnsi="Arial"/>
                <w:color w:val="243447"/>
                <w:sz w:val="14"/>
              </w:rPr>
              <w:t>Machine feed, patch/release, revision, research edges</w:t>
            </w:r>
          </w:p>
        </w:tc>
      </w:tr>
      <w:tr>
        <w:tc>
          <w:tcPr>
            <w:tcW w:type="dxa" w:w="1656"/>
            <w:tcMar>
              <w:top w:w="80" w:type="dxa"/>
              <w:start w:w="120" w:type="dxa"/>
              <w:bottom w:w="80" w:type="dxa"/>
              <w:end w:w="120" w:type="dxa"/>
            </w:tcMar>
            <w:vAlign w:val="top"/>
            <w:shd w:fill="FAFBFC"/>
          </w:tcPr>
          <w:p>
            <w:pPr>
              <w:spacing w:after="0" w:line="240" w:lineRule="auto"/>
            </w:pPr>
            <w:r>
              <w:rPr>
                <w:rFonts w:ascii="Arial" w:hAnsi="Arial"/>
                <w:color w:val="243447"/>
                <w:sz w:val="14"/>
              </w:rPr>
              <w:t>Reconciliation</w:t>
            </w:r>
          </w:p>
        </w:tc>
        <w:tc>
          <w:tcPr>
            <w:tcW w:type="dxa" w:w="2088"/>
            <w:tcMar>
              <w:top w:w="80" w:type="dxa"/>
              <w:start w:w="120" w:type="dxa"/>
              <w:bottom w:w="80" w:type="dxa"/>
              <w:end w:w="120" w:type="dxa"/>
            </w:tcMar>
            <w:vAlign w:val="top"/>
            <w:shd w:fill="FAFBFC"/>
          </w:tcPr>
          <w:p>
            <w:pPr>
              <w:spacing w:after="0" w:line="240" w:lineRule="auto"/>
            </w:pPr>
            <w:r>
              <w:rPr>
                <w:rFonts w:ascii="Arial" w:hAnsi="Arial"/>
                <w:color w:val="243447"/>
                <w:sz w:val="14"/>
              </w:rPr>
              <w:t>Claims conflict or row relationships are uncertain</w:t>
            </w:r>
          </w:p>
        </w:tc>
        <w:tc>
          <w:tcPr>
            <w:tcW w:type="dxa" w:w="2520"/>
            <w:tcMar>
              <w:top w:w="80" w:type="dxa"/>
              <w:start w:w="120" w:type="dxa"/>
              <w:bottom w:w="80" w:type="dxa"/>
              <w:end w:w="120" w:type="dxa"/>
            </w:tcMar>
            <w:vAlign w:val="top"/>
            <w:shd w:fill="FAFBFC"/>
          </w:tcPr>
          <w:p>
            <w:pPr>
              <w:spacing w:after="0" w:line="240" w:lineRule="auto"/>
            </w:pPr>
            <w:r>
              <w:rPr>
                <w:rFonts w:ascii="Arial" w:hAnsi="Arial"/>
                <w:color w:val="243447"/>
                <w:sz w:val="14"/>
              </w:rPr>
              <w:t>Which source says what, and why?</w:t>
            </w:r>
          </w:p>
        </w:tc>
        <w:tc>
          <w:tcPr>
            <w:tcW w:type="dxa" w:w="2880"/>
            <w:tcMar>
              <w:top w:w="80" w:type="dxa"/>
              <w:start w:w="120" w:type="dxa"/>
              <w:bottom w:w="80" w:type="dxa"/>
              <w:end w:w="120" w:type="dxa"/>
            </w:tcMar>
            <w:vAlign w:val="top"/>
            <w:shd w:fill="FAFBFC"/>
          </w:tcPr>
          <w:p>
            <w:pPr>
              <w:spacing w:after="0" w:line="240" w:lineRule="auto"/>
            </w:pPr>
            <w:r>
              <w:rPr>
                <w:rFonts w:ascii="Arial" w:hAnsi="Arial"/>
                <w:color w:val="243447"/>
                <w:sz w:val="14"/>
              </w:rPr>
              <w:t>Contradiction set resolved or explicitly open</w:t>
            </w:r>
          </w:p>
        </w:tc>
      </w:tr>
      <w:tr>
        <w:tc>
          <w:tcPr>
            <w:tcW w:type="dxa" w:w="1656"/>
            <w:tcMar>
              <w:top w:w="80" w:type="dxa"/>
              <w:start w:w="120" w:type="dxa"/>
              <w:bottom w:w="80" w:type="dxa"/>
              <w:end w:w="120" w:type="dxa"/>
            </w:tcMar>
            <w:vAlign w:val="top"/>
          </w:tcPr>
          <w:p>
            <w:pPr>
              <w:spacing w:after="0" w:line="240" w:lineRule="auto"/>
            </w:pPr>
            <w:r>
              <w:rPr>
                <w:rFonts w:ascii="Arial" w:hAnsi="Arial"/>
                <w:color w:val="243447"/>
                <w:sz w:val="14"/>
              </w:rPr>
              <w:t>Applicability</w:t>
            </w:r>
          </w:p>
        </w:tc>
        <w:tc>
          <w:tcPr>
            <w:tcW w:type="dxa" w:w="2088"/>
            <w:tcMar>
              <w:top w:w="80" w:type="dxa"/>
              <w:start w:w="120" w:type="dxa"/>
              <w:bottom w:w="80" w:type="dxa"/>
              <w:end w:w="120" w:type="dxa"/>
            </w:tcMar>
            <w:vAlign w:val="top"/>
          </w:tcPr>
          <w:p>
            <w:pPr>
              <w:spacing w:after="0" w:line="240" w:lineRule="auto"/>
            </w:pPr>
            <w:r>
              <w:rPr>
                <w:rFonts w:ascii="Arial" w:hAnsi="Arial"/>
                <w:color w:val="243447"/>
                <w:sz w:val="14"/>
              </w:rPr>
              <w:t>Product/component match uncertain</w:t>
            </w:r>
          </w:p>
        </w:tc>
        <w:tc>
          <w:tcPr>
            <w:tcW w:type="dxa" w:w="2520"/>
            <w:tcMar>
              <w:top w:w="80" w:type="dxa"/>
              <w:start w:w="120" w:type="dxa"/>
              <w:bottom w:w="80" w:type="dxa"/>
              <w:end w:w="120" w:type="dxa"/>
            </w:tcMar>
            <w:vAlign w:val="top"/>
          </w:tcPr>
          <w:p>
            <w:pPr>
              <w:spacing w:after="0" w:line="240" w:lineRule="auto"/>
            </w:pPr>
            <w:r>
              <w:rPr>
                <w:rFonts w:ascii="Arial" w:hAnsi="Arial"/>
                <w:color w:val="243447"/>
                <w:sz w:val="14"/>
              </w:rPr>
              <w:t>Which assets and states are affected?</w:t>
            </w:r>
          </w:p>
        </w:tc>
        <w:tc>
          <w:tcPr>
            <w:tcW w:type="dxa" w:w="2880"/>
            <w:tcMar>
              <w:top w:w="80" w:type="dxa"/>
              <w:start w:w="120" w:type="dxa"/>
              <w:bottom w:w="80" w:type="dxa"/>
              <w:end w:w="120" w:type="dxa"/>
            </w:tcMar>
            <w:vAlign w:val="top"/>
          </w:tcPr>
          <w:p>
            <w:pPr>
              <w:spacing w:after="0" w:line="240" w:lineRule="auto"/>
            </w:pPr>
            <w:r>
              <w:rPr>
                <w:rFonts w:ascii="Arial" w:hAnsi="Arial"/>
                <w:color w:val="243447"/>
                <w:sz w:val="14"/>
              </w:rPr>
              <w:t>Per-asset affected/not affected/fixed/unknown rationale</w:t>
            </w:r>
          </w:p>
        </w:tc>
      </w:tr>
      <w:tr>
        <w:tc>
          <w:tcPr>
            <w:tcW w:type="dxa" w:w="1656"/>
            <w:tcMar>
              <w:top w:w="80" w:type="dxa"/>
              <w:start w:w="120" w:type="dxa"/>
              <w:bottom w:w="80" w:type="dxa"/>
              <w:end w:w="120" w:type="dxa"/>
            </w:tcMar>
            <w:vAlign w:val="top"/>
            <w:shd w:fill="FAFBFC"/>
          </w:tcPr>
          <w:p>
            <w:pPr>
              <w:spacing w:after="0" w:line="240" w:lineRule="auto"/>
            </w:pPr>
            <w:r>
              <w:rPr>
                <w:rFonts w:ascii="Arial" w:hAnsi="Arial"/>
                <w:color w:val="243447"/>
                <w:sz w:val="14"/>
              </w:rPr>
              <w:t>Actionability</w:t>
            </w:r>
          </w:p>
        </w:tc>
        <w:tc>
          <w:tcPr>
            <w:tcW w:type="dxa" w:w="2088"/>
            <w:tcMar>
              <w:top w:w="80" w:type="dxa"/>
              <w:start w:w="120" w:type="dxa"/>
              <w:bottom w:w="80" w:type="dxa"/>
              <w:end w:w="120" w:type="dxa"/>
            </w:tcMar>
            <w:vAlign w:val="top"/>
            <w:shd w:fill="FAFBFC"/>
          </w:tcPr>
          <w:p>
            <w:pPr>
              <w:spacing w:after="0" w:line="240" w:lineRule="auto"/>
            </w:pPr>
            <w:r>
              <w:rPr>
                <w:rFonts w:ascii="Arial" w:hAnsi="Arial"/>
                <w:color w:val="243447"/>
                <w:sz w:val="14"/>
              </w:rPr>
              <w:t>Affected assets exist; safe action incomplete</w:t>
            </w:r>
          </w:p>
        </w:tc>
        <w:tc>
          <w:tcPr>
            <w:tcW w:type="dxa" w:w="2520"/>
            <w:tcMar>
              <w:top w:w="80" w:type="dxa"/>
              <w:start w:w="120" w:type="dxa"/>
              <w:bottom w:w="80" w:type="dxa"/>
              <w:end w:w="120" w:type="dxa"/>
            </w:tcMar>
            <w:vAlign w:val="top"/>
            <w:shd w:fill="FAFBFC"/>
          </w:tcPr>
          <w:p>
            <w:pPr>
              <w:spacing w:after="0" w:line="240" w:lineRule="auto"/>
            </w:pPr>
            <w:r>
              <w:rPr>
                <w:rFonts w:ascii="Arial" w:hAnsi="Arial"/>
                <w:color w:val="243447"/>
                <w:sz w:val="14"/>
              </w:rPr>
              <w:t>What exactly changes?</w:t>
            </w:r>
          </w:p>
        </w:tc>
        <w:tc>
          <w:tcPr>
            <w:tcW w:type="dxa" w:w="2880"/>
            <w:tcMar>
              <w:top w:w="80" w:type="dxa"/>
              <w:start w:w="120" w:type="dxa"/>
              <w:bottom w:w="80" w:type="dxa"/>
              <w:end w:w="120" w:type="dxa"/>
            </w:tcMar>
            <w:vAlign w:val="top"/>
            <w:shd w:fill="FAFBFC"/>
          </w:tcPr>
          <w:p>
            <w:pPr>
              <w:spacing w:after="0" w:line="240" w:lineRule="auto"/>
            </w:pPr>
            <w:r>
              <w:rPr>
                <w:rFonts w:ascii="Arial" w:hAnsi="Arial"/>
                <w:color w:val="243447"/>
                <w:sz w:val="14"/>
              </w:rPr>
              <w:t>Fixed target, mitigation, prerequisites and ownership</w:t>
            </w:r>
          </w:p>
        </w:tc>
      </w:tr>
      <w:tr>
        <w:tc>
          <w:tcPr>
            <w:tcW w:type="dxa" w:w="1656"/>
            <w:tcMar>
              <w:top w:w="80" w:type="dxa"/>
              <w:start w:w="120" w:type="dxa"/>
              <w:bottom w:w="80" w:type="dxa"/>
              <w:end w:w="120" w:type="dxa"/>
            </w:tcMar>
            <w:vAlign w:val="top"/>
          </w:tcPr>
          <w:p>
            <w:pPr>
              <w:spacing w:after="0" w:line="240" w:lineRule="auto"/>
            </w:pPr>
            <w:r>
              <w:rPr>
                <w:rFonts w:ascii="Arial" w:hAnsi="Arial"/>
                <w:color w:val="243447"/>
                <w:sz w:val="14"/>
              </w:rPr>
              <w:t>Verification</w:t>
            </w:r>
          </w:p>
        </w:tc>
        <w:tc>
          <w:tcPr>
            <w:tcW w:type="dxa" w:w="2088"/>
            <w:tcMar>
              <w:top w:w="80" w:type="dxa"/>
              <w:start w:w="120" w:type="dxa"/>
              <w:bottom w:w="80" w:type="dxa"/>
              <w:end w:w="120" w:type="dxa"/>
            </w:tcMar>
            <w:vAlign w:val="top"/>
          </w:tcPr>
          <w:p>
            <w:pPr>
              <w:spacing w:after="0" w:line="240" w:lineRule="auto"/>
            </w:pPr>
            <w:r>
              <w:rPr>
                <w:rFonts w:ascii="Arial" w:hAnsi="Arial"/>
                <w:color w:val="243447"/>
                <w:sz w:val="14"/>
              </w:rPr>
              <w:t>Action planned or executed</w:t>
            </w:r>
          </w:p>
        </w:tc>
        <w:tc>
          <w:tcPr>
            <w:tcW w:type="dxa" w:w="2520"/>
            <w:tcMar>
              <w:top w:w="80" w:type="dxa"/>
              <w:start w:w="120" w:type="dxa"/>
              <w:bottom w:w="80" w:type="dxa"/>
              <w:end w:w="120" w:type="dxa"/>
            </w:tcMar>
            <w:vAlign w:val="top"/>
          </w:tcPr>
          <w:p>
            <w:pPr>
              <w:spacing w:after="0" w:line="240" w:lineRule="auto"/>
            </w:pPr>
            <w:r>
              <w:rPr>
                <w:rFonts w:ascii="Arial" w:hAnsi="Arial"/>
                <w:color w:val="243447"/>
                <w:sz w:val="14"/>
              </w:rPr>
              <w:t>How will success and regression be detected?</w:t>
            </w:r>
          </w:p>
        </w:tc>
        <w:tc>
          <w:tcPr>
            <w:tcW w:type="dxa" w:w="2880"/>
            <w:tcMar>
              <w:top w:w="80" w:type="dxa"/>
              <w:start w:w="120" w:type="dxa"/>
              <w:bottom w:w="80" w:type="dxa"/>
              <w:end w:w="120" w:type="dxa"/>
            </w:tcMar>
            <w:vAlign w:val="top"/>
          </w:tcPr>
          <w:p>
            <w:pPr>
              <w:spacing w:after="0" w:line="240" w:lineRule="auto"/>
            </w:pPr>
            <w:r>
              <w:rPr>
                <w:rFonts w:ascii="Arial" w:hAnsi="Arial"/>
                <w:color w:val="243447"/>
                <w:sz w:val="14"/>
              </w:rPr>
              <w:t>Acceptance test, monitoring, rollback and evidence</w:t>
            </w:r>
          </w:p>
        </w:tc>
      </w:tr>
      <w:tr>
        <w:tc>
          <w:tcPr>
            <w:tcW w:type="dxa" w:w="1656"/>
            <w:tcMar>
              <w:top w:w="80" w:type="dxa"/>
              <w:start w:w="120" w:type="dxa"/>
              <w:bottom w:w="80" w:type="dxa"/>
              <w:end w:w="120" w:type="dxa"/>
            </w:tcMar>
            <w:vAlign w:val="top"/>
            <w:shd w:fill="FAFBFC"/>
          </w:tcPr>
          <w:p>
            <w:pPr>
              <w:spacing w:after="0" w:line="240" w:lineRule="auto"/>
            </w:pPr>
            <w:r>
              <w:rPr>
                <w:rFonts w:ascii="Arial" w:hAnsi="Arial"/>
                <w:color w:val="243447"/>
                <w:sz w:val="14"/>
              </w:rPr>
              <w:t>Closed</w:t>
            </w:r>
          </w:p>
        </w:tc>
        <w:tc>
          <w:tcPr>
            <w:tcW w:type="dxa" w:w="2088"/>
            <w:tcMar>
              <w:top w:w="80" w:type="dxa"/>
              <w:start w:w="120" w:type="dxa"/>
              <w:bottom w:w="80" w:type="dxa"/>
              <w:end w:w="120" w:type="dxa"/>
            </w:tcMar>
            <w:vAlign w:val="top"/>
            <w:shd w:fill="FAFBFC"/>
          </w:tcPr>
          <w:p>
            <w:pPr>
              <w:spacing w:after="0" w:line="240" w:lineRule="auto"/>
            </w:pPr>
            <w:r>
              <w:rPr>
                <w:rFonts w:ascii="Arial" w:hAnsi="Arial"/>
                <w:color w:val="243447"/>
                <w:sz w:val="14"/>
              </w:rPr>
              <w:t>Required coverage met; no blocking conflict</w:t>
            </w:r>
          </w:p>
        </w:tc>
        <w:tc>
          <w:tcPr>
            <w:tcW w:type="dxa" w:w="2520"/>
            <w:tcMar>
              <w:top w:w="80" w:type="dxa"/>
              <w:start w:w="120" w:type="dxa"/>
              <w:bottom w:w="80" w:type="dxa"/>
              <w:end w:w="120" w:type="dxa"/>
            </w:tcMar>
            <w:vAlign w:val="top"/>
            <w:shd w:fill="FAFBFC"/>
          </w:tcPr>
          <w:p>
            <w:pPr>
              <w:spacing w:after="0" w:line="240" w:lineRule="auto"/>
            </w:pPr>
            <w:r>
              <w:rPr>
                <w:rFonts w:ascii="Arial" w:hAnsi="Arial"/>
                <w:color w:val="243447"/>
                <w:sz w:val="14"/>
              </w:rPr>
              <w:t>Can the decision be reproduced?</w:t>
            </w:r>
          </w:p>
        </w:tc>
        <w:tc>
          <w:tcPr>
            <w:tcW w:type="dxa" w:w="2880"/>
            <w:tcMar>
              <w:top w:w="80" w:type="dxa"/>
              <w:start w:w="120" w:type="dxa"/>
              <w:bottom w:w="80" w:type="dxa"/>
              <w:end w:w="120" w:type="dxa"/>
            </w:tcMar>
            <w:vAlign w:val="top"/>
            <w:shd w:fill="FAFBFC"/>
          </w:tcPr>
          <w:p>
            <w:pPr>
              <w:spacing w:after="0" w:line="240" w:lineRule="auto"/>
            </w:pPr>
            <w:r>
              <w:rPr>
                <w:rFonts w:ascii="Arial" w:hAnsi="Arial"/>
                <w:color w:val="243447"/>
                <w:sz w:val="14"/>
              </w:rPr>
              <w:t>Signed decision/output snapshot</w:t>
            </w:r>
          </w:p>
        </w:tc>
      </w:tr>
      <w:tr>
        <w:tc>
          <w:tcPr>
            <w:tcW w:type="dxa" w:w="1656"/>
            <w:tcMar>
              <w:top w:w="80" w:type="dxa"/>
              <w:start w:w="120" w:type="dxa"/>
              <w:bottom w:w="80" w:type="dxa"/>
              <w:end w:w="120" w:type="dxa"/>
            </w:tcMar>
            <w:vAlign w:val="top"/>
          </w:tcPr>
          <w:p>
            <w:pPr>
              <w:spacing w:after="0" w:line="240" w:lineRule="auto"/>
            </w:pPr>
            <w:r>
              <w:rPr>
                <w:rFonts w:ascii="Arial" w:hAnsi="Arial"/>
                <w:color w:val="243447"/>
                <w:sz w:val="14"/>
              </w:rPr>
              <w:t>Blocked</w:t>
            </w:r>
          </w:p>
        </w:tc>
        <w:tc>
          <w:tcPr>
            <w:tcW w:type="dxa" w:w="2088"/>
            <w:tcMar>
              <w:top w:w="80" w:type="dxa"/>
              <w:start w:w="120" w:type="dxa"/>
              <w:bottom w:w="80" w:type="dxa"/>
              <w:end w:w="120" w:type="dxa"/>
            </w:tcMar>
            <w:vAlign w:val="top"/>
          </w:tcPr>
          <w:p>
            <w:pPr>
              <w:spacing w:after="0" w:line="240" w:lineRule="auto"/>
            </w:pPr>
            <w:r>
              <w:rPr>
                <w:rFonts w:ascii="Arial" w:hAnsi="Arial"/>
                <w:color w:val="243447"/>
                <w:sz w:val="14"/>
              </w:rPr>
              <w:t>External dependency or approved limit prevents closure</w:t>
            </w:r>
          </w:p>
        </w:tc>
        <w:tc>
          <w:tcPr>
            <w:tcW w:type="dxa" w:w="2520"/>
            <w:tcMar>
              <w:top w:w="80" w:type="dxa"/>
              <w:start w:w="120" w:type="dxa"/>
              <w:bottom w:w="80" w:type="dxa"/>
              <w:end w:w="120" w:type="dxa"/>
            </w:tcMar>
            <w:vAlign w:val="top"/>
          </w:tcPr>
          <w:p>
            <w:pPr>
              <w:spacing w:after="0" w:line="240" w:lineRule="auto"/>
            </w:pPr>
            <w:r>
              <w:rPr>
                <w:rFonts w:ascii="Arial" w:hAnsi="Arial"/>
                <w:color w:val="243447"/>
                <w:sz w:val="14"/>
              </w:rPr>
              <w:t>What exact condition unblocks?</w:t>
            </w:r>
          </w:p>
        </w:tc>
        <w:tc>
          <w:tcPr>
            <w:tcW w:type="dxa" w:w="2880"/>
            <w:tcMar>
              <w:top w:w="80" w:type="dxa"/>
              <w:start w:w="120" w:type="dxa"/>
              <w:bottom w:w="80" w:type="dxa"/>
              <w:end w:w="120" w:type="dxa"/>
            </w:tcMar>
            <w:vAlign w:val="top"/>
          </w:tcPr>
          <w:p>
            <w:pPr>
              <w:spacing w:after="0" w:line="240" w:lineRule="auto"/>
            </w:pPr>
            <w:r>
              <w:rPr>
                <w:rFonts w:ascii="Arial" w:hAnsi="Arial"/>
                <w:color w:val="243447"/>
                <w:sz w:val="14"/>
              </w:rPr>
              <w:t>Blocker, owner, wake-up condition and uncertainty</w:t>
            </w:r>
          </w:p>
        </w:tc>
      </w:tr>
      <w:tr>
        <w:tc>
          <w:tcPr>
            <w:tcW w:type="dxa" w:w="1656"/>
            <w:tcMar>
              <w:top w:w="80" w:type="dxa"/>
              <w:start w:w="120" w:type="dxa"/>
              <w:bottom w:w="80" w:type="dxa"/>
              <w:end w:w="120" w:type="dxa"/>
            </w:tcMar>
            <w:vAlign w:val="top"/>
            <w:shd w:fill="FAFBFC"/>
          </w:tcPr>
          <w:p>
            <w:pPr>
              <w:spacing w:after="0" w:line="240" w:lineRule="auto"/>
            </w:pPr>
            <w:r>
              <w:rPr>
                <w:rFonts w:ascii="Arial" w:hAnsi="Arial"/>
                <w:color w:val="243447"/>
                <w:sz w:val="14"/>
              </w:rPr>
              <w:t>Reopened</w:t>
            </w:r>
          </w:p>
        </w:tc>
        <w:tc>
          <w:tcPr>
            <w:tcW w:type="dxa" w:w="2088"/>
            <w:tcMar>
              <w:top w:w="80" w:type="dxa"/>
              <w:start w:w="120" w:type="dxa"/>
              <w:bottom w:w="80" w:type="dxa"/>
              <w:end w:w="120" w:type="dxa"/>
            </w:tcMar>
            <w:vAlign w:val="top"/>
            <w:shd w:fill="FAFBFC"/>
          </w:tcPr>
          <w:p>
            <w:pPr>
              <w:spacing w:after="0" w:line="240" w:lineRule="auto"/>
            </w:pPr>
            <w:r>
              <w:rPr>
                <w:rFonts w:ascii="Arial" w:hAnsi="Arial"/>
                <w:color w:val="243447"/>
                <w:sz w:val="14"/>
              </w:rPr>
              <w:t>New revision, exploit state or asset change</w:t>
            </w:r>
          </w:p>
        </w:tc>
        <w:tc>
          <w:tcPr>
            <w:tcW w:type="dxa" w:w="2520"/>
            <w:tcMar>
              <w:top w:w="80" w:type="dxa"/>
              <w:start w:w="120" w:type="dxa"/>
              <w:bottom w:w="80" w:type="dxa"/>
              <w:end w:w="120" w:type="dxa"/>
            </w:tcMar>
            <w:vAlign w:val="top"/>
            <w:shd w:fill="FAFBFC"/>
          </w:tcPr>
          <w:p>
            <w:pPr>
              <w:spacing w:after="0" w:line="240" w:lineRule="auto"/>
            </w:pPr>
            <w:r>
              <w:rPr>
                <w:rFonts w:ascii="Arial" w:hAnsi="Arial"/>
                <w:color w:val="243447"/>
                <w:sz w:val="14"/>
              </w:rPr>
              <w:t>What conclusion is invalidated?</w:t>
            </w:r>
          </w:p>
        </w:tc>
        <w:tc>
          <w:tcPr>
            <w:tcW w:type="dxa" w:w="2880"/>
            <w:tcMar>
              <w:top w:w="80" w:type="dxa"/>
              <w:start w:w="120" w:type="dxa"/>
              <w:bottom w:w="80" w:type="dxa"/>
              <w:end w:w="120" w:type="dxa"/>
            </w:tcMar>
            <w:vAlign w:val="top"/>
            <w:shd w:fill="FAFBFC"/>
          </w:tcPr>
          <w:p>
            <w:pPr>
              <w:spacing w:after="0" w:line="240" w:lineRule="auto"/>
            </w:pPr>
            <w:r>
              <w:rPr>
                <w:rFonts w:ascii="Arial" w:hAnsi="Arial"/>
                <w:color w:val="243447"/>
                <w:sz w:val="14"/>
              </w:rPr>
              <w:t>Revision delta and re-derived coverage</w:t>
            </w:r>
          </w:p>
        </w:tc>
      </w:tr>
    </w:tbl>
    <w:p>
      <w:pPr>
        <w:spacing w:after="0"/>
      </w:pPr>
    </w:p>
    <w:p>
      <w:pPr>
        <w:keepLines w:val="0"/>
      </w:pPr>
      <w:r>
        <w:t>Phase regression is expected. For example, a revised vendor advisory can move a closed case back to reconciliation or applicability. The event ledger records both the old conclusion and the superseding reason.</w:t>
      </w:r>
    </w:p>
    <w:p>
      <w:pPr>
        <w:pStyle w:val="Heading2"/>
      </w:pPr>
      <w:r>
        <w:t>5.1 Evidence state hierarchy</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76"/>
            <w:tcMar>
              <w:top w:w="80" w:type="dxa"/>
              <w:start w:w="120" w:type="dxa"/>
              <w:bottom w:w="80" w:type="dxa"/>
              <w:end w:w="120" w:type="dxa"/>
            </w:tcMar>
            <w:shd w:fill="F2F4F7"/>
            <w:vAlign w:val="center"/>
          </w:tcPr>
          <w:p>
            <w:pPr>
              <w:spacing w:after="0"/>
            </w:pPr>
            <w:r>
              <w:rPr>
                <w:rFonts w:ascii="Arial" w:hAnsi="Arial"/>
                <w:b/>
                <w:color w:val="17365D"/>
                <w:sz w:val="17"/>
              </w:rPr>
              <w:t>Layer</w:t>
            </w:r>
          </w:p>
        </w:tc>
        <w:tc>
          <w:tcPr>
            <w:tcW w:type="dxa" w:w="6768"/>
            <w:tcMar>
              <w:top w:w="80" w:type="dxa"/>
              <w:start w:w="120" w:type="dxa"/>
              <w:bottom w:w="80" w:type="dxa"/>
              <w:end w:w="120" w:type="dxa"/>
            </w:tcMar>
            <w:shd w:fill="F2F4F7"/>
            <w:vAlign w:val="center"/>
          </w:tcPr>
          <w:p>
            <w:pPr>
              <w:spacing w:after="0"/>
            </w:pPr>
            <w:r>
              <w:rPr>
                <w:rFonts w:ascii="Arial" w:hAnsi="Arial"/>
                <w:b/>
                <w:color w:val="17365D"/>
                <w:sz w:val="17"/>
              </w:rPr>
              <w:t>Contents</w:t>
            </w:r>
          </w:p>
        </w:tc>
      </w:tr>
      <w:tr>
        <w:tc>
          <w:tcPr>
            <w:tcW w:type="dxa" w:w="2376"/>
            <w:tcMar>
              <w:top w:w="80" w:type="dxa"/>
              <w:start w:w="120" w:type="dxa"/>
              <w:bottom w:w="80" w:type="dxa"/>
              <w:end w:w="120" w:type="dxa"/>
            </w:tcMar>
            <w:vAlign w:val="top"/>
          </w:tcPr>
          <w:p>
            <w:pPr>
              <w:spacing w:after="0" w:line="240" w:lineRule="auto"/>
            </w:pPr>
            <w:r>
              <w:rPr>
                <w:rFonts w:ascii="Arial" w:hAnsi="Arial"/>
                <w:color w:val="243447"/>
                <w:sz w:val="17"/>
              </w:rPr>
              <w:t>L0 — immutable artifacts</w:t>
            </w:r>
          </w:p>
        </w:tc>
        <w:tc>
          <w:tcPr>
            <w:tcW w:type="dxa" w:w="6768"/>
            <w:tcMar>
              <w:top w:w="80" w:type="dxa"/>
              <w:start w:w="120" w:type="dxa"/>
              <w:bottom w:w="80" w:type="dxa"/>
              <w:end w:w="120" w:type="dxa"/>
            </w:tcMar>
            <w:vAlign w:val="top"/>
          </w:tcPr>
          <w:p>
            <w:pPr>
              <w:spacing w:after="0" w:line="240" w:lineRule="auto"/>
            </w:pPr>
            <w:r>
              <w:rPr>
                <w:rFonts w:ascii="Arial" w:hAnsi="Arial"/>
                <w:color w:val="243447"/>
                <w:sz w:val="17"/>
              </w:rPr>
              <w:t>Raw HTTP, final URL, DOM, screenshots, images, PDFs, JSON, network payloads, signatures and hashes.</w:t>
            </w:r>
          </w:p>
        </w:tc>
      </w:tr>
      <w:tr>
        <w:tc>
          <w:tcPr>
            <w:tcW w:type="dxa" w:w="2376"/>
            <w:tcMar>
              <w:top w:w="80" w:type="dxa"/>
              <w:start w:w="120" w:type="dxa"/>
              <w:bottom w:w="80" w:type="dxa"/>
              <w:end w:w="120" w:type="dxa"/>
            </w:tcMar>
            <w:vAlign w:val="top"/>
            <w:shd w:fill="FAFBFC"/>
          </w:tcPr>
          <w:p>
            <w:pPr>
              <w:spacing w:after="0" w:line="240" w:lineRule="auto"/>
            </w:pPr>
            <w:r>
              <w:rPr>
                <w:rFonts w:ascii="Arial" w:hAnsi="Arial"/>
                <w:color w:val="243447"/>
                <w:sz w:val="17"/>
              </w:rPr>
              <w:t>L1 — evidence claims</w:t>
            </w:r>
          </w:p>
        </w:tc>
        <w:tc>
          <w:tcPr>
            <w:tcW w:type="dxa" w:w="6768"/>
            <w:tcMar>
              <w:top w:w="80" w:type="dxa"/>
              <w:start w:w="120" w:type="dxa"/>
              <w:bottom w:w="80" w:type="dxa"/>
              <w:end w:w="120" w:type="dxa"/>
            </w:tcMar>
            <w:vAlign w:val="top"/>
            <w:shd w:fill="FAFBFC"/>
          </w:tcPr>
          <w:p>
            <w:pPr>
              <w:spacing w:after="0" w:line="240" w:lineRule="auto"/>
            </w:pPr>
            <w:r>
              <w:rPr>
                <w:rFonts w:ascii="Arial" w:hAnsi="Arial"/>
                <w:color w:val="243447"/>
                <w:sz w:val="17"/>
              </w:rPr>
              <w:t>Atomic claims with subject, predicate, object, source locator, extraction method, confidence and freshness.</w:t>
            </w:r>
          </w:p>
        </w:tc>
      </w:tr>
      <w:tr>
        <w:tc>
          <w:tcPr>
            <w:tcW w:type="dxa" w:w="2376"/>
            <w:tcMar>
              <w:top w:w="80" w:type="dxa"/>
              <w:start w:w="120" w:type="dxa"/>
              <w:bottom w:w="80" w:type="dxa"/>
              <w:end w:w="120" w:type="dxa"/>
            </w:tcMar>
            <w:vAlign w:val="top"/>
          </w:tcPr>
          <w:p>
            <w:pPr>
              <w:spacing w:after="0" w:line="240" w:lineRule="auto"/>
            </w:pPr>
            <w:r>
              <w:rPr>
                <w:rFonts w:ascii="Arial" w:hAnsi="Arial"/>
                <w:color w:val="243447"/>
                <w:sz w:val="17"/>
              </w:rPr>
              <w:t>L2 — evidence graph</w:t>
            </w:r>
          </w:p>
        </w:tc>
        <w:tc>
          <w:tcPr>
            <w:tcW w:type="dxa" w:w="6768"/>
            <w:tcMar>
              <w:top w:w="80" w:type="dxa"/>
              <w:start w:w="120" w:type="dxa"/>
              <w:bottom w:w="80" w:type="dxa"/>
              <w:end w:w="120" w:type="dxa"/>
            </w:tcMar>
            <w:vAlign w:val="top"/>
          </w:tcPr>
          <w:p>
            <w:pPr>
              <w:spacing w:after="0" w:line="240" w:lineRule="auto"/>
            </w:pPr>
            <w:r>
              <w:rPr>
                <w:rFonts w:ascii="Arial" w:hAnsi="Arial"/>
                <w:color w:val="243447"/>
                <w:sz w:val="17"/>
              </w:rPr>
              <w:t>Reference edges, product–component relationships, contradictions, revisions and corroboration.</w:t>
            </w:r>
          </w:p>
        </w:tc>
      </w:tr>
      <w:tr>
        <w:tc>
          <w:tcPr>
            <w:tcW w:type="dxa" w:w="2376"/>
            <w:tcMar>
              <w:top w:w="80" w:type="dxa"/>
              <w:start w:w="120" w:type="dxa"/>
              <w:bottom w:w="80" w:type="dxa"/>
              <w:end w:w="120" w:type="dxa"/>
            </w:tcMar>
            <w:vAlign w:val="top"/>
            <w:shd w:fill="FAFBFC"/>
          </w:tcPr>
          <w:p>
            <w:pPr>
              <w:spacing w:after="0" w:line="240" w:lineRule="auto"/>
            </w:pPr>
            <w:r>
              <w:rPr>
                <w:rFonts w:ascii="Arial" w:hAnsi="Arial"/>
                <w:color w:val="243447"/>
                <w:sz w:val="17"/>
              </w:rPr>
              <w:t>L3 — case materialization</w:t>
            </w:r>
          </w:p>
        </w:tc>
        <w:tc>
          <w:tcPr>
            <w:tcW w:type="dxa" w:w="6768"/>
            <w:tcMar>
              <w:top w:w="80" w:type="dxa"/>
              <w:start w:w="120" w:type="dxa"/>
              <w:bottom w:w="80" w:type="dxa"/>
              <w:end w:w="120" w:type="dxa"/>
            </w:tcMar>
            <w:vAlign w:val="top"/>
            <w:shd w:fill="FAFBFC"/>
          </w:tcPr>
          <w:p>
            <w:pPr>
              <w:spacing w:after="0" w:line="240" w:lineRule="auto"/>
            </w:pPr>
            <w:r>
              <w:rPr>
                <w:rFonts w:ascii="Arial" w:hAnsi="Arial"/>
                <w:color w:val="243447"/>
                <w:sz w:val="17"/>
              </w:rPr>
              <w:t>Coverage, phase, open gaps, frontier, asset states, decisions, work orders and budget.</w:t>
            </w:r>
          </w:p>
        </w:tc>
      </w:tr>
      <w:tr>
        <w:tc>
          <w:tcPr>
            <w:tcW w:type="dxa" w:w="2376"/>
            <w:tcMar>
              <w:top w:w="80" w:type="dxa"/>
              <w:start w:w="120" w:type="dxa"/>
              <w:bottom w:w="80" w:type="dxa"/>
              <w:end w:w="120" w:type="dxa"/>
            </w:tcMar>
            <w:vAlign w:val="top"/>
          </w:tcPr>
          <w:p>
            <w:pPr>
              <w:spacing w:after="0" w:line="240" w:lineRule="auto"/>
            </w:pPr>
            <w:r>
              <w:rPr>
                <w:rFonts w:ascii="Arial" w:hAnsi="Arial"/>
                <w:color w:val="243447"/>
                <w:sz w:val="17"/>
              </w:rPr>
              <w:t>L4 — operational outputs</w:t>
            </w:r>
          </w:p>
        </w:tc>
        <w:tc>
          <w:tcPr>
            <w:tcW w:type="dxa" w:w="6768"/>
            <w:tcMar>
              <w:top w:w="80" w:type="dxa"/>
              <w:start w:w="120" w:type="dxa"/>
              <w:bottom w:w="80" w:type="dxa"/>
              <w:end w:w="120" w:type="dxa"/>
            </w:tcMar>
            <w:vAlign w:val="top"/>
          </w:tcPr>
          <w:p>
            <w:pPr>
              <w:spacing w:after="0" w:line="240" w:lineRule="auto"/>
            </w:pPr>
            <w:r>
              <w:rPr>
                <w:rFonts w:ascii="Arial" w:hAnsi="Arial"/>
                <w:color w:val="243447"/>
                <w:sz w:val="17"/>
              </w:rPr>
              <w:t>Executive brief, analyst matrix, on-call plan, remediation or investigation ticket.</w:t>
            </w:r>
          </w:p>
        </w:tc>
      </w:tr>
    </w:tbl>
    <w:p>
      <w:pPr>
        <w:spacing w:after="0"/>
      </w:pPr>
    </w:p>
    <w:p>
      <w:pPr>
        <w:pStyle w:val="Heading2"/>
      </w:pPr>
      <w:r>
        <w:t>5.2 Memory model: who remembers what</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944"/>
            <w:tcMar>
              <w:top w:w="80" w:type="dxa"/>
              <w:start w:w="120" w:type="dxa"/>
              <w:bottom w:w="80" w:type="dxa"/>
              <w:end w:w="120" w:type="dxa"/>
            </w:tcMar>
            <w:shd w:fill="F2F4F7"/>
            <w:vAlign w:val="center"/>
          </w:tcPr>
          <w:p>
            <w:pPr>
              <w:spacing w:after="0"/>
            </w:pPr>
            <w:r>
              <w:rPr>
                <w:rFonts w:ascii="Arial" w:hAnsi="Arial"/>
                <w:b/>
                <w:color w:val="17365D"/>
                <w:sz w:val="15"/>
              </w:rPr>
              <w:t>Memory</w:t>
            </w:r>
          </w:p>
        </w:tc>
        <w:tc>
          <w:tcPr>
            <w:tcW w:type="dxa" w:w="2304"/>
            <w:tcMar>
              <w:top w:w="80" w:type="dxa"/>
              <w:start w:w="120" w:type="dxa"/>
              <w:bottom w:w="80" w:type="dxa"/>
              <w:end w:w="120" w:type="dxa"/>
            </w:tcMar>
            <w:shd w:fill="F2F4F7"/>
            <w:vAlign w:val="center"/>
          </w:tcPr>
          <w:p>
            <w:pPr>
              <w:spacing w:after="0"/>
            </w:pPr>
            <w:r>
              <w:rPr>
                <w:rFonts w:ascii="Arial" w:hAnsi="Arial"/>
                <w:b/>
                <w:color w:val="17365D"/>
                <w:sz w:val="15"/>
              </w:rPr>
              <w:t>Scope and lifetime</w:t>
            </w:r>
          </w:p>
        </w:tc>
        <w:tc>
          <w:tcPr>
            <w:tcW w:type="dxa" w:w="4896"/>
            <w:tcMar>
              <w:top w:w="80" w:type="dxa"/>
              <w:start w:w="120" w:type="dxa"/>
              <w:bottom w:w="80" w:type="dxa"/>
              <w:end w:w="120" w:type="dxa"/>
            </w:tcMar>
            <w:shd w:fill="F2F4F7"/>
            <w:vAlign w:val="center"/>
          </w:tcPr>
          <w:p>
            <w:pPr>
              <w:spacing w:after="0"/>
            </w:pPr>
            <w:r>
              <w:rPr>
                <w:rFonts w:ascii="Arial" w:hAnsi="Arial"/>
                <w:b/>
                <w:color w:val="17365D"/>
                <w:sz w:val="15"/>
              </w:rPr>
              <w:t>Contents / boundary</w:t>
            </w:r>
          </w:p>
        </w:tc>
      </w:tr>
      <w:tr>
        <w:tc>
          <w:tcPr>
            <w:tcW w:type="dxa" w:w="1944"/>
            <w:tcMar>
              <w:top w:w="80" w:type="dxa"/>
              <w:start w:w="120" w:type="dxa"/>
              <w:bottom w:w="80" w:type="dxa"/>
              <w:end w:w="120" w:type="dxa"/>
            </w:tcMar>
            <w:vAlign w:val="top"/>
          </w:tcPr>
          <w:p>
            <w:pPr>
              <w:spacing w:after="0" w:line="240" w:lineRule="auto"/>
            </w:pPr>
            <w:r>
              <w:rPr>
                <w:rFonts w:ascii="Arial" w:hAnsi="Arial"/>
                <w:color w:val="243447"/>
                <w:sz w:val="15"/>
              </w:rPr>
              <w:t>Run-local scratch</w:t>
            </w:r>
          </w:p>
        </w:tc>
        <w:tc>
          <w:tcPr>
            <w:tcW w:type="dxa" w:w="2304"/>
            <w:tcMar>
              <w:top w:w="80" w:type="dxa"/>
              <w:start w:w="120" w:type="dxa"/>
              <w:bottom w:w="80" w:type="dxa"/>
              <w:end w:w="120" w:type="dxa"/>
            </w:tcMar>
            <w:vAlign w:val="top"/>
          </w:tcPr>
          <w:p>
            <w:pPr>
              <w:spacing w:after="0" w:line="240" w:lineRule="auto"/>
            </w:pPr>
            <w:r>
              <w:rPr>
                <w:rFonts w:ascii="Arial" w:hAnsi="Arial"/>
                <w:color w:val="243447"/>
                <w:sz w:val="15"/>
              </w:rPr>
              <w:t>One isolated specialist invocation; ephemeral</w:t>
            </w:r>
          </w:p>
        </w:tc>
        <w:tc>
          <w:tcPr>
            <w:tcW w:type="dxa" w:w="4896"/>
            <w:tcMar>
              <w:top w:w="80" w:type="dxa"/>
              <w:start w:w="120" w:type="dxa"/>
              <w:bottom w:w="80" w:type="dxa"/>
              <w:end w:w="120" w:type="dxa"/>
            </w:tcMar>
            <w:vAlign w:val="top"/>
          </w:tcPr>
          <w:p>
            <w:pPr>
              <w:spacing w:after="0" w:line="240" w:lineRule="auto"/>
            </w:pPr>
            <w:r>
              <w:rPr>
                <w:rFonts w:ascii="Arial" w:hAnsi="Arial"/>
                <w:color w:val="243447"/>
                <w:sz w:val="15"/>
              </w:rPr>
              <w:t>Current shard, tool observations and temporary extraction state. Return only a typed delta; never authoritative.</w:t>
            </w:r>
          </w:p>
        </w:tc>
      </w:tr>
      <w:tr>
        <w:tc>
          <w:tcPr>
            <w:tcW w:type="dxa" w:w="1944"/>
            <w:tcMar>
              <w:top w:w="80" w:type="dxa"/>
              <w:start w:w="120" w:type="dxa"/>
              <w:bottom w:w="80" w:type="dxa"/>
              <w:end w:w="120" w:type="dxa"/>
            </w:tcMar>
            <w:vAlign w:val="top"/>
            <w:shd w:fill="FAFBFC"/>
          </w:tcPr>
          <w:p>
            <w:pPr>
              <w:spacing w:after="0" w:line="240" w:lineRule="auto"/>
            </w:pPr>
            <w:r>
              <w:rPr>
                <w:rFonts w:ascii="Arial" w:hAnsi="Arial"/>
                <w:color w:val="243447"/>
                <w:sz w:val="15"/>
              </w:rPr>
              <w:t>Team memory</w:t>
            </w:r>
          </w:p>
        </w:tc>
        <w:tc>
          <w:tcPr>
            <w:tcW w:type="dxa" w:w="2304"/>
            <w:tcMar>
              <w:top w:w="80" w:type="dxa"/>
              <w:start w:w="120" w:type="dxa"/>
              <w:bottom w:w="80" w:type="dxa"/>
              <w:end w:w="120" w:type="dxa"/>
            </w:tcMar>
            <w:vAlign w:val="top"/>
            <w:shd w:fill="FAFBFC"/>
          </w:tcPr>
          <w:p>
            <w:pPr>
              <w:spacing w:after="0" w:line="240" w:lineRule="auto"/>
            </w:pPr>
            <w:r>
              <w:rPr>
                <w:rFonts w:ascii="Arial" w:hAnsi="Arial"/>
                <w:color w:val="243447"/>
                <w:sz w:val="15"/>
              </w:rPr>
              <w:t>One team mission across bounded waves; checkpointed</w:t>
            </w:r>
          </w:p>
        </w:tc>
        <w:tc>
          <w:tcPr>
            <w:tcW w:type="dxa" w:w="4896"/>
            <w:tcMar>
              <w:top w:w="80" w:type="dxa"/>
              <w:start w:w="120" w:type="dxa"/>
              <w:bottom w:w="80" w:type="dxa"/>
              <w:end w:w="120" w:type="dxa"/>
            </w:tcMar>
            <w:vAlign w:val="top"/>
            <w:shd w:fill="FAFBFC"/>
          </w:tcPr>
          <w:p>
            <w:pPr>
              <w:spacing w:after="0" w:line="240" w:lineRule="auto"/>
            </w:pPr>
            <w:r>
              <w:rPr>
                <w:rFonts w:ascii="Arial" w:hAnsi="Arial"/>
                <w:color w:val="243447"/>
                <w:sz w:val="15"/>
              </w:rPr>
              <w:t>Shard leases, frontier/partition map, yield, retries, zero-delta signatures and remaining team budget. No full artifacts or hidden reasoning.</w:t>
            </w:r>
          </w:p>
        </w:tc>
      </w:tr>
      <w:tr>
        <w:tc>
          <w:tcPr>
            <w:tcW w:type="dxa" w:w="1944"/>
            <w:tcMar>
              <w:top w:w="80" w:type="dxa"/>
              <w:start w:w="120" w:type="dxa"/>
              <w:bottom w:w="80" w:type="dxa"/>
              <w:end w:w="120" w:type="dxa"/>
            </w:tcMar>
            <w:vAlign w:val="top"/>
          </w:tcPr>
          <w:p>
            <w:pPr>
              <w:spacing w:after="0" w:line="240" w:lineRule="auto"/>
            </w:pPr>
            <w:r>
              <w:rPr>
                <w:rFonts w:ascii="Arial" w:hAnsi="Arial"/>
                <w:color w:val="243447"/>
                <w:sz w:val="15"/>
              </w:rPr>
              <w:t>Shared session memory</w:t>
            </w:r>
          </w:p>
        </w:tc>
        <w:tc>
          <w:tcPr>
            <w:tcW w:type="dxa" w:w="2304"/>
            <w:tcMar>
              <w:top w:w="80" w:type="dxa"/>
              <w:start w:w="120" w:type="dxa"/>
              <w:bottom w:w="80" w:type="dxa"/>
              <w:end w:w="120" w:type="dxa"/>
            </w:tcMar>
            <w:vAlign w:val="top"/>
          </w:tcPr>
          <w:p>
            <w:pPr>
              <w:spacing w:after="0" w:line="240" w:lineRule="auto"/>
            </w:pPr>
            <w:r>
              <w:rPr>
                <w:rFonts w:ascii="Arial" w:hAnsi="Arial"/>
                <w:color w:val="243447"/>
                <w:sz w:val="15"/>
              </w:rPr>
              <w:t>One case-controller thread; checkpointed</w:t>
            </w:r>
          </w:p>
        </w:tc>
        <w:tc>
          <w:tcPr>
            <w:tcW w:type="dxa" w:w="4896"/>
            <w:tcMar>
              <w:top w:w="80" w:type="dxa"/>
              <w:start w:w="120" w:type="dxa"/>
              <w:bottom w:w="80" w:type="dxa"/>
              <w:end w:w="120" w:type="dxa"/>
            </w:tcMar>
            <w:vAlign w:val="top"/>
          </w:tcPr>
          <w:p>
            <w:pPr>
              <w:spacing w:after="0" w:line="240" w:lineRule="auto"/>
            </w:pPr>
            <w:r>
              <w:rPr>
                <w:rFonts w:ascii="Arial" w:hAnsi="Arial"/>
                <w:color w:val="243447"/>
                <w:sz w:val="15"/>
              </w:rPr>
              <w:t>Coverage summary, open gaps, active teams, interrupts, global budget, policy version and blackboard head.</w:t>
            </w:r>
          </w:p>
        </w:tc>
      </w:tr>
      <w:tr>
        <w:tc>
          <w:tcPr>
            <w:tcW w:type="dxa" w:w="1944"/>
            <w:tcMar>
              <w:top w:w="80" w:type="dxa"/>
              <w:start w:w="120" w:type="dxa"/>
              <w:bottom w:w="80" w:type="dxa"/>
              <w:end w:w="120" w:type="dxa"/>
            </w:tcMar>
            <w:vAlign w:val="top"/>
            <w:shd w:fill="FAFBFC"/>
          </w:tcPr>
          <w:p>
            <w:pPr>
              <w:spacing w:after="0" w:line="240" w:lineRule="auto"/>
            </w:pPr>
            <w:r>
              <w:rPr>
                <w:rFonts w:ascii="Arial" w:hAnsi="Arial"/>
                <w:color w:val="243447"/>
                <w:sz w:val="15"/>
              </w:rPr>
              <w:t>Materialized blackboard</w:t>
            </w:r>
          </w:p>
        </w:tc>
        <w:tc>
          <w:tcPr>
            <w:tcW w:type="dxa" w:w="2304"/>
            <w:tcMar>
              <w:top w:w="80" w:type="dxa"/>
              <w:start w:w="120" w:type="dxa"/>
              <w:bottom w:w="80" w:type="dxa"/>
              <w:end w:w="120" w:type="dxa"/>
            </w:tcMar>
            <w:vAlign w:val="top"/>
            <w:shd w:fill="FAFBFC"/>
          </w:tcPr>
          <w:p>
            <w:pPr>
              <w:spacing w:after="0" w:line="240" w:lineRule="auto"/>
            </w:pPr>
            <w:r>
              <w:rPr>
                <w:rFonts w:ascii="Arial" w:hAnsi="Arial"/>
                <w:color w:val="243447"/>
                <w:sz w:val="15"/>
              </w:rPr>
              <w:t>Current shared case view; durable and rebuildable</w:t>
            </w:r>
          </w:p>
        </w:tc>
        <w:tc>
          <w:tcPr>
            <w:tcW w:type="dxa" w:w="4896"/>
            <w:tcMar>
              <w:top w:w="80" w:type="dxa"/>
              <w:start w:w="120" w:type="dxa"/>
              <w:bottom w:w="80" w:type="dxa"/>
              <w:end w:w="120" w:type="dxa"/>
            </w:tcMar>
            <w:vAlign w:val="top"/>
            <w:shd w:fill="FAFBFC"/>
          </w:tcPr>
          <w:p>
            <w:pPr>
              <w:spacing w:after="0" w:line="240" w:lineRule="auto"/>
            </w:pPr>
            <w:r>
              <w:rPr>
                <w:rFonts w:ascii="Arial" w:hAnsi="Arial"/>
                <w:color w:val="243447"/>
                <w:sz w:val="15"/>
              </w:rPr>
              <w:t>Accepted claims, provenance pointers, source graph, contradictions, asset states, remediation and coverage. Derived from events.</w:t>
            </w:r>
          </w:p>
        </w:tc>
      </w:tr>
      <w:tr>
        <w:tc>
          <w:tcPr>
            <w:tcW w:type="dxa" w:w="1944"/>
            <w:tcMar>
              <w:top w:w="80" w:type="dxa"/>
              <w:start w:w="120" w:type="dxa"/>
              <w:bottom w:w="80" w:type="dxa"/>
              <w:end w:w="120" w:type="dxa"/>
            </w:tcMar>
            <w:vAlign w:val="top"/>
          </w:tcPr>
          <w:p>
            <w:pPr>
              <w:spacing w:after="0" w:line="240" w:lineRule="auto"/>
            </w:pPr>
            <w:r>
              <w:rPr>
                <w:rFonts w:ascii="Arial" w:hAnsi="Arial"/>
                <w:color w:val="243447"/>
                <w:sz w:val="15"/>
              </w:rPr>
              <w:t>Capability memory</w:t>
            </w:r>
          </w:p>
        </w:tc>
        <w:tc>
          <w:tcPr>
            <w:tcW w:type="dxa" w:w="2304"/>
            <w:tcMar>
              <w:top w:w="80" w:type="dxa"/>
              <w:start w:w="120" w:type="dxa"/>
              <w:bottom w:w="80" w:type="dxa"/>
              <w:end w:w="120" w:type="dxa"/>
            </w:tcMar>
            <w:vAlign w:val="top"/>
          </w:tcPr>
          <w:p>
            <w:pPr>
              <w:spacing w:after="0" w:line="240" w:lineRule="auto"/>
            </w:pPr>
            <w:r>
              <w:rPr>
                <w:rFonts w:ascii="Arial" w:hAnsi="Arial"/>
                <w:color w:val="243447"/>
                <w:sz w:val="15"/>
              </w:rPr>
              <w:t>Cross-case; sanitized, versioned and governed</w:t>
            </w:r>
          </w:p>
        </w:tc>
        <w:tc>
          <w:tcPr>
            <w:tcW w:type="dxa" w:w="4896"/>
            <w:tcMar>
              <w:top w:w="80" w:type="dxa"/>
              <w:start w:w="120" w:type="dxa"/>
              <w:bottom w:w="80" w:type="dxa"/>
              <w:end w:w="120" w:type="dxa"/>
            </w:tcMar>
            <w:vAlign w:val="top"/>
          </w:tcPr>
          <w:p>
            <w:pPr>
              <w:spacing w:after="0" w:line="240" w:lineRule="auto"/>
            </w:pPr>
            <w:r>
              <w:rPr>
                <w:rFonts w:ascii="Arial" w:hAnsi="Arial"/>
                <w:color w:val="243447"/>
                <w:sz w:val="15"/>
              </w:rPr>
              <w:t>Vendor fingerprints, source reliability, parser/tool recipes and failure signatures. Never raw case evidence, secrets or unverified conclusions.</w:t>
            </w:r>
          </w:p>
        </w:tc>
      </w:tr>
    </w:tbl>
    <w:p>
      <w:pPr>
        <w:spacing w:after="0"/>
      </w:pPr>
    </w:p>
    <w:tbl>
      <w:tblPr>
        <w:tblW w:type="auto" w:w="0"/>
        <w:jc w:val="center"/>
        <w:tblLayout w:type="fixed"/>
        <w:tblLook w:firstColumn="1" w:firstRow="1" w:lastColumn="0" w:lastRow="0" w:noHBand="0" w:noVBand="1" w:val="04A0"/>
      </w:tblPr>
      <w:tblGrid>
        <w:gridCol w:w="9144"/>
      </w:tblGrid>
      <w:tr>
        <w:trPr>
          <w:cantSplit/>
        </w:trPr>
        <w:tc>
          <w:tcPr>
            <w:tcW w:type="dxa" w:w="9144"/>
            <w:tcMar>
              <w:top w:w="140" w:type="dxa"/>
              <w:start w:w="160" w:type="dxa"/>
              <w:bottom w:w="140" w:type="dxa"/>
              <w:end w:w="160" w:type="dxa"/>
            </w:tcMar>
            <w:shd w:fill="E8F4F2"/>
            <w:tcBorders>
              <w:top w:sz="10" w:val="single" w:color="1B7F79" w:space="0"/>
              <w:left w:sz="10" w:val="single" w:color="1B7F79" w:space="0"/>
              <w:bottom w:sz="10" w:val="single" w:color="1B7F79" w:space="0"/>
              <w:right w:sz="10" w:val="single" w:color="1B7F79" w:space="0"/>
            </w:tcBorders>
          </w:tcPr>
          <w:p>
            <w:pPr>
              <w:spacing w:after="60"/>
            </w:pPr>
            <w:r>
              <w:rPr>
                <w:rFonts w:ascii="Arial" w:hAnsi="Arial"/>
                <w:b/>
                <w:color w:val="17365D"/>
                <w:sz w:val="22"/>
              </w:rPr>
              <w:t>Memory rule</w:t>
            </w:r>
          </w:p>
          <w:p>
            <w:pPr>
              <w:spacing w:after="0" w:line="252" w:lineRule="auto"/>
            </w:pPr>
            <w:r>
              <w:t>Agents may read the blackboard snapshot and their scoped memory. Only reducers advance the blackboard head. The append-only ledger and immutable artifacts—not checkpoints, summaries or transcripts—remain the authority.</w:t>
            </w:r>
          </w:p>
        </w:tc>
      </w:tr>
    </w:tbl>
    <w:p>
      <w:pPr>
        <w:pStyle w:val="Heading2"/>
      </w:pPr>
      <w:r>
        <w:t>5.3 What belongs in LangGraph state</w:t>
      </w:r>
    </w:p>
    <w:p>
      <w:pPr>
        <w:keepLines w:val="0"/>
      </w:pPr>
      <w:r>
        <w:t>Only orchestration cursors, small team memories and identifiers should be checkpointed. Large evidence payloads and transcripts stay in the evidence plane. This limits checkpoint size, avoids stale copies and makes a case portable across runtimes.</w:t>
      </w:r>
    </w:p>
    <w:tbl>
      <w:tblPr>
        <w:tblW w:type="auto" w:w="0"/>
        <w:jc w:val="center"/>
        <w:tblLook w:firstColumn="1" w:firstRow="1" w:lastColumn="0" w:lastRow="0" w:noHBand="0" w:noVBand="1" w:val="04A0"/>
      </w:tblPr>
      <w:tblGrid>
        <w:gridCol w:w="9360"/>
      </w:tblGrid>
      <w:tr>
        <w:trPr>
          <w:cantSplit/>
        </w:trPr>
        <w:tc>
          <w:tcPr>
            <w:tcW w:type="dxa" w:w="9360"/>
            <w:shd w:fill="F6F8FA"/>
            <w:tcMar>
              <w:top w:w="110" w:type="dxa"/>
              <w:start w:w="140" w:type="dxa"/>
              <w:bottom w:w="110" w:type="dxa"/>
              <w:end w:w="140" w:type="dxa"/>
            </w:tcMar>
            <w:tcBorders>
              <w:top w:sz="6" w:val="single" w:color="D0D5DD" w:space="0"/>
              <w:left w:sz="6" w:val="single" w:color="D0D5DD" w:space="0"/>
              <w:bottom w:sz="6" w:val="single" w:color="D0D5DD" w:space="0"/>
              <w:right w:sz="6" w:val="single" w:color="D0D5DD" w:space="0"/>
            </w:tcBorders>
          </w:tcPr>
          <w:p>
            <w:pPr>
              <w:spacing w:after="0"/>
            </w:pPr>
            <w:r>
              <w:rPr>
                <w:rFonts w:ascii="Consolas" w:hAnsi="Consolas"/>
                <w:color w:val="243447"/>
                <w:sz w:val="16"/>
              </w:rPr>
              <w:t>CaseGraphState = {</w:t>
              <w:br/>
            </w:r>
            <w:r>
              <w:rPr>
                <w:rFonts w:ascii="Consolas" w:hAnsi="Consolas"/>
                <w:color w:val="243447"/>
                <w:sz w:val="16"/>
              </w:rPr>
              <w:t xml:space="preserve">  case_id, state_version, derived_phase, coverage_summary, blackboard_head,</w:t>
              <w:br/>
            </w:r>
            <w:r>
              <w:rPr>
                <w:rFonts w:ascii="Consolas" w:hAnsi="Consolas"/>
                <w:color w:val="243447"/>
                <w:sz w:val="16"/>
              </w:rPr>
              <w:t xml:space="preserve">  open_gap_ids, active_team_ids, interrupts, global_budget,</w:t>
              <w:br/>
            </w:r>
            <w:r>
              <w:rPr>
                <w:rFonts w:ascii="Consolas" w:hAnsi="Consolas"/>
                <w:color w:val="243447"/>
                <w:sz w:val="16"/>
              </w:rPr>
              <w:t xml:space="preserve">  team_memory_refs, last_event_seq, policy_version, graph_schema_version</w:t>
              <w:br/>
            </w:r>
            <w:r>
              <w:rPr>
                <w:rFonts w:ascii="Consolas" w:hAnsi="Consolas"/>
                <w:color w:val="243447"/>
                <w:sz w:val="16"/>
              </w:rPr>
              <w:t>}</w:t>
            </w:r>
          </w:p>
        </w:tc>
      </w:tr>
    </w:tbl>
    <w:p>
      <w:pPr>
        <w:spacing w:after="60"/>
      </w:pPr>
    </w:p>
    <w:p>
      <w:pPr>
        <w:pStyle w:val="Heading1"/>
      </w:pPr>
      <w:r>
        <w:t>6. State ownership and agent contracts</w:t>
      </w:r>
    </w:p>
    <w:p>
      <w:pPr>
        <w:pStyle w:val="Heading2"/>
      </w:pPr>
      <w:r>
        <w:t>6.1 Authoritative records</w:t>
      </w:r>
    </w:p>
    <w:p>
      <w:pPr>
        <w:keepLines w:val="0"/>
      </w:pPr>
      <w:r>
        <w:t>PostgreSQL is the system of record for case identity, events and normalized evidence. Object storage is the system of record for raw artifacts. LangGraph’s production checkpointer stores execution checkpoints and pending writes; it is not the audit ledger.[2]</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520"/>
            <w:tcMar>
              <w:top w:w="80" w:type="dxa"/>
              <w:start w:w="120" w:type="dxa"/>
              <w:bottom w:w="80" w:type="dxa"/>
              <w:end w:w="120" w:type="dxa"/>
            </w:tcMar>
            <w:shd w:fill="F2F4F7"/>
            <w:vAlign w:val="center"/>
          </w:tcPr>
          <w:p>
            <w:pPr>
              <w:spacing w:after="0"/>
            </w:pPr>
            <w:r>
              <w:rPr>
                <w:rFonts w:ascii="Arial" w:hAnsi="Arial"/>
                <w:b/>
                <w:color w:val="17365D"/>
                <w:sz w:val="16"/>
              </w:rPr>
              <w:t>Record</w:t>
            </w:r>
          </w:p>
        </w:tc>
        <w:tc>
          <w:tcPr>
            <w:tcW w:type="dxa" w:w="6624"/>
            <w:tcMar>
              <w:top w:w="80" w:type="dxa"/>
              <w:start w:w="120" w:type="dxa"/>
              <w:bottom w:w="80" w:type="dxa"/>
              <w:end w:w="120" w:type="dxa"/>
            </w:tcMar>
            <w:shd w:fill="F2F4F7"/>
            <w:vAlign w:val="center"/>
          </w:tcPr>
          <w:p>
            <w:pPr>
              <w:spacing w:after="0"/>
            </w:pPr>
            <w:r>
              <w:rPr>
                <w:rFonts w:ascii="Arial" w:hAnsi="Arial"/>
                <w:b/>
                <w:color w:val="17365D"/>
                <w:sz w:val="16"/>
              </w:rPr>
              <w:t>Minimum purpose</w:t>
            </w:r>
          </w:p>
        </w:tc>
      </w:tr>
      <w:tr>
        <w:tc>
          <w:tcPr>
            <w:tcW w:type="dxa" w:w="2520"/>
            <w:tcMar>
              <w:top w:w="80" w:type="dxa"/>
              <w:start w:w="120" w:type="dxa"/>
              <w:bottom w:w="80" w:type="dxa"/>
              <w:end w:w="120" w:type="dxa"/>
            </w:tcMar>
            <w:vAlign w:val="top"/>
          </w:tcPr>
          <w:p>
            <w:pPr>
              <w:spacing w:after="0" w:line="240" w:lineRule="auto"/>
            </w:pPr>
            <w:r>
              <w:rPr>
                <w:rFonts w:ascii="Arial" w:hAnsi="Arial"/>
                <w:color w:val="243447"/>
                <w:sz w:val="16"/>
              </w:rPr>
              <w:t>cases</w:t>
            </w:r>
          </w:p>
        </w:tc>
        <w:tc>
          <w:tcPr>
            <w:tcW w:type="dxa" w:w="6624"/>
            <w:tcMar>
              <w:top w:w="80" w:type="dxa"/>
              <w:start w:w="120" w:type="dxa"/>
              <w:bottom w:w="80" w:type="dxa"/>
              <w:end w:w="120" w:type="dxa"/>
            </w:tcMar>
            <w:vAlign w:val="top"/>
          </w:tcPr>
          <w:p>
            <w:pPr>
              <w:spacing w:after="0" w:line="240" w:lineRule="auto"/>
            </w:pPr>
            <w:r>
              <w:rPr>
                <w:rFonts w:ascii="Arial" w:hAnsi="Arial"/>
                <w:color w:val="243447"/>
                <w:sz w:val="16"/>
              </w:rPr>
              <w:t>Stable case identity, status, policy class and materialized head version.</w:t>
            </w:r>
          </w:p>
        </w:tc>
      </w:tr>
      <w:tr>
        <w:tc>
          <w:tcPr>
            <w:tcW w:type="dxa" w:w="2520"/>
            <w:tcMar>
              <w:top w:w="80" w:type="dxa"/>
              <w:start w:w="120" w:type="dxa"/>
              <w:bottom w:w="80" w:type="dxa"/>
              <w:end w:w="120" w:type="dxa"/>
            </w:tcMar>
            <w:vAlign w:val="top"/>
            <w:shd w:fill="FAFBFC"/>
          </w:tcPr>
          <w:p>
            <w:pPr>
              <w:spacing w:after="0" w:line="240" w:lineRule="auto"/>
            </w:pPr>
            <w:r>
              <w:rPr>
                <w:rFonts w:ascii="Arial" w:hAnsi="Arial"/>
                <w:color w:val="243447"/>
                <w:sz w:val="16"/>
              </w:rPr>
              <w:t>case_events</w:t>
            </w:r>
          </w:p>
        </w:tc>
        <w:tc>
          <w:tcPr>
            <w:tcW w:type="dxa" w:w="6624"/>
            <w:tcMar>
              <w:top w:w="80" w:type="dxa"/>
              <w:start w:w="120" w:type="dxa"/>
              <w:bottom w:w="80" w:type="dxa"/>
              <w:end w:w="120" w:type="dxa"/>
            </w:tcMar>
            <w:vAlign w:val="top"/>
            <w:shd w:fill="FAFBFC"/>
          </w:tcPr>
          <w:p>
            <w:pPr>
              <w:spacing w:after="0" w:line="240" w:lineRule="auto"/>
            </w:pPr>
            <w:r>
              <w:rPr>
                <w:rFonts w:ascii="Arial" w:hAnsi="Arial"/>
                <w:color w:val="243447"/>
                <w:sz w:val="16"/>
              </w:rPr>
              <w:t>Append-only state transitions, decisions, actor, hashes and causal parent.</w:t>
            </w:r>
          </w:p>
        </w:tc>
      </w:tr>
      <w:tr>
        <w:tc>
          <w:tcPr>
            <w:tcW w:type="dxa" w:w="2520"/>
            <w:tcMar>
              <w:top w:w="80" w:type="dxa"/>
              <w:start w:w="120" w:type="dxa"/>
              <w:bottom w:w="80" w:type="dxa"/>
              <w:end w:w="120" w:type="dxa"/>
            </w:tcMar>
            <w:vAlign w:val="top"/>
          </w:tcPr>
          <w:p>
            <w:pPr>
              <w:spacing w:after="0" w:line="240" w:lineRule="auto"/>
            </w:pPr>
            <w:r>
              <w:rPr>
                <w:rFonts w:ascii="Arial" w:hAnsi="Arial"/>
                <w:color w:val="243447"/>
                <w:sz w:val="16"/>
              </w:rPr>
              <w:t>artifacts / sources</w:t>
            </w:r>
          </w:p>
        </w:tc>
        <w:tc>
          <w:tcPr>
            <w:tcW w:type="dxa" w:w="6624"/>
            <w:tcMar>
              <w:top w:w="80" w:type="dxa"/>
              <w:start w:w="120" w:type="dxa"/>
              <w:bottom w:w="80" w:type="dxa"/>
              <w:end w:w="120" w:type="dxa"/>
            </w:tcMar>
            <w:vAlign w:val="top"/>
          </w:tcPr>
          <w:p>
            <w:pPr>
              <w:spacing w:after="0" w:line="240" w:lineRule="auto"/>
            </w:pPr>
            <w:r>
              <w:rPr>
                <w:rFonts w:ascii="Arial" w:hAnsi="Arial"/>
                <w:color w:val="243447"/>
                <w:sz w:val="16"/>
              </w:rPr>
              <w:t>Immutable bytes, canonical/original URLs, redirects, publisher, time and content hash.</w:t>
            </w:r>
          </w:p>
        </w:tc>
      </w:tr>
      <w:tr>
        <w:tc>
          <w:tcPr>
            <w:tcW w:type="dxa" w:w="2520"/>
            <w:tcMar>
              <w:top w:w="80" w:type="dxa"/>
              <w:start w:w="120" w:type="dxa"/>
              <w:bottom w:w="80" w:type="dxa"/>
              <w:end w:w="120" w:type="dxa"/>
            </w:tcMar>
            <w:vAlign w:val="top"/>
            <w:shd w:fill="FAFBFC"/>
          </w:tcPr>
          <w:p>
            <w:pPr>
              <w:spacing w:after="0" w:line="240" w:lineRule="auto"/>
            </w:pPr>
            <w:r>
              <w:rPr>
                <w:rFonts w:ascii="Arial" w:hAnsi="Arial"/>
                <w:color w:val="243447"/>
                <w:sz w:val="16"/>
              </w:rPr>
              <w:t>claims / claim_evidence</w:t>
            </w:r>
          </w:p>
        </w:tc>
        <w:tc>
          <w:tcPr>
            <w:tcW w:type="dxa" w:w="6624"/>
            <w:tcMar>
              <w:top w:w="80" w:type="dxa"/>
              <w:start w:w="120" w:type="dxa"/>
              <w:bottom w:w="80" w:type="dxa"/>
              <w:end w:w="120" w:type="dxa"/>
            </w:tcMar>
            <w:vAlign w:val="top"/>
            <w:shd w:fill="FAFBFC"/>
          </w:tcPr>
          <w:p>
            <w:pPr>
              <w:spacing w:after="0" w:line="240" w:lineRule="auto"/>
            </w:pPr>
            <w:r>
              <w:rPr>
                <w:rFonts w:ascii="Arial" w:hAnsi="Arial"/>
                <w:color w:val="243447"/>
                <w:sz w:val="16"/>
              </w:rPr>
              <w:t>Normalized assertions and exact provenance locators.</w:t>
            </w:r>
          </w:p>
        </w:tc>
      </w:tr>
      <w:tr>
        <w:tc>
          <w:tcPr>
            <w:tcW w:type="dxa" w:w="2520"/>
            <w:tcMar>
              <w:top w:w="80" w:type="dxa"/>
              <w:start w:w="120" w:type="dxa"/>
              <w:bottom w:w="80" w:type="dxa"/>
              <w:end w:w="120" w:type="dxa"/>
            </w:tcMar>
            <w:vAlign w:val="top"/>
          </w:tcPr>
          <w:p>
            <w:pPr>
              <w:spacing w:after="0" w:line="240" w:lineRule="auto"/>
            </w:pPr>
            <w:r>
              <w:rPr>
                <w:rFonts w:ascii="Arial" w:hAnsi="Arial"/>
                <w:color w:val="243447"/>
                <w:sz w:val="16"/>
              </w:rPr>
              <w:t>contradictions</w:t>
            </w:r>
          </w:p>
        </w:tc>
        <w:tc>
          <w:tcPr>
            <w:tcW w:type="dxa" w:w="6624"/>
            <w:tcMar>
              <w:top w:w="80" w:type="dxa"/>
              <w:start w:w="120" w:type="dxa"/>
              <w:bottom w:w="80" w:type="dxa"/>
              <w:end w:w="120" w:type="dxa"/>
            </w:tcMar>
            <w:vAlign w:val="top"/>
          </w:tcPr>
          <w:p>
            <w:pPr>
              <w:spacing w:after="0" w:line="240" w:lineRule="auto"/>
            </w:pPr>
            <w:r>
              <w:rPr>
                <w:rFonts w:ascii="Arial" w:hAnsi="Arial"/>
                <w:color w:val="243447"/>
                <w:sz w:val="16"/>
              </w:rPr>
              <w:t>Competing claims, scope, resolution, authority rationale and reviewer.</w:t>
            </w:r>
          </w:p>
        </w:tc>
      </w:tr>
      <w:tr>
        <w:tc>
          <w:tcPr>
            <w:tcW w:type="dxa" w:w="2520"/>
            <w:tcMar>
              <w:top w:w="80" w:type="dxa"/>
              <w:start w:w="120" w:type="dxa"/>
              <w:bottom w:w="80" w:type="dxa"/>
              <w:end w:w="120" w:type="dxa"/>
            </w:tcMar>
            <w:vAlign w:val="top"/>
            <w:shd w:fill="FAFBFC"/>
          </w:tcPr>
          <w:p>
            <w:pPr>
              <w:spacing w:after="0" w:line="240" w:lineRule="auto"/>
            </w:pPr>
            <w:r>
              <w:rPr>
                <w:rFonts w:ascii="Arial" w:hAnsi="Arial"/>
                <w:color w:val="243447"/>
                <w:sz w:val="16"/>
              </w:rPr>
              <w:t>frontier_nodes</w:t>
            </w:r>
          </w:p>
        </w:tc>
        <w:tc>
          <w:tcPr>
            <w:tcW w:type="dxa" w:w="6624"/>
            <w:tcMar>
              <w:top w:w="80" w:type="dxa"/>
              <w:start w:w="120" w:type="dxa"/>
              <w:bottom w:w="80" w:type="dxa"/>
              <w:end w:w="120" w:type="dxa"/>
            </w:tcMar>
            <w:vAlign w:val="top"/>
            <w:shd w:fill="FAFBFC"/>
          </w:tcPr>
          <w:p>
            <w:pPr>
              <w:spacing w:after="0" w:line="240" w:lineRule="auto"/>
            </w:pPr>
            <w:r>
              <w:rPr>
                <w:rFonts w:ascii="Arial" w:hAnsi="Arial"/>
                <w:color w:val="243447"/>
                <w:sz w:val="16"/>
              </w:rPr>
              <w:t>Reference targets, edge context, priority, visit state and dedup fingerprint.</w:t>
            </w:r>
          </w:p>
        </w:tc>
      </w:tr>
      <w:tr>
        <w:tc>
          <w:tcPr>
            <w:tcW w:type="dxa" w:w="2520"/>
            <w:tcMar>
              <w:top w:w="80" w:type="dxa"/>
              <w:start w:w="120" w:type="dxa"/>
              <w:bottom w:w="80" w:type="dxa"/>
              <w:end w:w="120" w:type="dxa"/>
            </w:tcMar>
            <w:vAlign w:val="top"/>
          </w:tcPr>
          <w:p>
            <w:pPr>
              <w:spacing w:after="0" w:line="240" w:lineRule="auto"/>
            </w:pPr>
            <w:r>
              <w:rPr>
                <w:rFonts w:ascii="Arial" w:hAnsi="Arial"/>
                <w:color w:val="243447"/>
                <w:sz w:val="16"/>
              </w:rPr>
              <w:t>team_missions / work_shards / runs</w:t>
            </w:r>
          </w:p>
        </w:tc>
        <w:tc>
          <w:tcPr>
            <w:tcW w:type="dxa" w:w="6624"/>
            <w:tcMar>
              <w:top w:w="80" w:type="dxa"/>
              <w:start w:w="120" w:type="dxa"/>
              <w:bottom w:w="80" w:type="dxa"/>
              <w:end w:w="120" w:type="dxa"/>
            </w:tcMar>
            <w:vAlign w:val="top"/>
          </w:tcPr>
          <w:p>
            <w:pPr>
              <w:spacing w:after="0" w:line="240" w:lineRule="auto"/>
            </w:pPr>
            <w:r>
              <w:rPr>
                <w:rFonts w:ascii="Arial" w:hAnsi="Arial"/>
                <w:color w:val="243447"/>
                <w:sz w:val="16"/>
              </w:rPr>
              <w:t>Planner wave, leases, target gap, tool policy, model/prompt/tool versions, result and cost.</w:t>
            </w:r>
          </w:p>
        </w:tc>
      </w:tr>
      <w:tr>
        <w:tc>
          <w:tcPr>
            <w:tcW w:type="dxa" w:w="2520"/>
            <w:tcMar>
              <w:top w:w="80" w:type="dxa"/>
              <w:start w:w="120" w:type="dxa"/>
              <w:bottom w:w="80" w:type="dxa"/>
              <w:end w:w="120" w:type="dxa"/>
            </w:tcMar>
            <w:vAlign w:val="top"/>
            <w:shd w:fill="FAFBFC"/>
          </w:tcPr>
          <w:p>
            <w:pPr>
              <w:spacing w:after="0" w:line="240" w:lineRule="auto"/>
            </w:pPr>
            <w:r>
              <w:rPr>
                <w:rFonts w:ascii="Arial" w:hAnsi="Arial"/>
                <w:color w:val="243447"/>
                <w:sz w:val="16"/>
              </w:rPr>
              <w:t>asset_matches</w:t>
            </w:r>
          </w:p>
        </w:tc>
        <w:tc>
          <w:tcPr>
            <w:tcW w:type="dxa" w:w="6624"/>
            <w:tcMar>
              <w:top w:w="80" w:type="dxa"/>
              <w:start w:w="120" w:type="dxa"/>
              <w:bottom w:w="80" w:type="dxa"/>
              <w:end w:w="120" w:type="dxa"/>
            </w:tcMar>
            <w:vAlign w:val="top"/>
            <w:shd w:fill="FAFBFC"/>
          </w:tcPr>
          <w:p>
            <w:pPr>
              <w:spacing w:after="0" w:line="240" w:lineRule="auto"/>
            </w:pPr>
            <w:r>
              <w:rPr>
                <w:rFonts w:ascii="Arial" w:hAnsi="Arial"/>
                <w:color w:val="243447"/>
                <w:sz w:val="16"/>
              </w:rPr>
              <w:t>Asset identity, version/configuration evidence, state and match explanation.</w:t>
            </w:r>
          </w:p>
        </w:tc>
      </w:tr>
      <w:tr>
        <w:tc>
          <w:tcPr>
            <w:tcW w:type="dxa" w:w="2520"/>
            <w:tcMar>
              <w:top w:w="80" w:type="dxa"/>
              <w:start w:w="120" w:type="dxa"/>
              <w:bottom w:w="80" w:type="dxa"/>
              <w:end w:w="120" w:type="dxa"/>
            </w:tcMar>
            <w:vAlign w:val="top"/>
          </w:tcPr>
          <w:p>
            <w:pPr>
              <w:spacing w:after="0" w:line="240" w:lineRule="auto"/>
            </w:pPr>
            <w:r>
              <w:rPr>
                <w:rFonts w:ascii="Arial" w:hAnsi="Arial"/>
                <w:color w:val="243447"/>
                <w:sz w:val="16"/>
              </w:rPr>
              <w:t>decisions / approvals</w:t>
            </w:r>
          </w:p>
        </w:tc>
        <w:tc>
          <w:tcPr>
            <w:tcW w:type="dxa" w:w="6624"/>
            <w:tcMar>
              <w:top w:w="80" w:type="dxa"/>
              <w:start w:w="120" w:type="dxa"/>
              <w:bottom w:w="80" w:type="dxa"/>
              <w:end w:w="120" w:type="dxa"/>
            </w:tcMar>
            <w:vAlign w:val="top"/>
          </w:tcPr>
          <w:p>
            <w:pPr>
              <w:spacing w:after="0" w:line="240" w:lineRule="auto"/>
            </w:pPr>
            <w:r>
              <w:rPr>
                <w:rFonts w:ascii="Arial" w:hAnsi="Arial"/>
                <w:color w:val="243447"/>
                <w:sz w:val="16"/>
              </w:rPr>
              <w:t>Closure, suppression, override, ticket approval and human attribution.</w:t>
            </w:r>
          </w:p>
        </w:tc>
      </w:tr>
      <w:tr>
        <w:tc>
          <w:tcPr>
            <w:tcW w:type="dxa" w:w="2520"/>
            <w:tcMar>
              <w:top w:w="80" w:type="dxa"/>
              <w:start w:w="120" w:type="dxa"/>
              <w:bottom w:w="80" w:type="dxa"/>
              <w:end w:w="120" w:type="dxa"/>
            </w:tcMar>
            <w:vAlign w:val="top"/>
            <w:shd w:fill="FAFBFC"/>
          </w:tcPr>
          <w:p>
            <w:pPr>
              <w:spacing w:after="0" w:line="240" w:lineRule="auto"/>
            </w:pPr>
            <w:r>
              <w:rPr>
                <w:rFonts w:ascii="Arial" w:hAnsi="Arial"/>
                <w:color w:val="243447"/>
                <w:sz w:val="16"/>
              </w:rPr>
              <w:t>tool_registry</w:t>
            </w:r>
          </w:p>
        </w:tc>
        <w:tc>
          <w:tcPr>
            <w:tcW w:type="dxa" w:w="6624"/>
            <w:tcMar>
              <w:top w:w="80" w:type="dxa"/>
              <w:start w:w="120" w:type="dxa"/>
              <w:bottom w:w="80" w:type="dxa"/>
              <w:end w:w="120" w:type="dxa"/>
            </w:tcMar>
            <w:vAlign w:val="top"/>
            <w:shd w:fill="FAFBFC"/>
          </w:tcPr>
          <w:p>
            <w:pPr>
              <w:spacing w:after="0" w:line="240" w:lineRule="auto"/>
            </w:pPr>
            <w:r>
              <w:rPr>
                <w:rFonts w:ascii="Arial" w:hAnsi="Arial"/>
                <w:color w:val="243447"/>
                <w:sz w:val="16"/>
              </w:rPr>
              <w:t>Capability, version, permissions, test fixtures, known limitations and owner.</w:t>
            </w:r>
          </w:p>
        </w:tc>
      </w:tr>
    </w:tbl>
    <w:p>
      <w:pPr>
        <w:spacing w:after="0"/>
      </w:pPr>
    </w:p>
    <w:p>
      <w:pPr>
        <w:pStyle w:val="Heading2"/>
      </w:pPr>
      <w:r>
        <w:t>6.2 EvidenceDelta: the only run write contract</w:t>
      </w:r>
    </w:p>
    <w:tbl>
      <w:tblPr>
        <w:tblW w:type="auto" w:w="0"/>
        <w:jc w:val="center"/>
        <w:tblLook w:firstColumn="1" w:firstRow="1" w:lastColumn="0" w:lastRow="0" w:noHBand="0" w:noVBand="1" w:val="04A0"/>
      </w:tblPr>
      <w:tblGrid>
        <w:gridCol w:w="9360"/>
      </w:tblGrid>
      <w:tr>
        <w:trPr>
          <w:cantSplit/>
        </w:trPr>
        <w:tc>
          <w:tcPr>
            <w:tcW w:type="dxa" w:w="9360"/>
            <w:shd w:fill="F6F8FA"/>
            <w:tcMar>
              <w:top w:w="110" w:type="dxa"/>
              <w:start w:w="140" w:type="dxa"/>
              <w:bottom w:w="110" w:type="dxa"/>
              <w:end w:w="140" w:type="dxa"/>
            </w:tcMar>
            <w:tcBorders>
              <w:top w:sz="6" w:val="single" w:color="D0D5DD" w:space="0"/>
              <w:left w:sz="6" w:val="single" w:color="D0D5DD" w:space="0"/>
              <w:bottom w:sz="6" w:val="single" w:color="D0D5DD" w:space="0"/>
              <w:right w:sz="6" w:val="single" w:color="D0D5DD" w:space="0"/>
            </w:tcBorders>
          </w:tcPr>
          <w:p>
            <w:pPr>
              <w:spacing w:after="0"/>
            </w:pPr>
            <w:r>
              <w:rPr>
                <w:rFonts w:ascii="Consolas" w:hAnsi="Consolas"/>
                <w:color w:val="243447"/>
                <w:sz w:val="16"/>
              </w:rPr>
              <w:t>EvidenceDelta = {</w:t>
              <w:br/>
            </w:r>
            <w:r>
              <w:rPr>
                <w:rFonts w:ascii="Consolas" w:hAnsi="Consolas"/>
                <w:color w:val="243447"/>
                <w:sz w:val="16"/>
              </w:rPr>
              <w:t xml:space="preserve">  case_version_read, mission_id, shard_id, artifacts_added[], claims_proposed[],</w:t>
              <w:br/>
            </w:r>
            <w:r>
              <w:rPr>
                <w:rFonts w:ascii="Consolas" w:hAnsi="Consolas"/>
                <w:color w:val="243447"/>
                <w:sz w:val="16"/>
              </w:rPr>
              <w:t xml:space="preserve">  frontier_added[], contradictions_opened[], contradictions_resolved[],</w:t>
              <w:br/>
            </w:r>
            <w:r>
              <w:rPr>
                <w:rFonts w:ascii="Consolas" w:hAnsi="Consolas"/>
                <w:color w:val="243447"/>
                <w:sz w:val="16"/>
              </w:rPr>
              <w:t xml:space="preserve">  gaps_resolved[], blockers[], observations[], frontier_expansion_requests[],</w:t>
              <w:br/>
            </w:r>
            <w:r>
              <w:rPr>
                <w:rFonts w:ascii="Consolas" w:hAnsi="Consolas"/>
                <w:color w:val="243447"/>
                <w:sz w:val="16"/>
              </w:rPr>
              <w:t xml:space="preserve">  coverage_delta, cost, stop_reason</w:t>
              <w:br/>
            </w:r>
            <w:r>
              <w:rPr>
                <w:rFonts w:ascii="Consolas" w:hAnsi="Consolas"/>
                <w:color w:val="243447"/>
                <w:sz w:val="16"/>
              </w:rPr>
              <w:t>}</w:t>
            </w:r>
          </w:p>
        </w:tc>
      </w:tr>
    </w:tbl>
    <w:p>
      <w:pPr>
        <w:keepLines w:val="0"/>
      </w:pPr>
      <w:r>
        <w:t>A team reducer deduplicates run deltas and reports one team delta. The case reducer then validates schema, verifies artifact hashes, checks source locators, applies authorization policy and appends accepted events. An agent cannot silently overwrite a fixed version, severity or asset state.</w:t>
      </w:r>
    </w:p>
    <w:p>
      <w:pPr>
        <w:pStyle w:val="Heading2"/>
      </w:pPr>
      <w:r>
        <w:t>6.3 Materialized blackboard contract</w:t>
      </w:r>
    </w:p>
    <w:p>
      <w:pPr>
        <w:keepLines w:val="0"/>
      </w:pPr>
      <w:r>
        <w:t>The blackboard is the query-optimized, shared case projection that every team reads. It is not a collaborative scratchpad. Every field carries a source event sequence or provenance pointer, and the full view can be rebuilt from the ledger.</w:t>
      </w:r>
    </w:p>
    <w:tbl>
      <w:tblPr>
        <w:tblW w:type="auto" w:w="0"/>
        <w:jc w:val="center"/>
        <w:tblLook w:firstColumn="1" w:firstRow="1" w:lastColumn="0" w:lastRow="0" w:noHBand="0" w:noVBand="1" w:val="04A0"/>
      </w:tblPr>
      <w:tblGrid>
        <w:gridCol w:w="9360"/>
      </w:tblGrid>
      <w:tr>
        <w:trPr>
          <w:cantSplit/>
        </w:trPr>
        <w:tc>
          <w:tcPr>
            <w:tcW w:type="dxa" w:w="9360"/>
            <w:shd w:fill="F6F8FA"/>
            <w:tcMar>
              <w:top w:w="110" w:type="dxa"/>
              <w:start w:w="140" w:type="dxa"/>
              <w:bottom w:w="110" w:type="dxa"/>
              <w:end w:w="140" w:type="dxa"/>
            </w:tcMar>
            <w:tcBorders>
              <w:top w:sz="6" w:val="single" w:color="D0D5DD" w:space="0"/>
              <w:left w:sz="6" w:val="single" w:color="D0D5DD" w:space="0"/>
              <w:bottom w:sz="6" w:val="single" w:color="D0D5DD" w:space="0"/>
              <w:right w:sz="6" w:val="single" w:color="D0D5DD" w:space="0"/>
            </w:tcBorders>
          </w:tcPr>
          <w:p>
            <w:pPr>
              <w:spacing w:after="0"/>
            </w:pPr>
            <w:r>
              <w:rPr>
                <w:rFonts w:ascii="Consolas" w:hAnsi="Consolas"/>
                <w:color w:val="243447"/>
                <w:sz w:val="16"/>
              </w:rPr>
              <w:t>Blackboard = {</w:t>
              <w:br/>
            </w:r>
            <w:r>
              <w:rPr>
                <w:rFonts w:ascii="Consolas" w:hAnsi="Consolas"/>
                <w:color w:val="243447"/>
                <w:sz w:val="16"/>
              </w:rPr>
              <w:t xml:space="preserve">  case, advisory, coverage, sources, artifacts, claims, contradictions,</w:t>
              <w:br/>
            </w:r>
            <w:r>
              <w:rPr>
                <w:rFonts w:ascii="Consolas" w:hAnsi="Consolas"/>
                <w:color w:val="243447"/>
                <w:sz w:val="16"/>
              </w:rPr>
              <w:t xml:space="preserve">  assets, remediation, verification, frontier, gaps, blockers, decisions,</w:t>
              <w:br/>
            </w:r>
            <w:r>
              <w:rPr>
                <w:rFonts w:ascii="Consolas" w:hAnsi="Consolas"/>
                <w:color w:val="243447"/>
                <w:sz w:val="16"/>
              </w:rPr>
              <w:t xml:space="preserve">  active_missions, budgets, audit_head, generated_at, schema_version</w:t>
              <w:br/>
            </w:r>
            <w:r>
              <w:rPr>
                <w:rFonts w:ascii="Consolas" w:hAnsi="Consolas"/>
                <w:color w:val="243447"/>
                <w:sz w:val="16"/>
              </w:rPr>
              <w:t>}</w:t>
            </w:r>
          </w:p>
        </w:tc>
      </w:tr>
    </w:tbl>
    <w:p>
      <w:pPr>
        <w:pStyle w:val="Heading2"/>
      </w:pPr>
      <w:r>
        <w:t>6.4 Concurrency and merge policy</w:t>
      </w:r>
    </w:p>
    <w:p>
      <w:pPr>
        <w:pStyle w:val="ListBullet"/>
        <w:keepLines w:val="0"/>
      </w:pPr>
      <w:r>
        <w:t>A work shard records case_version_read and leases one gap, source branch or claim partition for a bounded time.</w:t>
      </w:r>
    </w:p>
    <w:p>
      <w:pPr>
        <w:pStyle w:val="ListBullet"/>
        <w:keepLines w:val="0"/>
      </w:pPr>
      <w:r>
        <w:t>The reducer uses optimistic concurrency. Non-conflicting deltas rebase; conflicting claims are committed as a contradiction set, not last-write-wins.</w:t>
      </w:r>
    </w:p>
    <w:p>
      <w:pPr>
        <w:pStyle w:val="ListBullet"/>
        <w:keepLines w:val="0"/>
      </w:pPr>
      <w:r>
        <w:t>Artifact ingestion is idempotent by content hash; claim proposals are idempotent by normalized claim key plus provenance.</w:t>
      </w:r>
    </w:p>
    <w:p>
      <w:pPr>
        <w:pStyle w:val="ListBullet"/>
        <w:keepLines w:val="0"/>
      </w:pPr>
      <w:r>
        <w:t>Parallel runs do not share mutable scratch memory. They read the same immutable blackboard version and communicate through team reduction plus committed case events.</w:t>
      </w:r>
    </w:p>
    <w:p>
      <w:pPr>
        <w:pStyle w:val="ListBullet"/>
        <w:keepLines w:val="0"/>
      </w:pPr>
      <w:r>
        <w:t>Side-effecting tools require idempotency keys. Ticket creation and notifications occur only after an approval event.</w:t>
      </w:r>
    </w:p>
    <w:p>
      <w:pPr>
        <w:pStyle w:val="Heading2"/>
      </w:pPr>
      <w:r>
        <w:t>6.5 Typed team mission and work shard</w:t>
      </w:r>
    </w:p>
    <w:tbl>
      <w:tblPr>
        <w:tblW w:type="auto" w:w="0"/>
        <w:jc w:val="center"/>
        <w:tblLook w:firstColumn="1" w:firstRow="1" w:lastColumn="0" w:lastRow="0" w:noHBand="0" w:noVBand="1" w:val="04A0"/>
      </w:tblPr>
      <w:tblGrid>
        <w:gridCol w:w="9360"/>
      </w:tblGrid>
      <w:tr>
        <w:trPr>
          <w:cantSplit/>
        </w:trPr>
        <w:tc>
          <w:tcPr>
            <w:tcW w:type="dxa" w:w="9360"/>
            <w:shd w:fill="F6F8FA"/>
            <w:tcMar>
              <w:top w:w="110" w:type="dxa"/>
              <w:start w:w="140" w:type="dxa"/>
              <w:bottom w:w="110" w:type="dxa"/>
              <w:end w:w="140" w:type="dxa"/>
            </w:tcMar>
            <w:tcBorders>
              <w:top w:sz="6" w:val="single" w:color="D0D5DD" w:space="0"/>
              <w:left w:sz="6" w:val="single" w:color="D0D5DD" w:space="0"/>
              <w:bottom w:sz="6" w:val="single" w:color="D0D5DD" w:space="0"/>
              <w:right w:sz="6" w:val="single" w:color="D0D5DD" w:space="0"/>
            </w:tcBorders>
          </w:tcPr>
          <w:p>
            <w:pPr>
              <w:spacing w:after="0"/>
            </w:pPr>
            <w:r>
              <w:rPr>
                <w:rFonts w:ascii="Consolas" w:hAnsi="Consolas"/>
                <w:color w:val="243447"/>
                <w:sz w:val="16"/>
              </w:rPr>
              <w:t>TeamMission = { team, gap_ids[], planner_budget, max_parallel_runs, stop_policy }</w:t>
              <w:br/>
            </w:r>
            <w:r>
              <w:rPr>
                <w:rFonts w:ascii="Consolas" w:hAnsi="Consolas"/>
                <w:color w:val="243447"/>
                <w:sz w:val="16"/>
              </w:rPr>
              <w:t>WorkShard = {</w:t>
              <w:br/>
            </w:r>
            <w:r>
              <w:rPr>
                <w:rFonts w:ascii="Consolas" w:hAnsi="Consolas"/>
                <w:color w:val="243447"/>
                <w:sz w:val="16"/>
              </w:rPr>
              <w:t xml:space="preserve">  mission_id, shard_id, objective, lease_key, allowed_sources, allowed_tools,</w:t>
              <w:br/>
            </w:r>
            <w:r>
              <w:rPr>
                <w:rFonts w:ascii="Consolas" w:hAnsi="Consolas"/>
                <w:color w:val="243447"/>
                <w:sz w:val="16"/>
              </w:rPr>
              <w:t xml:space="preserve">  required_schema, max_depth, token_budget, tool_budget, deadline, retry_policy,</w:t>
              <w:br/>
            </w:r>
            <w:r>
              <w:rPr>
                <w:rFonts w:ascii="Consolas" w:hAnsi="Consolas"/>
                <w:color w:val="243447"/>
                <w:sz w:val="16"/>
              </w:rPr>
              <w:t xml:space="preserve">  stop_when, escalation_when, case_version_read, blackboard_head</w:t>
              <w:br/>
            </w:r>
            <w:r>
              <w:rPr>
                <w:rFonts w:ascii="Consolas" w:hAnsi="Consolas"/>
                <w:color w:val="243447"/>
                <w:sz w:val="16"/>
              </w:rPr>
              <w:t>}</w:t>
            </w:r>
          </w:p>
        </w:tc>
      </w:tr>
    </w:tbl>
    <w:p>
      <w:pPr>
        <w:spacing w:after="60"/>
      </w:pPr>
    </w:p>
    <w:p>
      <w:pPr>
        <w:pStyle w:val="Heading1"/>
      </w:pPr>
      <w:r>
        <w:t>7. Audit trail and provenance model</w:t>
      </w:r>
    </w:p>
    <w:tbl>
      <w:tblPr>
        <w:tblW w:type="auto" w:w="0"/>
        <w:jc w:val="center"/>
        <w:tblLayout w:type="fixed"/>
        <w:tblLook w:firstColumn="1" w:firstRow="1" w:lastColumn="0" w:lastRow="0" w:noHBand="0" w:noVBand="1" w:val="04A0"/>
      </w:tblPr>
      <w:tblGrid>
        <w:gridCol w:w="9144"/>
      </w:tblGrid>
      <w:tr>
        <w:trPr>
          <w:cantSplit/>
        </w:trPr>
        <w:tc>
          <w:tcPr>
            <w:tcW w:type="dxa" w:w="9144"/>
            <w:tcMar>
              <w:top w:w="140" w:type="dxa"/>
              <w:start w:w="160" w:type="dxa"/>
              <w:bottom w:w="140" w:type="dxa"/>
              <w:end w:w="160" w:type="dxa"/>
            </w:tcMar>
            <w:shd w:fill="E8F4F2"/>
            <w:tcBorders>
              <w:top w:sz="10" w:val="single" w:color="1B7F79" w:space="0"/>
              <w:left w:sz="10" w:val="single" w:color="1B7F79" w:space="0"/>
              <w:bottom w:sz="10" w:val="single" w:color="1B7F79" w:space="0"/>
              <w:right w:sz="10" w:val="single" w:color="1B7F79" w:space="0"/>
            </w:tcBorders>
          </w:tcPr>
          <w:p>
            <w:pPr>
              <w:spacing w:after="60"/>
            </w:pPr>
            <w:r>
              <w:rPr>
                <w:rFonts w:ascii="Arial" w:hAnsi="Arial"/>
                <w:b/>
                <w:color w:val="17365D"/>
                <w:sz w:val="22"/>
              </w:rPr>
              <w:t>Audit decision</w:t>
            </w:r>
          </w:p>
          <w:p>
            <w:pPr>
              <w:spacing w:after="0" w:line="252" w:lineRule="auto"/>
            </w:pPr>
            <w:r>
              <w:t>Create a domain audit ledger even if LangGraph checkpoints and an observability product are enabled. Checkpoints answer “where can execution resume?”; traces answer “what happened operationally?”; the ledger answers “why is this security decision defensible?”</w:t>
            </w:r>
          </w:p>
        </w:tc>
      </w:tr>
    </w:tbl>
    <w:p>
      <w:pPr>
        <w:pStyle w:val="Heading2"/>
      </w:pPr>
      <w:r>
        <w:t>7.1 Five audit lineages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584"/>
            <w:tcMar>
              <w:top w:w="80" w:type="dxa"/>
              <w:start w:w="120" w:type="dxa"/>
              <w:bottom w:w="80" w:type="dxa"/>
              <w:end w:w="120" w:type="dxa"/>
            </w:tcMar>
            <w:shd w:fill="F2F4F7"/>
            <w:vAlign w:val="center"/>
          </w:tcPr>
          <w:p>
            <w:pPr>
              <w:spacing w:after="0"/>
            </w:pPr>
            <w:r>
              <w:rPr>
                <w:rFonts w:ascii="Arial" w:hAnsi="Arial"/>
                <w:b/>
                <w:color w:val="17365D"/>
                <w:sz w:val="16"/>
              </w:rPr>
              <w:t>Lineage</w:t>
            </w:r>
          </w:p>
        </w:tc>
        <w:tc>
          <w:tcPr>
            <w:tcW w:type="dxa" w:w="2880"/>
            <w:tcMar>
              <w:top w:w="80" w:type="dxa"/>
              <w:start w:w="120" w:type="dxa"/>
              <w:bottom w:w="80" w:type="dxa"/>
              <w:end w:w="120" w:type="dxa"/>
            </w:tcMar>
            <w:shd w:fill="F2F4F7"/>
            <w:vAlign w:val="center"/>
          </w:tcPr>
          <w:p>
            <w:pPr>
              <w:spacing w:after="0"/>
            </w:pPr>
            <w:r>
              <w:rPr>
                <w:rFonts w:ascii="Arial" w:hAnsi="Arial"/>
                <w:b/>
                <w:color w:val="17365D"/>
                <w:sz w:val="16"/>
              </w:rPr>
              <w:t>Question answered</w:t>
            </w:r>
          </w:p>
        </w:tc>
        <w:tc>
          <w:tcPr>
            <w:tcW w:type="dxa" w:w="4680"/>
            <w:tcMar>
              <w:top w:w="80" w:type="dxa"/>
              <w:start w:w="120" w:type="dxa"/>
              <w:bottom w:w="80" w:type="dxa"/>
              <w:end w:w="120" w:type="dxa"/>
            </w:tcMar>
            <w:shd w:fill="F2F4F7"/>
            <w:vAlign w:val="center"/>
          </w:tcPr>
          <w:p>
            <w:pPr>
              <w:spacing w:after="0"/>
            </w:pPr>
            <w:r>
              <w:rPr>
                <w:rFonts w:ascii="Arial" w:hAnsi="Arial"/>
                <w:b/>
                <w:color w:val="17365D"/>
                <w:sz w:val="16"/>
              </w:rPr>
              <w:t>Evidence retained</w:t>
            </w:r>
          </w:p>
        </w:tc>
      </w:tr>
      <w:tr>
        <w:tc>
          <w:tcPr>
            <w:tcW w:type="dxa" w:w="1584"/>
            <w:tcMar>
              <w:top w:w="80" w:type="dxa"/>
              <w:start w:w="120" w:type="dxa"/>
              <w:bottom w:w="80" w:type="dxa"/>
              <w:end w:w="120" w:type="dxa"/>
            </w:tcMar>
            <w:vAlign w:val="top"/>
          </w:tcPr>
          <w:p>
            <w:pPr>
              <w:spacing w:after="0" w:line="240" w:lineRule="auto"/>
            </w:pPr>
            <w:r>
              <w:rPr>
                <w:rFonts w:ascii="Arial" w:hAnsi="Arial"/>
                <w:color w:val="243447"/>
                <w:sz w:val="16"/>
              </w:rPr>
              <w:t>Decision</w:t>
            </w:r>
          </w:p>
        </w:tc>
        <w:tc>
          <w:tcPr>
            <w:tcW w:type="dxa" w:w="2880"/>
            <w:tcMar>
              <w:top w:w="80" w:type="dxa"/>
              <w:start w:w="120" w:type="dxa"/>
              <w:bottom w:w="80" w:type="dxa"/>
              <w:end w:w="120" w:type="dxa"/>
            </w:tcMar>
            <w:vAlign w:val="top"/>
          </w:tcPr>
          <w:p>
            <w:pPr>
              <w:spacing w:after="0" w:line="240" w:lineRule="auto"/>
            </w:pPr>
            <w:r>
              <w:rPr>
                <w:rFonts w:ascii="Arial" w:hAnsi="Arial"/>
                <w:color w:val="243447"/>
                <w:sz w:val="16"/>
              </w:rPr>
              <w:t>Why did the case trigger, suppress, escalate or close?</w:t>
            </w:r>
          </w:p>
        </w:tc>
        <w:tc>
          <w:tcPr>
            <w:tcW w:type="dxa" w:w="4680"/>
            <w:tcMar>
              <w:top w:w="80" w:type="dxa"/>
              <w:start w:w="120" w:type="dxa"/>
              <w:bottom w:w="80" w:type="dxa"/>
              <w:end w:w="120" w:type="dxa"/>
            </w:tcMar>
            <w:vAlign w:val="top"/>
          </w:tcPr>
          <w:p>
            <w:pPr>
              <w:spacing w:after="0" w:line="240" w:lineRule="auto"/>
            </w:pPr>
            <w:r>
              <w:rPr>
                <w:rFonts w:ascii="Arial" w:hAnsi="Arial"/>
                <w:color w:val="243447"/>
                <w:sz w:val="16"/>
              </w:rPr>
              <w:t>Policy version, reason code, coverage snapshot, approver</w:t>
            </w:r>
          </w:p>
        </w:tc>
      </w:tr>
      <w:tr>
        <w:tc>
          <w:tcPr>
            <w:tcW w:type="dxa" w:w="1584"/>
            <w:tcMar>
              <w:top w:w="80" w:type="dxa"/>
              <w:start w:w="120" w:type="dxa"/>
              <w:bottom w:w="80" w:type="dxa"/>
              <w:end w:w="120" w:type="dxa"/>
            </w:tcMar>
            <w:vAlign w:val="top"/>
            <w:shd w:fill="FAFBFC"/>
          </w:tcPr>
          <w:p>
            <w:pPr>
              <w:spacing w:after="0" w:line="240" w:lineRule="auto"/>
            </w:pPr>
            <w:r>
              <w:rPr>
                <w:rFonts w:ascii="Arial" w:hAnsi="Arial"/>
                <w:color w:val="243447"/>
                <w:sz w:val="16"/>
              </w:rPr>
              <w:t>Evidence</w:t>
            </w:r>
          </w:p>
        </w:tc>
        <w:tc>
          <w:tcPr>
            <w:tcW w:type="dxa" w:w="2880"/>
            <w:tcMar>
              <w:top w:w="80" w:type="dxa"/>
              <w:start w:w="120" w:type="dxa"/>
              <w:bottom w:w="80" w:type="dxa"/>
              <w:end w:w="120" w:type="dxa"/>
            </w:tcMar>
            <w:vAlign w:val="top"/>
            <w:shd w:fill="FAFBFC"/>
          </w:tcPr>
          <w:p>
            <w:pPr>
              <w:spacing w:after="0" w:line="240" w:lineRule="auto"/>
            </w:pPr>
            <w:r>
              <w:rPr>
                <w:rFonts w:ascii="Arial" w:hAnsi="Arial"/>
                <w:color w:val="243447"/>
                <w:sz w:val="16"/>
              </w:rPr>
              <w:t>Which source supports each claim?</w:t>
            </w:r>
          </w:p>
        </w:tc>
        <w:tc>
          <w:tcPr>
            <w:tcW w:type="dxa" w:w="4680"/>
            <w:tcMar>
              <w:top w:w="80" w:type="dxa"/>
              <w:start w:w="120" w:type="dxa"/>
              <w:bottom w:w="80" w:type="dxa"/>
              <w:end w:w="120" w:type="dxa"/>
            </w:tcMar>
            <w:vAlign w:val="top"/>
            <w:shd w:fill="FAFBFC"/>
          </w:tcPr>
          <w:p>
            <w:pPr>
              <w:spacing w:after="0" w:line="240" w:lineRule="auto"/>
            </w:pPr>
            <w:r>
              <w:rPr>
                <w:rFonts w:ascii="Arial" w:hAnsi="Arial"/>
                <w:color w:val="243447"/>
                <w:sz w:val="16"/>
              </w:rPr>
              <w:t>Artifact hash, URL, publisher, timestamp, DOM/JSON/PDF/image locator</w:t>
            </w:r>
          </w:p>
        </w:tc>
      </w:tr>
      <w:tr>
        <w:tc>
          <w:tcPr>
            <w:tcW w:type="dxa" w:w="1584"/>
            <w:tcMar>
              <w:top w:w="80" w:type="dxa"/>
              <w:start w:w="120" w:type="dxa"/>
              <w:bottom w:w="80" w:type="dxa"/>
              <w:end w:w="120" w:type="dxa"/>
            </w:tcMar>
            <w:vAlign w:val="top"/>
          </w:tcPr>
          <w:p>
            <w:pPr>
              <w:spacing w:after="0" w:line="240" w:lineRule="auto"/>
            </w:pPr>
            <w:r>
              <w:rPr>
                <w:rFonts w:ascii="Arial" w:hAnsi="Arial"/>
                <w:color w:val="243447"/>
                <w:sz w:val="16"/>
              </w:rPr>
              <w:t>Execution</w:t>
            </w:r>
          </w:p>
        </w:tc>
        <w:tc>
          <w:tcPr>
            <w:tcW w:type="dxa" w:w="2880"/>
            <w:tcMar>
              <w:top w:w="80" w:type="dxa"/>
              <w:start w:w="120" w:type="dxa"/>
              <w:bottom w:w="80" w:type="dxa"/>
              <w:end w:w="120" w:type="dxa"/>
            </w:tcMar>
            <w:vAlign w:val="top"/>
          </w:tcPr>
          <w:p>
            <w:pPr>
              <w:spacing w:after="0" w:line="240" w:lineRule="auto"/>
            </w:pPr>
            <w:r>
              <w:rPr>
                <w:rFonts w:ascii="Arial" w:hAnsi="Arial"/>
                <w:color w:val="243447"/>
                <w:sz w:val="16"/>
              </w:rPr>
              <w:t>Who or what produced the proposal?</w:t>
            </w:r>
          </w:p>
        </w:tc>
        <w:tc>
          <w:tcPr>
            <w:tcW w:type="dxa" w:w="4680"/>
            <w:tcMar>
              <w:top w:w="80" w:type="dxa"/>
              <w:start w:w="120" w:type="dxa"/>
              <w:bottom w:w="80" w:type="dxa"/>
              <w:end w:w="120" w:type="dxa"/>
            </w:tcMar>
            <w:vAlign w:val="top"/>
          </w:tcPr>
          <w:p>
            <w:pPr>
              <w:spacing w:after="0" w:line="240" w:lineRule="auto"/>
            </w:pPr>
            <w:r>
              <w:rPr>
                <w:rFonts w:ascii="Arial" w:hAnsi="Arial"/>
                <w:color w:val="243447"/>
                <w:sz w:val="16"/>
              </w:rPr>
              <w:t>Agent, model, prompt, tool, code and schema versions; inputs/outputs hashes</w:t>
            </w:r>
          </w:p>
        </w:tc>
      </w:tr>
      <w:tr>
        <w:tc>
          <w:tcPr>
            <w:tcW w:type="dxa" w:w="1584"/>
            <w:tcMar>
              <w:top w:w="80" w:type="dxa"/>
              <w:start w:w="120" w:type="dxa"/>
              <w:bottom w:w="80" w:type="dxa"/>
              <w:end w:w="120" w:type="dxa"/>
            </w:tcMar>
            <w:vAlign w:val="top"/>
            <w:shd w:fill="FAFBFC"/>
          </w:tcPr>
          <w:p>
            <w:pPr>
              <w:spacing w:after="0" w:line="240" w:lineRule="auto"/>
            </w:pPr>
            <w:r>
              <w:rPr>
                <w:rFonts w:ascii="Arial" w:hAnsi="Arial"/>
                <w:color w:val="243447"/>
                <w:sz w:val="16"/>
              </w:rPr>
              <w:t>State</w:t>
            </w:r>
          </w:p>
        </w:tc>
        <w:tc>
          <w:tcPr>
            <w:tcW w:type="dxa" w:w="2880"/>
            <w:tcMar>
              <w:top w:w="80" w:type="dxa"/>
              <w:start w:w="120" w:type="dxa"/>
              <w:bottom w:w="80" w:type="dxa"/>
              <w:end w:w="120" w:type="dxa"/>
            </w:tcMar>
            <w:vAlign w:val="top"/>
            <w:shd w:fill="FAFBFC"/>
          </w:tcPr>
          <w:p>
            <w:pPr>
              <w:spacing w:after="0" w:line="240" w:lineRule="auto"/>
            </w:pPr>
            <w:r>
              <w:rPr>
                <w:rFonts w:ascii="Arial" w:hAnsi="Arial"/>
                <w:color w:val="243447"/>
                <w:sz w:val="16"/>
              </w:rPr>
              <w:t>How did the conclusion change?</w:t>
            </w:r>
          </w:p>
        </w:tc>
        <w:tc>
          <w:tcPr>
            <w:tcW w:type="dxa" w:w="4680"/>
            <w:tcMar>
              <w:top w:w="80" w:type="dxa"/>
              <w:start w:w="120" w:type="dxa"/>
              <w:bottom w:w="80" w:type="dxa"/>
              <w:end w:w="120" w:type="dxa"/>
            </w:tcMar>
            <w:vAlign w:val="top"/>
            <w:shd w:fill="FAFBFC"/>
          </w:tcPr>
          <w:p>
            <w:pPr>
              <w:spacing w:after="0" w:line="240" w:lineRule="auto"/>
            </w:pPr>
            <w:r>
              <w:rPr>
                <w:rFonts w:ascii="Arial" w:hAnsi="Arial"/>
                <w:color w:val="243447"/>
                <w:sz w:val="16"/>
              </w:rPr>
              <w:t>Ordered events, prior/new values, causal parent and phase/coverage delta</w:t>
            </w:r>
          </w:p>
        </w:tc>
      </w:tr>
      <w:tr>
        <w:tc>
          <w:tcPr>
            <w:tcW w:type="dxa" w:w="1584"/>
            <w:tcMar>
              <w:top w:w="80" w:type="dxa"/>
              <w:start w:w="120" w:type="dxa"/>
              <w:bottom w:w="80" w:type="dxa"/>
              <w:end w:w="120" w:type="dxa"/>
            </w:tcMar>
            <w:vAlign w:val="top"/>
          </w:tcPr>
          <w:p>
            <w:pPr>
              <w:spacing w:after="0" w:line="240" w:lineRule="auto"/>
            </w:pPr>
            <w:r>
              <w:rPr>
                <w:rFonts w:ascii="Arial" w:hAnsi="Arial"/>
                <w:color w:val="243447"/>
                <w:sz w:val="16"/>
              </w:rPr>
              <w:t>Human</w:t>
            </w:r>
          </w:p>
        </w:tc>
        <w:tc>
          <w:tcPr>
            <w:tcW w:type="dxa" w:w="2880"/>
            <w:tcMar>
              <w:top w:w="80" w:type="dxa"/>
              <w:start w:w="120" w:type="dxa"/>
              <w:bottom w:w="80" w:type="dxa"/>
              <w:end w:w="120" w:type="dxa"/>
            </w:tcMar>
            <w:vAlign w:val="top"/>
          </w:tcPr>
          <w:p>
            <w:pPr>
              <w:spacing w:after="0" w:line="240" w:lineRule="auto"/>
            </w:pPr>
            <w:r>
              <w:rPr>
                <w:rFonts w:ascii="Arial" w:hAnsi="Arial"/>
                <w:color w:val="243447"/>
                <w:sz w:val="16"/>
              </w:rPr>
              <w:t>Who accepted risk or authorized change?</w:t>
            </w:r>
          </w:p>
        </w:tc>
        <w:tc>
          <w:tcPr>
            <w:tcW w:type="dxa" w:w="4680"/>
            <w:tcMar>
              <w:top w:w="80" w:type="dxa"/>
              <w:start w:w="120" w:type="dxa"/>
              <w:bottom w:w="80" w:type="dxa"/>
              <w:end w:w="120" w:type="dxa"/>
            </w:tcMar>
            <w:vAlign w:val="top"/>
          </w:tcPr>
          <w:p>
            <w:pPr>
              <w:spacing w:after="0" w:line="240" w:lineRule="auto"/>
            </w:pPr>
            <w:r>
              <w:rPr>
                <w:rFonts w:ascii="Arial" w:hAnsi="Arial"/>
                <w:color w:val="243447"/>
                <w:sz w:val="16"/>
              </w:rPr>
              <w:t>Identity, role, timestamp, rationale, scope and expiration</w:t>
            </w:r>
          </w:p>
        </w:tc>
      </w:tr>
    </w:tbl>
    <w:p>
      <w:pPr>
        <w:spacing w:after="0"/>
      </w:pPr>
    </w:p>
    <w:p>
      <w:pPr>
        <w:pStyle w:val="Heading2"/>
      </w:pPr>
      <w:r>
        <w:t>7.2 Event envelope</w:t>
      </w:r>
    </w:p>
    <w:tbl>
      <w:tblPr>
        <w:tblW w:type="auto" w:w="0"/>
        <w:jc w:val="center"/>
        <w:tblLook w:firstColumn="1" w:firstRow="1" w:lastColumn="0" w:lastRow="0" w:noHBand="0" w:noVBand="1" w:val="04A0"/>
      </w:tblPr>
      <w:tblGrid>
        <w:gridCol w:w="9360"/>
      </w:tblGrid>
      <w:tr>
        <w:trPr>
          <w:cantSplit/>
        </w:trPr>
        <w:tc>
          <w:tcPr>
            <w:tcW w:type="dxa" w:w="9360"/>
            <w:shd w:fill="F6F8FA"/>
            <w:tcMar>
              <w:top w:w="110" w:type="dxa"/>
              <w:start w:w="140" w:type="dxa"/>
              <w:bottom w:w="110" w:type="dxa"/>
              <w:end w:w="140" w:type="dxa"/>
            </w:tcMar>
            <w:tcBorders>
              <w:top w:sz="6" w:val="single" w:color="D0D5DD" w:space="0"/>
              <w:left w:sz="6" w:val="single" w:color="D0D5DD" w:space="0"/>
              <w:bottom w:sz="6" w:val="single" w:color="D0D5DD" w:space="0"/>
              <w:right w:sz="6" w:val="single" w:color="D0D5DD" w:space="0"/>
            </w:tcBorders>
          </w:tcPr>
          <w:p>
            <w:pPr>
              <w:spacing w:after="0"/>
            </w:pPr>
            <w:r>
              <w:rPr>
                <w:rFonts w:ascii="Consolas" w:hAnsi="Consolas"/>
                <w:color w:val="243447"/>
                <w:sz w:val="16"/>
              </w:rPr>
              <w:t>CaseEvent = {</w:t>
              <w:br/>
            </w:r>
            <w:r>
              <w:rPr>
                <w:rFonts w:ascii="Consolas" w:hAnsi="Consolas"/>
                <w:color w:val="243447"/>
                <w:sz w:val="16"/>
              </w:rPr>
              <w:t xml:space="preserve">  case_id, seq, event_type, occurred_at, actor, parent_event_id,</w:t>
              <w:br/>
            </w:r>
            <w:r>
              <w:rPr>
                <w:rFonts w:ascii="Consolas" w:hAnsi="Consolas"/>
                <w:color w:val="243447"/>
                <w:sz w:val="16"/>
              </w:rPr>
              <w:t xml:space="preserve">  policy_version, graph_version, model_id, prompt_hash, tool_version,</w:t>
              <w:br/>
            </w:r>
            <w:r>
              <w:rPr>
                <w:rFonts w:ascii="Consolas" w:hAnsi="Consolas"/>
                <w:color w:val="243447"/>
                <w:sz w:val="16"/>
              </w:rPr>
              <w:t xml:space="preserve">  input_hashes[], output_hashes[], source_locators[], reason_code,</w:t>
              <w:br/>
            </w:r>
            <w:r>
              <w:rPr>
                <w:rFonts w:ascii="Consolas" w:hAnsi="Consolas"/>
                <w:color w:val="243447"/>
                <w:sz w:val="16"/>
              </w:rPr>
              <w:t xml:space="preserve">  tokens, cost, prev_event_hash, event_hash</w:t>
              <w:br/>
            </w:r>
            <w:r>
              <w:rPr>
                <w:rFonts w:ascii="Consolas" w:hAnsi="Consolas"/>
                <w:color w:val="243447"/>
                <w:sz w:val="16"/>
              </w:rPr>
              <w:t>}</w:t>
            </w:r>
          </w:p>
        </w:tc>
      </w:tr>
    </w:tbl>
    <w:p>
      <w:pPr>
        <w:keepLines w:val="0"/>
      </w:pPr>
      <w:r>
        <w:t>The prev_event_hash/event_hash chain is tamper-evident. Periodic case-head hashes should be signed or anchored in a separate control account. Raw source artifacts remain content-addressed and write-once. Encryption, retention and access policies should distinguish public advisory evidence from potentially sensitive asset context.</w:t>
      </w:r>
    </w:p>
    <w:p>
      <w:pPr>
        <w:pStyle w:val="Heading2"/>
      </w:pPr>
      <w:r>
        <w:t>7.3 What not to store as evidence</w:t>
      </w:r>
    </w:p>
    <w:p>
      <w:pPr>
        <w:pStyle w:val="ListBullet"/>
        <w:keepLines w:val="0"/>
      </w:pPr>
      <w:r>
        <w:t>Hidden chain-of-thought. Store concise decision rationale, tool inputs/outputs and cited evidence instead.</w:t>
      </w:r>
    </w:p>
    <w:p>
      <w:pPr>
        <w:pStyle w:val="ListBullet"/>
        <w:keepLines w:val="0"/>
      </w:pPr>
      <w:r>
        <w:t>Secrets or session tokens captured during browser acquisition.</w:t>
      </w:r>
    </w:p>
    <w:p>
      <w:pPr>
        <w:pStyle w:val="ListBullet"/>
        <w:keepLines w:val="0"/>
      </w:pPr>
      <w:r>
        <w:t>Unbounded browser video or full telemetry when a hashed snapshot and targeted network payload is sufficient.</w:t>
      </w:r>
    </w:p>
    <w:p>
      <w:pPr>
        <w:pStyle w:val="ListBullet"/>
        <w:keepLines w:val="0"/>
      </w:pPr>
      <w:r>
        <w:t>A model summary without the supporting claim IDs and artifact locators.</w:t>
      </w:r>
    </w:p>
    <w:p>
      <w:pPr>
        <w:pStyle w:val="ListBullet"/>
        <w:keepLines w:val="0"/>
      </w:pPr>
      <w:r>
        <w:t>Observability vendor trace IDs as the only link to a decision; traces may expire or be sampled.</w:t>
      </w:r>
    </w:p>
    <w:p>
      <w:pPr>
        <w:pStyle w:val="Heading2"/>
      </w:pPr>
      <w:r>
        <w:t>7.4 Replay and version migration</w:t>
      </w:r>
    </w:p>
    <w:p>
      <w:pPr>
        <w:keepLines w:val="0"/>
      </w:pPr>
      <w:r>
        <w:t>LangGraph can replay or fork from checkpoints, but replay may re-execute later nodes and yield different model outputs.[5] It also applies the latest deployed graph code to resumed threads rather than pinning each run to the original workflow version.[6] Therefore every case records graph, prompt, schema and tool versions. A resume policy must choose one of three explicit actions: resume under a compatible version, migrate state through a tested adapter, or fork a new case run while preserving the original chain.</w:t>
      </w:r>
    </w:p>
    <w:p>
      <w:pPr>
        <w:spacing w:after="60"/>
      </w:pPr>
    </w:p>
    <w:p>
      <w:pPr>
        <w:pStyle w:val="Heading1"/>
      </w:pPr>
      <w:r>
        <w:t>8. Loop control, budgets and closure</w:t>
      </w:r>
    </w:p>
    <w:p>
      <w:pPr>
        <w:pStyle w:val="Heading2"/>
      </w:pPr>
      <w:r>
        <w:t>8.1 Detecting non-progress</w:t>
      </w:r>
    </w:p>
    <w:p>
      <w:pPr>
        <w:keepLines w:val="0"/>
      </w:pPr>
      <w:r>
        <w:t>The controller detects loops from state deltas, not from an agent claiming it feels stuck. A run or team wave is non-progressing when one or more signatures repeat without increasing verified coverage. Team memory carries these signatures across waves so a newly spawned run cannot unknowingly repeat an exhausted path.</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944"/>
            <w:tcMar>
              <w:top w:w="80" w:type="dxa"/>
              <w:start w:w="120" w:type="dxa"/>
              <w:bottom w:w="80" w:type="dxa"/>
              <w:end w:w="120" w:type="dxa"/>
            </w:tcMar>
            <w:shd w:fill="F2F4F7"/>
            <w:vAlign w:val="center"/>
          </w:tcPr>
          <w:p>
            <w:pPr>
              <w:spacing w:after="0"/>
            </w:pPr>
            <w:r>
              <w:rPr>
                <w:rFonts w:ascii="Arial" w:hAnsi="Arial"/>
                <w:b/>
                <w:color w:val="17365D"/>
                <w:sz w:val="15"/>
              </w:rPr>
              <w:t>Signal</w:t>
            </w:r>
          </w:p>
        </w:tc>
        <w:tc>
          <w:tcPr>
            <w:tcW w:type="dxa" w:w="3384"/>
            <w:tcMar>
              <w:top w:w="80" w:type="dxa"/>
              <w:start w:w="120" w:type="dxa"/>
              <w:bottom w:w="80" w:type="dxa"/>
              <w:end w:w="120" w:type="dxa"/>
            </w:tcMar>
            <w:shd w:fill="F2F4F7"/>
            <w:vAlign w:val="center"/>
          </w:tcPr>
          <w:p>
            <w:pPr>
              <w:spacing w:after="0"/>
            </w:pPr>
            <w:r>
              <w:rPr>
                <w:rFonts w:ascii="Arial" w:hAnsi="Arial"/>
                <w:b/>
                <w:color w:val="17365D"/>
                <w:sz w:val="15"/>
              </w:rPr>
              <w:t>Example</w:t>
            </w:r>
          </w:p>
        </w:tc>
        <w:tc>
          <w:tcPr>
            <w:tcW w:type="dxa" w:w="3816"/>
            <w:tcMar>
              <w:top w:w="80" w:type="dxa"/>
              <w:start w:w="120" w:type="dxa"/>
              <w:bottom w:w="80" w:type="dxa"/>
              <w:end w:w="120" w:type="dxa"/>
            </w:tcMar>
            <w:shd w:fill="F2F4F7"/>
            <w:vAlign w:val="center"/>
          </w:tcPr>
          <w:p>
            <w:pPr>
              <w:spacing w:after="0"/>
            </w:pPr>
            <w:r>
              <w:rPr>
                <w:rFonts w:ascii="Arial" w:hAnsi="Arial"/>
                <w:b/>
                <w:color w:val="17365D"/>
                <w:sz w:val="15"/>
              </w:rPr>
              <w:t>Controller response</w:t>
            </w:r>
          </w:p>
        </w:tc>
      </w:tr>
      <w:tr>
        <w:tc>
          <w:tcPr>
            <w:tcW w:type="dxa" w:w="1944"/>
            <w:tcMar>
              <w:top w:w="80" w:type="dxa"/>
              <w:start w:w="120" w:type="dxa"/>
              <w:bottom w:w="80" w:type="dxa"/>
              <w:end w:w="120" w:type="dxa"/>
            </w:tcMar>
            <w:vAlign w:val="top"/>
          </w:tcPr>
          <w:p>
            <w:pPr>
              <w:spacing w:after="0" w:line="240" w:lineRule="auto"/>
            </w:pPr>
            <w:r>
              <w:rPr>
                <w:rFonts w:ascii="Arial" w:hAnsi="Arial"/>
                <w:color w:val="243447"/>
                <w:sz w:val="15"/>
              </w:rPr>
              <w:t>Repeated action signature</w:t>
            </w:r>
          </w:p>
        </w:tc>
        <w:tc>
          <w:tcPr>
            <w:tcW w:type="dxa" w:w="3384"/>
            <w:tcMar>
              <w:top w:w="80" w:type="dxa"/>
              <w:start w:w="120" w:type="dxa"/>
              <w:bottom w:w="80" w:type="dxa"/>
              <w:end w:w="120" w:type="dxa"/>
            </w:tcMar>
            <w:vAlign w:val="top"/>
          </w:tcPr>
          <w:p>
            <w:pPr>
              <w:spacing w:after="0" w:line="240" w:lineRule="auto"/>
            </w:pPr>
            <w:r>
              <w:rPr>
                <w:rFonts w:ascii="Arial" w:hAnsi="Arial"/>
                <w:color w:val="243447"/>
                <w:sz w:val="15"/>
              </w:rPr>
              <w:t>Same query/tool/URL class with same result hash</w:t>
            </w:r>
          </w:p>
        </w:tc>
        <w:tc>
          <w:tcPr>
            <w:tcW w:type="dxa" w:w="3816"/>
            <w:tcMar>
              <w:top w:w="80" w:type="dxa"/>
              <w:start w:w="120" w:type="dxa"/>
              <w:bottom w:w="80" w:type="dxa"/>
              <w:end w:w="120" w:type="dxa"/>
            </w:tcMar>
            <w:vAlign w:val="top"/>
          </w:tcPr>
          <w:p>
            <w:pPr>
              <w:spacing w:after="0" w:line="240" w:lineRule="auto"/>
            </w:pPr>
            <w:r>
              <w:rPr>
                <w:rFonts w:ascii="Arial" w:hAnsi="Arial"/>
                <w:color w:val="243447"/>
                <w:sz w:val="15"/>
              </w:rPr>
              <w:t>Block duplicate action; require alternate modality or source class</w:t>
            </w:r>
          </w:p>
        </w:tc>
      </w:tr>
      <w:tr>
        <w:tc>
          <w:tcPr>
            <w:tcW w:type="dxa" w:w="1944"/>
            <w:tcMar>
              <w:top w:w="80" w:type="dxa"/>
              <w:start w:w="120" w:type="dxa"/>
              <w:bottom w:w="80" w:type="dxa"/>
              <w:end w:w="120" w:type="dxa"/>
            </w:tcMar>
            <w:vAlign w:val="top"/>
            <w:shd w:fill="FAFBFC"/>
          </w:tcPr>
          <w:p>
            <w:pPr>
              <w:spacing w:after="0" w:line="240" w:lineRule="auto"/>
            </w:pPr>
            <w:r>
              <w:rPr>
                <w:rFonts w:ascii="Arial" w:hAnsi="Arial"/>
                <w:color w:val="243447"/>
                <w:sz w:val="15"/>
              </w:rPr>
              <w:t>Zero evidence delta</w:t>
            </w:r>
          </w:p>
        </w:tc>
        <w:tc>
          <w:tcPr>
            <w:tcW w:type="dxa" w:w="3384"/>
            <w:tcMar>
              <w:top w:w="80" w:type="dxa"/>
              <w:start w:w="120" w:type="dxa"/>
              <w:bottom w:w="80" w:type="dxa"/>
              <w:end w:w="120" w:type="dxa"/>
            </w:tcMar>
            <w:vAlign w:val="top"/>
            <w:shd w:fill="FAFBFC"/>
          </w:tcPr>
          <w:p>
            <w:pPr>
              <w:spacing w:after="0" w:line="240" w:lineRule="auto"/>
            </w:pPr>
            <w:r>
              <w:rPr>
                <w:rFonts w:ascii="Arial" w:hAnsi="Arial"/>
                <w:color w:val="243447"/>
                <w:sz w:val="15"/>
              </w:rPr>
              <w:t>Tokens spent but no artifact, claim, conflict resolution or frontier gain</w:t>
            </w:r>
          </w:p>
        </w:tc>
        <w:tc>
          <w:tcPr>
            <w:tcW w:type="dxa" w:w="3816"/>
            <w:tcMar>
              <w:top w:w="80" w:type="dxa"/>
              <w:start w:w="120" w:type="dxa"/>
              <w:bottom w:w="80" w:type="dxa"/>
              <w:end w:w="120" w:type="dxa"/>
            </w:tcMar>
            <w:vAlign w:val="top"/>
            <w:shd w:fill="FAFBFC"/>
          </w:tcPr>
          <w:p>
            <w:pPr>
              <w:spacing w:after="0" w:line="240" w:lineRule="auto"/>
            </w:pPr>
            <w:r>
              <w:rPr>
                <w:rFonts w:ascii="Arial" w:hAnsi="Arial"/>
                <w:color w:val="243447"/>
                <w:sz w:val="15"/>
              </w:rPr>
              <w:t>Stop shard after threshold; reduce parallelism or re-plan around named gap</w:t>
            </w:r>
          </w:p>
        </w:tc>
      </w:tr>
      <w:tr>
        <w:tc>
          <w:tcPr>
            <w:tcW w:type="dxa" w:w="1944"/>
            <w:tcMar>
              <w:top w:w="80" w:type="dxa"/>
              <w:start w:w="120" w:type="dxa"/>
              <w:bottom w:w="80" w:type="dxa"/>
              <w:end w:w="120" w:type="dxa"/>
            </w:tcMar>
            <w:vAlign w:val="top"/>
          </w:tcPr>
          <w:p>
            <w:pPr>
              <w:spacing w:after="0" w:line="240" w:lineRule="auto"/>
            </w:pPr>
            <w:r>
              <w:rPr>
                <w:rFonts w:ascii="Arial" w:hAnsi="Arial"/>
                <w:color w:val="243447"/>
                <w:sz w:val="15"/>
              </w:rPr>
              <w:t>Frontier rediscovery</w:t>
            </w:r>
          </w:p>
        </w:tc>
        <w:tc>
          <w:tcPr>
            <w:tcW w:type="dxa" w:w="3384"/>
            <w:tcMar>
              <w:top w:w="80" w:type="dxa"/>
              <w:start w:w="120" w:type="dxa"/>
              <w:bottom w:w="80" w:type="dxa"/>
              <w:end w:w="120" w:type="dxa"/>
            </w:tcMar>
            <w:vAlign w:val="top"/>
          </w:tcPr>
          <w:p>
            <w:pPr>
              <w:spacing w:after="0" w:line="240" w:lineRule="auto"/>
            </w:pPr>
            <w:r>
              <w:rPr>
                <w:rFonts w:ascii="Arial" w:hAnsi="Arial"/>
                <w:color w:val="243447"/>
                <w:sz w:val="15"/>
              </w:rPr>
              <w:t>Canonical URL or content hash already visited</w:t>
            </w:r>
          </w:p>
        </w:tc>
        <w:tc>
          <w:tcPr>
            <w:tcW w:type="dxa" w:w="3816"/>
            <w:tcMar>
              <w:top w:w="80" w:type="dxa"/>
              <w:start w:w="120" w:type="dxa"/>
              <w:bottom w:w="80" w:type="dxa"/>
              <w:end w:w="120" w:type="dxa"/>
            </w:tcMar>
            <w:vAlign w:val="top"/>
          </w:tcPr>
          <w:p>
            <w:pPr>
              <w:spacing w:after="0" w:line="240" w:lineRule="auto"/>
            </w:pPr>
            <w:r>
              <w:rPr>
                <w:rFonts w:ascii="Arial" w:hAnsi="Arial"/>
                <w:color w:val="243447"/>
                <w:sz w:val="15"/>
              </w:rPr>
              <w:t>Deduplicate and credit existing evidence</w:t>
            </w:r>
          </w:p>
        </w:tc>
      </w:tr>
      <w:tr>
        <w:tc>
          <w:tcPr>
            <w:tcW w:type="dxa" w:w="1944"/>
            <w:tcMar>
              <w:top w:w="80" w:type="dxa"/>
              <w:start w:w="120" w:type="dxa"/>
              <w:bottom w:w="80" w:type="dxa"/>
              <w:end w:w="120" w:type="dxa"/>
            </w:tcMar>
            <w:vAlign w:val="top"/>
            <w:shd w:fill="FAFBFC"/>
          </w:tcPr>
          <w:p>
            <w:pPr>
              <w:spacing w:after="0" w:line="240" w:lineRule="auto"/>
            </w:pPr>
            <w:r>
              <w:rPr>
                <w:rFonts w:ascii="Arial" w:hAnsi="Arial"/>
                <w:color w:val="243447"/>
                <w:sz w:val="15"/>
              </w:rPr>
              <w:t>Stable error class</w:t>
            </w:r>
          </w:p>
        </w:tc>
        <w:tc>
          <w:tcPr>
            <w:tcW w:type="dxa" w:w="3384"/>
            <w:tcMar>
              <w:top w:w="80" w:type="dxa"/>
              <w:start w:w="120" w:type="dxa"/>
              <w:bottom w:w="80" w:type="dxa"/>
              <w:end w:w="120" w:type="dxa"/>
            </w:tcMar>
            <w:vAlign w:val="top"/>
            <w:shd w:fill="FAFBFC"/>
          </w:tcPr>
          <w:p>
            <w:pPr>
              <w:spacing w:after="0" w:line="240" w:lineRule="auto"/>
            </w:pPr>
            <w:r>
              <w:rPr>
                <w:rFonts w:ascii="Arial" w:hAnsi="Arial"/>
                <w:color w:val="243447"/>
                <w:sz w:val="15"/>
              </w:rPr>
              <w:t>Three auth, WAF, timeout or parse failures</w:t>
            </w:r>
          </w:p>
        </w:tc>
        <w:tc>
          <w:tcPr>
            <w:tcW w:type="dxa" w:w="3816"/>
            <w:tcMar>
              <w:top w:w="80" w:type="dxa"/>
              <w:start w:w="120" w:type="dxa"/>
              <w:bottom w:w="80" w:type="dxa"/>
              <w:end w:w="120" w:type="dxa"/>
            </w:tcMar>
            <w:vAlign w:val="top"/>
            <w:shd w:fill="FAFBFC"/>
          </w:tcPr>
          <w:p>
            <w:pPr>
              <w:spacing w:after="0" w:line="240" w:lineRule="auto"/>
            </w:pPr>
            <w:r>
              <w:rPr>
                <w:rFonts w:ascii="Arial" w:hAnsi="Arial"/>
                <w:color w:val="243447"/>
                <w:sz w:val="15"/>
              </w:rPr>
              <w:t>Change acquisition path, use cache/snapshot or mark external blocker</w:t>
            </w:r>
          </w:p>
        </w:tc>
      </w:tr>
      <w:tr>
        <w:tc>
          <w:tcPr>
            <w:tcW w:type="dxa" w:w="1944"/>
            <w:tcMar>
              <w:top w:w="80" w:type="dxa"/>
              <w:start w:w="120" w:type="dxa"/>
              <w:bottom w:w="80" w:type="dxa"/>
              <w:end w:w="120" w:type="dxa"/>
            </w:tcMar>
            <w:vAlign w:val="top"/>
          </w:tcPr>
          <w:p>
            <w:pPr>
              <w:spacing w:after="0" w:line="240" w:lineRule="auto"/>
            </w:pPr>
            <w:r>
              <w:rPr>
                <w:rFonts w:ascii="Arial" w:hAnsi="Arial"/>
                <w:color w:val="243447"/>
                <w:sz w:val="15"/>
              </w:rPr>
              <w:t>Conflict oscillation</w:t>
            </w:r>
          </w:p>
        </w:tc>
        <w:tc>
          <w:tcPr>
            <w:tcW w:type="dxa" w:w="3384"/>
            <w:tcMar>
              <w:top w:w="80" w:type="dxa"/>
              <w:start w:w="120" w:type="dxa"/>
              <w:bottom w:w="80" w:type="dxa"/>
              <w:end w:w="120" w:type="dxa"/>
            </w:tcMar>
            <w:vAlign w:val="top"/>
          </w:tcPr>
          <w:p>
            <w:pPr>
              <w:spacing w:after="0" w:line="240" w:lineRule="auto"/>
            </w:pPr>
            <w:r>
              <w:rPr>
                <w:rFonts w:ascii="Arial" w:hAnsi="Arial"/>
                <w:color w:val="243447"/>
                <w:sz w:val="15"/>
              </w:rPr>
              <w:t>Severity alternates as sources are re-ranked</w:t>
            </w:r>
          </w:p>
        </w:tc>
        <w:tc>
          <w:tcPr>
            <w:tcW w:type="dxa" w:w="3816"/>
            <w:tcMar>
              <w:top w:w="80" w:type="dxa"/>
              <w:start w:w="120" w:type="dxa"/>
              <w:bottom w:w="80" w:type="dxa"/>
              <w:end w:w="120" w:type="dxa"/>
            </w:tcMar>
            <w:vAlign w:val="top"/>
          </w:tcPr>
          <w:p>
            <w:pPr>
              <w:spacing w:after="0" w:line="240" w:lineRule="auto"/>
            </w:pPr>
            <w:r>
              <w:rPr>
                <w:rFonts w:ascii="Arial" w:hAnsi="Arial"/>
                <w:color w:val="243447"/>
                <w:sz w:val="15"/>
              </w:rPr>
              <w:t>Preserve both claims; invoke authority policy/adjudicator</w:t>
            </w:r>
          </w:p>
        </w:tc>
      </w:tr>
      <w:tr>
        <w:tc>
          <w:tcPr>
            <w:tcW w:type="dxa" w:w="1944"/>
            <w:tcMar>
              <w:top w:w="80" w:type="dxa"/>
              <w:start w:w="120" w:type="dxa"/>
              <w:bottom w:w="80" w:type="dxa"/>
              <w:end w:w="120" w:type="dxa"/>
            </w:tcMar>
            <w:vAlign w:val="top"/>
            <w:shd w:fill="FAFBFC"/>
          </w:tcPr>
          <w:p>
            <w:pPr>
              <w:spacing w:after="0" w:line="240" w:lineRule="auto"/>
            </w:pPr>
            <w:r>
              <w:rPr>
                <w:rFonts w:ascii="Arial" w:hAnsi="Arial"/>
                <w:color w:val="243447"/>
                <w:sz w:val="15"/>
              </w:rPr>
              <w:t>Tool improvisation loop</w:t>
            </w:r>
          </w:p>
        </w:tc>
        <w:tc>
          <w:tcPr>
            <w:tcW w:type="dxa" w:w="3384"/>
            <w:tcMar>
              <w:top w:w="80" w:type="dxa"/>
              <w:start w:w="120" w:type="dxa"/>
              <w:bottom w:w="80" w:type="dxa"/>
              <w:end w:w="120" w:type="dxa"/>
            </w:tcMar>
            <w:vAlign w:val="top"/>
            <w:shd w:fill="FAFBFC"/>
          </w:tcPr>
          <w:p>
            <w:pPr>
              <w:spacing w:after="0" w:line="240" w:lineRule="auto"/>
            </w:pPr>
            <w:r>
              <w:rPr>
                <w:rFonts w:ascii="Arial" w:hAnsi="Arial"/>
                <w:color w:val="243447"/>
                <w:sz w:val="15"/>
              </w:rPr>
              <w:t>Repeated one-off scripts for the same vendor surface</w:t>
            </w:r>
          </w:p>
        </w:tc>
        <w:tc>
          <w:tcPr>
            <w:tcW w:type="dxa" w:w="3816"/>
            <w:tcMar>
              <w:top w:w="80" w:type="dxa"/>
              <w:start w:w="120" w:type="dxa"/>
              <w:bottom w:w="80" w:type="dxa"/>
              <w:end w:w="120" w:type="dxa"/>
            </w:tcMar>
            <w:vAlign w:val="top"/>
            <w:shd w:fill="FAFBFC"/>
          </w:tcPr>
          <w:p>
            <w:pPr>
              <w:spacing w:after="0" w:line="240" w:lineRule="auto"/>
            </w:pPr>
            <w:r>
              <w:rPr>
                <w:rFonts w:ascii="Arial" w:hAnsi="Arial"/>
                <w:color w:val="243447"/>
                <w:sz w:val="15"/>
              </w:rPr>
              <w:t>Open tool-builder work order with fixtures</w:t>
            </w:r>
          </w:p>
        </w:tc>
      </w:tr>
    </w:tbl>
    <w:p>
      <w:pPr>
        <w:spacing w:after="0"/>
      </w:pPr>
    </w:p>
    <w:p>
      <w:pPr>
        <w:pStyle w:val="Heading2"/>
      </w:pPr>
      <w:r>
        <w:t>8.2 Value-of-information routing</w:t>
      </w:r>
    </w:p>
    <w:p>
      <w:pPr>
        <w:keepLines w:val="0"/>
      </w:pPr>
      <w:r>
        <w:t>For each admissible next action, estimate the expected probability of resolving a required gap multiplied by decision impact, then discount cost, latency, source authority risk and duplication. The controller chooses the best positive-value action; the model may estimate uncertain terms, but policy bounds the candidates.</w:t>
      </w:r>
    </w:p>
    <w:tbl>
      <w:tblPr>
        <w:tblW w:type="auto" w:w="0"/>
        <w:jc w:val="center"/>
        <w:tblLook w:firstColumn="1" w:firstRow="1" w:lastColumn="0" w:lastRow="0" w:noHBand="0" w:noVBand="1" w:val="04A0"/>
      </w:tblPr>
      <w:tblGrid>
        <w:gridCol w:w="9360"/>
      </w:tblGrid>
      <w:tr>
        <w:trPr>
          <w:cantSplit/>
        </w:trPr>
        <w:tc>
          <w:tcPr>
            <w:tcW w:type="dxa" w:w="9360"/>
            <w:shd w:fill="F6F8FA"/>
            <w:tcMar>
              <w:top w:w="110" w:type="dxa"/>
              <w:start w:w="140" w:type="dxa"/>
              <w:bottom w:w="110" w:type="dxa"/>
              <w:end w:w="140" w:type="dxa"/>
            </w:tcMar>
            <w:tcBorders>
              <w:top w:sz="6" w:val="single" w:color="D0D5DD" w:space="0"/>
              <w:left w:sz="6" w:val="single" w:color="D0D5DD" w:space="0"/>
              <w:bottom w:sz="6" w:val="single" w:color="D0D5DD" w:space="0"/>
              <w:right w:sz="6" w:val="single" w:color="D0D5DD" w:space="0"/>
            </w:tcBorders>
          </w:tcPr>
          <w:p>
            <w:pPr>
              <w:spacing w:after="0"/>
            </w:pPr>
            <w:r>
              <w:rPr>
                <w:rFonts w:ascii="Consolas" w:hAnsi="Consolas"/>
                <w:color w:val="243447"/>
                <w:sz w:val="16"/>
              </w:rPr>
              <w:t>VOI(action) = P(resolve_gap) × decision_impact × authority_weight</w:t>
              <w:br/>
            </w:r>
            <w:r>
              <w:rPr>
                <w:rFonts w:ascii="Consolas" w:hAnsi="Consolas"/>
                <w:color w:val="243447"/>
                <w:sz w:val="16"/>
              </w:rPr>
              <w:t xml:space="preserve">              − token_cost − tool_cost − latency_penalty − duplication_penalty</w:t>
              <w:br/>
            </w:r>
            <w:r>
              <w:rPr>
                <w:rFonts w:ascii="Consolas" w:hAnsi="Consolas"/>
                <w:color w:val="243447"/>
                <w:sz w:val="16"/>
              </w:rPr>
              <w:t>dispatch only if VOI &gt; policy_threshold</w:t>
            </w:r>
          </w:p>
        </w:tc>
      </w:tr>
    </w:tbl>
    <w:p>
      <w:pPr>
        <w:pStyle w:val="Heading2"/>
      </w:pPr>
      <w:r>
        <w:t>8.3 Budgets should attach to gaps</w:t>
      </w:r>
    </w:p>
    <w:p>
      <w:pPr>
        <w:pStyle w:val="ListBullet"/>
        <w:keepLines w:val="0"/>
      </w:pPr>
      <w:r>
        <w:t>Depth budget: maximum reference hops, with a documented exception for authoritative machine feeds or patch chains.</w:t>
      </w:r>
    </w:p>
    <w:p>
      <w:pPr>
        <w:pStyle w:val="ListBullet"/>
        <w:keepLines w:val="0"/>
      </w:pPr>
      <w:r>
        <w:t>Tool budget: browser renders, OCR pages, network captures, external APIs and one-off scripts.</w:t>
      </w:r>
    </w:p>
    <w:p>
      <w:pPr>
        <w:pStyle w:val="ListBullet"/>
        <w:keepLines w:val="0"/>
      </w:pPr>
      <w:r>
        <w:t>Token budget: planning, extraction, reconciliation and output—recorded separately.</w:t>
      </w:r>
    </w:p>
    <w:p>
      <w:pPr>
        <w:pStyle w:val="ListBullet"/>
        <w:keepLines w:val="0"/>
      </w:pPr>
      <w:r>
        <w:t>Time budget: per work order and per external blocker, including a next wake-up condition.</w:t>
      </w:r>
    </w:p>
    <w:p>
      <w:pPr>
        <w:pStyle w:val="ListBullet"/>
        <w:keepLines w:val="0"/>
      </w:pPr>
      <w:r>
        <w:t>Risk budget: human review required when a decision depends on OCR-only data, inferred row association, destructive remediation or unresolved authority conflict.</w:t>
      </w:r>
    </w:p>
    <w:p>
      <w:pPr>
        <w:pStyle w:val="Heading2"/>
      </w:pPr>
      <w:r>
        <w:t>8.4 Closure policy</w:t>
      </w:r>
    </w:p>
    <w:p>
      <w:pPr>
        <w:keepLines w:val="0"/>
      </w:pPr>
      <w:r>
        <w:t>Close only when the required role coverage is met, every material claim has provenance, applicability has an explicit state, a remediation or investigation path exists, and no blocking contradiction remains. “Unknown” is a valid conclusion when its evidence gap, owner and re-check trigger are recorded. Do not manufacture certainty to satisfy a terminal phase.</w:t>
      </w:r>
    </w:p>
    <w:p>
      <w:pPr>
        <w:spacing w:after="60"/>
      </w:pPr>
    </w:p>
    <w:p>
      <w:pPr>
        <w:pStyle w:val="Heading1"/>
      </w:pPr>
      <w:r>
        <w:t>9. Harness decision: build, buy or compose</w:t>
      </w:r>
    </w:p>
    <w:p>
      <w:pPr>
        <w:keepLines w:val="0"/>
      </w:pPr>
      <w:r>
        <w:t>The recommendation is to compose a thin domain harness around an existing durable agent graph runtime. Rebuilding the execution kernel would consume effort on checkpointing, dynamic fan-out, interrupts, retries, streaming and resumption while leaving the harder problem—evidence provenance and case semantics—unsolved.</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512"/>
            <w:tcMar>
              <w:top w:w="80" w:type="dxa"/>
              <w:start w:w="120" w:type="dxa"/>
              <w:bottom w:w="80" w:type="dxa"/>
              <w:end w:w="120" w:type="dxa"/>
            </w:tcMar>
            <w:shd w:fill="F2F4F7"/>
            <w:vAlign w:val="center"/>
          </w:tcPr>
          <w:p>
            <w:pPr>
              <w:spacing w:after="0"/>
            </w:pPr>
            <w:r>
              <w:rPr>
                <w:rFonts w:ascii="Arial" w:hAnsi="Arial"/>
                <w:b/>
                <w:color w:val="17365D"/>
                <w:sz w:val="14"/>
              </w:rPr>
              <w:t>Candidate</w:t>
            </w:r>
          </w:p>
        </w:tc>
        <w:tc>
          <w:tcPr>
            <w:tcW w:type="dxa" w:w="2880"/>
            <w:tcMar>
              <w:top w:w="80" w:type="dxa"/>
              <w:start w:w="120" w:type="dxa"/>
              <w:bottom w:w="80" w:type="dxa"/>
              <w:end w:w="120" w:type="dxa"/>
            </w:tcMar>
            <w:shd w:fill="F2F4F7"/>
            <w:vAlign w:val="center"/>
          </w:tcPr>
          <w:p>
            <w:pPr>
              <w:spacing w:after="0"/>
            </w:pPr>
            <w:r>
              <w:rPr>
                <w:rFonts w:ascii="Arial" w:hAnsi="Arial"/>
                <w:b/>
                <w:color w:val="17365D"/>
                <w:sz w:val="14"/>
              </w:rPr>
              <w:t>Fit to this problem</w:t>
            </w:r>
          </w:p>
        </w:tc>
        <w:tc>
          <w:tcPr>
            <w:tcW w:type="dxa" w:w="3096"/>
            <w:tcMar>
              <w:top w:w="80" w:type="dxa"/>
              <w:start w:w="120" w:type="dxa"/>
              <w:bottom w:w="80" w:type="dxa"/>
              <w:end w:w="120" w:type="dxa"/>
            </w:tcMar>
            <w:shd w:fill="F2F4F7"/>
            <w:vAlign w:val="center"/>
          </w:tcPr>
          <w:p>
            <w:pPr>
              <w:spacing w:after="0"/>
            </w:pPr>
            <w:r>
              <w:rPr>
                <w:rFonts w:ascii="Arial" w:hAnsi="Arial"/>
                <w:b/>
                <w:color w:val="17365D"/>
                <w:sz w:val="14"/>
              </w:rPr>
              <w:t>Material limitation</w:t>
            </w:r>
          </w:p>
        </w:tc>
        <w:tc>
          <w:tcPr>
            <w:tcW w:type="dxa" w:w="1656"/>
            <w:tcMar>
              <w:top w:w="80" w:type="dxa"/>
              <w:start w:w="120" w:type="dxa"/>
              <w:bottom w:w="80" w:type="dxa"/>
              <w:end w:w="120" w:type="dxa"/>
            </w:tcMar>
            <w:shd w:fill="F2F4F7"/>
            <w:vAlign w:val="center"/>
          </w:tcPr>
          <w:p>
            <w:pPr>
              <w:spacing w:after="0"/>
            </w:pPr>
            <w:r>
              <w:rPr>
                <w:rFonts w:ascii="Arial" w:hAnsi="Arial"/>
                <w:b/>
                <w:color w:val="17365D"/>
                <w:sz w:val="14"/>
              </w:rPr>
              <w:t>Decision</w:t>
            </w:r>
          </w:p>
        </w:tc>
      </w:tr>
      <w:tr>
        <w:tc>
          <w:tcPr>
            <w:tcW w:type="dxa" w:w="1512"/>
            <w:tcMar>
              <w:top w:w="80" w:type="dxa"/>
              <w:start w:w="120" w:type="dxa"/>
              <w:bottom w:w="80" w:type="dxa"/>
              <w:end w:w="120" w:type="dxa"/>
            </w:tcMar>
            <w:vAlign w:val="top"/>
          </w:tcPr>
          <w:p>
            <w:pPr>
              <w:spacing w:after="0" w:line="240" w:lineRule="auto"/>
            </w:pPr>
            <w:r>
              <w:rPr>
                <w:rFonts w:ascii="Arial" w:hAnsi="Arial"/>
                <w:color w:val="243447"/>
                <w:sz w:val="14"/>
              </w:rPr>
              <w:t>LangGraph</w:t>
            </w:r>
          </w:p>
        </w:tc>
        <w:tc>
          <w:tcPr>
            <w:tcW w:type="dxa" w:w="2880"/>
            <w:tcMar>
              <w:top w:w="80" w:type="dxa"/>
              <w:start w:w="120" w:type="dxa"/>
              <w:bottom w:w="80" w:type="dxa"/>
              <w:end w:w="120" w:type="dxa"/>
            </w:tcMar>
            <w:vAlign w:val="top"/>
          </w:tcPr>
          <w:p>
            <w:pPr>
              <w:spacing w:after="0" w:line="240" w:lineRule="auto"/>
            </w:pPr>
            <w:r>
              <w:rPr>
                <w:rFonts w:ascii="Arial" w:hAnsi="Arial"/>
                <w:color w:val="243447"/>
                <w:sz w:val="14"/>
              </w:rPr>
              <w:t>Stateful graph, durable checkpoints, interrupts, replay, subgraphs and explicit reducers.[1–5]</w:t>
            </w:r>
          </w:p>
        </w:tc>
        <w:tc>
          <w:tcPr>
            <w:tcW w:type="dxa" w:w="3096"/>
            <w:tcMar>
              <w:top w:w="80" w:type="dxa"/>
              <w:start w:w="120" w:type="dxa"/>
              <w:bottom w:w="80" w:type="dxa"/>
              <w:end w:w="120" w:type="dxa"/>
            </w:tcMar>
            <w:vAlign w:val="top"/>
          </w:tcPr>
          <w:p>
            <w:pPr>
              <w:spacing w:after="0" w:line="240" w:lineRule="auto"/>
            </w:pPr>
            <w:r>
              <w:rPr>
                <w:rFonts w:ascii="Arial" w:hAnsi="Arial"/>
                <w:color w:val="243447"/>
                <w:sz w:val="14"/>
              </w:rPr>
              <w:t>Checkpoints are not a domain audit ledger; workflow code is not pinned to an in-flight run.[6]</w:t>
            </w:r>
          </w:p>
        </w:tc>
        <w:tc>
          <w:tcPr>
            <w:tcW w:type="dxa" w:w="1656"/>
            <w:tcMar>
              <w:top w:w="80" w:type="dxa"/>
              <w:start w:w="120" w:type="dxa"/>
              <w:bottom w:w="80" w:type="dxa"/>
              <w:end w:w="120" w:type="dxa"/>
            </w:tcMar>
            <w:vAlign w:val="top"/>
          </w:tcPr>
          <w:p>
            <w:pPr>
              <w:spacing w:after="0" w:line="240" w:lineRule="auto"/>
            </w:pPr>
            <w:r>
              <w:rPr>
                <w:rFonts w:ascii="Arial" w:hAnsi="Arial"/>
                <w:color w:val="243447"/>
                <w:sz w:val="14"/>
              </w:rPr>
              <w:t>Adopt as v1 kernel</w:t>
            </w:r>
          </w:p>
        </w:tc>
      </w:tr>
      <w:tr>
        <w:tc>
          <w:tcPr>
            <w:tcW w:type="dxa" w:w="1512"/>
            <w:tcMar>
              <w:top w:w="80" w:type="dxa"/>
              <w:start w:w="120" w:type="dxa"/>
              <w:bottom w:w="80" w:type="dxa"/>
              <w:end w:w="120" w:type="dxa"/>
            </w:tcMar>
            <w:vAlign w:val="top"/>
            <w:shd w:fill="FAFBFC"/>
          </w:tcPr>
          <w:p>
            <w:pPr>
              <w:spacing w:after="0" w:line="240" w:lineRule="auto"/>
            </w:pPr>
            <w:r>
              <w:rPr>
                <w:rFonts w:ascii="Arial" w:hAnsi="Arial"/>
                <w:color w:val="243447"/>
                <w:sz w:val="14"/>
              </w:rPr>
              <w:t>Temporal</w:t>
            </w:r>
          </w:p>
        </w:tc>
        <w:tc>
          <w:tcPr>
            <w:tcW w:type="dxa" w:w="2880"/>
            <w:tcMar>
              <w:top w:w="80" w:type="dxa"/>
              <w:start w:w="120" w:type="dxa"/>
              <w:bottom w:w="80" w:type="dxa"/>
              <w:end w:w="120" w:type="dxa"/>
            </w:tcMar>
            <w:vAlign w:val="top"/>
            <w:shd w:fill="FAFBFC"/>
          </w:tcPr>
          <w:p>
            <w:pPr>
              <w:spacing w:after="0" w:line="240" w:lineRule="auto"/>
            </w:pPr>
            <w:r>
              <w:rPr>
                <w:rFonts w:ascii="Arial" w:hAnsi="Arial"/>
                <w:color w:val="243447"/>
                <w:sz w:val="14"/>
              </w:rPr>
              <w:t>Excellent crash recovery for very long workflows; event-history model and durable timers.[7]</w:t>
            </w:r>
          </w:p>
        </w:tc>
        <w:tc>
          <w:tcPr>
            <w:tcW w:type="dxa" w:w="3096"/>
            <w:tcMar>
              <w:top w:w="80" w:type="dxa"/>
              <w:start w:w="120" w:type="dxa"/>
              <w:bottom w:w="80" w:type="dxa"/>
              <w:end w:w="120" w:type="dxa"/>
            </w:tcMar>
            <w:vAlign w:val="top"/>
            <w:shd w:fill="FAFBFC"/>
          </w:tcPr>
          <w:p>
            <w:pPr>
              <w:spacing w:after="0" w:line="240" w:lineRule="auto"/>
            </w:pPr>
            <w:r>
              <w:rPr>
                <w:rFonts w:ascii="Arial" w:hAnsi="Arial"/>
                <w:color w:val="243447"/>
                <w:sz w:val="14"/>
              </w:rPr>
              <w:t>Adds a second control plane and operational model; still requires evidence schemas and agent runtime.</w:t>
            </w:r>
          </w:p>
        </w:tc>
        <w:tc>
          <w:tcPr>
            <w:tcW w:type="dxa" w:w="1656"/>
            <w:tcMar>
              <w:top w:w="80" w:type="dxa"/>
              <w:start w:w="120" w:type="dxa"/>
              <w:bottom w:w="80" w:type="dxa"/>
              <w:end w:w="120" w:type="dxa"/>
            </w:tcMar>
            <w:vAlign w:val="top"/>
            <w:shd w:fill="FAFBFC"/>
          </w:tcPr>
          <w:p>
            <w:pPr>
              <w:spacing w:after="0" w:line="240" w:lineRule="auto"/>
            </w:pPr>
            <w:r>
              <w:rPr>
                <w:rFonts w:ascii="Arial" w:hAnsi="Arial"/>
                <w:color w:val="243447"/>
                <w:sz w:val="14"/>
              </w:rPr>
              <w:t>Defer; preserve upgrade path</w:t>
            </w:r>
          </w:p>
        </w:tc>
      </w:tr>
      <w:tr>
        <w:tc>
          <w:tcPr>
            <w:tcW w:type="dxa" w:w="1512"/>
            <w:tcMar>
              <w:top w:w="80" w:type="dxa"/>
              <w:start w:w="120" w:type="dxa"/>
              <w:bottom w:w="80" w:type="dxa"/>
              <w:end w:w="120" w:type="dxa"/>
            </w:tcMar>
            <w:vAlign w:val="top"/>
          </w:tcPr>
          <w:p>
            <w:pPr>
              <w:spacing w:after="0" w:line="240" w:lineRule="auto"/>
            </w:pPr>
            <w:r>
              <w:rPr>
                <w:rFonts w:ascii="Arial" w:hAnsi="Arial"/>
                <w:color w:val="243447"/>
                <w:sz w:val="14"/>
              </w:rPr>
              <w:t>OpenAI Agents SDK</w:t>
            </w:r>
          </w:p>
        </w:tc>
        <w:tc>
          <w:tcPr>
            <w:tcW w:type="dxa" w:w="2880"/>
            <w:tcMar>
              <w:top w:w="80" w:type="dxa"/>
              <w:start w:w="120" w:type="dxa"/>
              <w:bottom w:w="80" w:type="dxa"/>
              <w:end w:w="120" w:type="dxa"/>
            </w:tcMar>
            <w:vAlign w:val="top"/>
          </w:tcPr>
          <w:p>
            <w:pPr>
              <w:spacing w:after="0" w:line="240" w:lineRule="auto"/>
            </w:pPr>
            <w:r>
              <w:rPr>
                <w:rFonts w:ascii="Arial" w:hAnsi="Arial"/>
                <w:color w:val="243447"/>
                <w:sz w:val="14"/>
              </w:rPr>
              <w:t>Strong manager/tools/handoffs and integrated tracing; useful inside specialist nodes.[8–10]</w:t>
            </w:r>
          </w:p>
        </w:tc>
        <w:tc>
          <w:tcPr>
            <w:tcW w:type="dxa" w:w="3096"/>
            <w:tcMar>
              <w:top w:w="80" w:type="dxa"/>
              <w:start w:w="120" w:type="dxa"/>
              <w:bottom w:w="80" w:type="dxa"/>
              <w:end w:w="120" w:type="dxa"/>
            </w:tcMar>
            <w:vAlign w:val="top"/>
          </w:tcPr>
          <w:p>
            <w:pPr>
              <w:spacing w:after="0" w:line="240" w:lineRule="auto"/>
            </w:pPr>
            <w:r>
              <w:rPr>
                <w:rFonts w:ascii="Arial" w:hAnsi="Arial"/>
                <w:color w:val="243447"/>
                <w:sz w:val="14"/>
              </w:rPr>
              <w:t>Session/trace state is not a durable case/evidence system; provider-centric.</w:t>
            </w:r>
          </w:p>
        </w:tc>
        <w:tc>
          <w:tcPr>
            <w:tcW w:type="dxa" w:w="1656"/>
            <w:tcMar>
              <w:top w:w="80" w:type="dxa"/>
              <w:start w:w="120" w:type="dxa"/>
              <w:bottom w:w="80" w:type="dxa"/>
              <w:end w:w="120" w:type="dxa"/>
            </w:tcMar>
            <w:vAlign w:val="top"/>
          </w:tcPr>
          <w:p>
            <w:pPr>
              <w:spacing w:after="0" w:line="240" w:lineRule="auto"/>
            </w:pPr>
            <w:r>
              <w:rPr>
                <w:rFonts w:ascii="Arial" w:hAnsi="Arial"/>
                <w:color w:val="243447"/>
                <w:sz w:val="14"/>
              </w:rPr>
              <w:t>Optional node-level runtime</w:t>
            </w:r>
          </w:p>
        </w:tc>
      </w:tr>
      <w:tr>
        <w:tc>
          <w:tcPr>
            <w:tcW w:type="dxa" w:w="1512"/>
            <w:tcMar>
              <w:top w:w="80" w:type="dxa"/>
              <w:start w:w="120" w:type="dxa"/>
              <w:bottom w:w="80" w:type="dxa"/>
              <w:end w:w="120" w:type="dxa"/>
            </w:tcMar>
            <w:vAlign w:val="top"/>
            <w:shd w:fill="FAFBFC"/>
          </w:tcPr>
          <w:p>
            <w:pPr>
              <w:spacing w:after="0" w:line="240" w:lineRule="auto"/>
            </w:pPr>
            <w:r>
              <w:rPr>
                <w:rFonts w:ascii="Arial" w:hAnsi="Arial"/>
                <w:color w:val="243447"/>
                <w:sz w:val="14"/>
              </w:rPr>
              <w:t>AutoGen</w:t>
            </w:r>
          </w:p>
        </w:tc>
        <w:tc>
          <w:tcPr>
            <w:tcW w:type="dxa" w:w="2880"/>
            <w:tcMar>
              <w:top w:w="80" w:type="dxa"/>
              <w:start w:w="120" w:type="dxa"/>
              <w:bottom w:w="80" w:type="dxa"/>
              <w:end w:w="120" w:type="dxa"/>
            </w:tcMar>
            <w:vAlign w:val="top"/>
            <w:shd w:fill="FAFBFC"/>
          </w:tcPr>
          <w:p>
            <w:pPr>
              <w:spacing w:after="0" w:line="240" w:lineRule="auto"/>
            </w:pPr>
            <w:r>
              <w:rPr>
                <w:rFonts w:ascii="Arial" w:hAnsi="Arial"/>
                <w:color w:val="243447"/>
                <w:sz w:val="14"/>
              </w:rPr>
              <w:t>Flexible agent messaging and team state.[11]</w:t>
            </w:r>
          </w:p>
        </w:tc>
        <w:tc>
          <w:tcPr>
            <w:tcW w:type="dxa" w:w="3096"/>
            <w:tcMar>
              <w:top w:w="80" w:type="dxa"/>
              <w:start w:w="120" w:type="dxa"/>
              <w:bottom w:w="80" w:type="dxa"/>
              <w:end w:w="120" w:type="dxa"/>
            </w:tcMar>
            <w:vAlign w:val="top"/>
            <w:shd w:fill="FAFBFC"/>
          </w:tcPr>
          <w:p>
            <w:pPr>
              <w:spacing w:after="0" w:line="240" w:lineRule="auto"/>
            </w:pPr>
            <w:r>
              <w:rPr>
                <w:rFonts w:ascii="Arial" w:hAnsi="Arial"/>
                <w:color w:val="243447"/>
                <w:sz w:val="14"/>
              </w:rPr>
              <w:t>Distributed runtime is experimental; team state has consistency caveats while running.[11–12]</w:t>
            </w:r>
          </w:p>
        </w:tc>
        <w:tc>
          <w:tcPr>
            <w:tcW w:type="dxa" w:w="1656"/>
            <w:tcMar>
              <w:top w:w="80" w:type="dxa"/>
              <w:start w:w="120" w:type="dxa"/>
              <w:bottom w:w="80" w:type="dxa"/>
              <w:end w:w="120" w:type="dxa"/>
            </w:tcMar>
            <w:vAlign w:val="top"/>
            <w:shd w:fill="FAFBFC"/>
          </w:tcPr>
          <w:p>
            <w:pPr>
              <w:spacing w:after="0" w:line="240" w:lineRule="auto"/>
            </w:pPr>
            <w:r>
              <w:rPr>
                <w:rFonts w:ascii="Arial" w:hAnsi="Arial"/>
                <w:color w:val="243447"/>
                <w:sz w:val="14"/>
              </w:rPr>
              <w:t>Do not use as core</w:t>
            </w:r>
          </w:p>
        </w:tc>
      </w:tr>
      <w:tr>
        <w:tc>
          <w:tcPr>
            <w:tcW w:type="dxa" w:w="1512"/>
            <w:tcMar>
              <w:top w:w="80" w:type="dxa"/>
              <w:start w:w="120" w:type="dxa"/>
              <w:bottom w:w="80" w:type="dxa"/>
              <w:end w:w="120" w:type="dxa"/>
            </w:tcMar>
            <w:vAlign w:val="top"/>
          </w:tcPr>
          <w:p>
            <w:pPr>
              <w:spacing w:after="0" w:line="240" w:lineRule="auto"/>
            </w:pPr>
            <w:r>
              <w:rPr>
                <w:rFonts w:ascii="Arial" w:hAnsi="Arial"/>
                <w:color w:val="243447"/>
                <w:sz w:val="14"/>
              </w:rPr>
              <w:t>PydanticAI Graph</w:t>
            </w:r>
          </w:p>
        </w:tc>
        <w:tc>
          <w:tcPr>
            <w:tcW w:type="dxa" w:w="2880"/>
            <w:tcMar>
              <w:top w:w="80" w:type="dxa"/>
              <w:start w:w="120" w:type="dxa"/>
              <w:bottom w:w="80" w:type="dxa"/>
              <w:end w:w="120" w:type="dxa"/>
            </w:tcMar>
            <w:vAlign w:val="top"/>
          </w:tcPr>
          <w:p>
            <w:pPr>
              <w:spacing w:after="0" w:line="240" w:lineRule="auto"/>
            </w:pPr>
            <w:r>
              <w:rPr>
                <w:rFonts w:ascii="Arial" w:hAnsi="Arial"/>
                <w:color w:val="243447"/>
                <w:sz w:val="14"/>
              </w:rPr>
              <w:t>Typed Python and attractive minimal model/tool ergonomics.[13]</w:t>
            </w:r>
          </w:p>
        </w:tc>
        <w:tc>
          <w:tcPr>
            <w:tcW w:type="dxa" w:w="3096"/>
            <w:tcMar>
              <w:top w:w="80" w:type="dxa"/>
              <w:start w:w="120" w:type="dxa"/>
              <w:bottom w:w="80" w:type="dxa"/>
              <w:end w:w="120" w:type="dxa"/>
            </w:tcMar>
            <w:vAlign w:val="top"/>
          </w:tcPr>
          <w:p>
            <w:pPr>
              <w:spacing w:after="0" w:line="240" w:lineRule="auto"/>
            </w:pPr>
            <w:r>
              <w:rPr>
                <w:rFonts w:ascii="Arial" w:hAnsi="Arial"/>
                <w:color w:val="243447"/>
                <w:sz w:val="14"/>
              </w:rPr>
              <w:t>Graph API remains beta and would require more custom durability/audit work.</w:t>
            </w:r>
          </w:p>
        </w:tc>
        <w:tc>
          <w:tcPr>
            <w:tcW w:type="dxa" w:w="1656"/>
            <w:tcMar>
              <w:top w:w="80" w:type="dxa"/>
              <w:start w:w="120" w:type="dxa"/>
              <w:bottom w:w="80" w:type="dxa"/>
              <w:end w:w="120" w:type="dxa"/>
            </w:tcMar>
            <w:vAlign w:val="top"/>
          </w:tcPr>
          <w:p>
            <w:pPr>
              <w:spacing w:after="0" w:line="240" w:lineRule="auto"/>
            </w:pPr>
            <w:r>
              <w:rPr>
                <w:rFonts w:ascii="Arial" w:hAnsi="Arial"/>
                <w:color w:val="243447"/>
                <w:sz w:val="14"/>
              </w:rPr>
              <w:t>Re-evaluate later</w:t>
            </w:r>
          </w:p>
        </w:tc>
      </w:tr>
      <w:tr>
        <w:tc>
          <w:tcPr>
            <w:tcW w:type="dxa" w:w="1512"/>
            <w:tcMar>
              <w:top w:w="80" w:type="dxa"/>
              <w:start w:w="120" w:type="dxa"/>
              <w:bottom w:w="80" w:type="dxa"/>
              <w:end w:w="120" w:type="dxa"/>
            </w:tcMar>
            <w:vAlign w:val="top"/>
            <w:shd w:fill="FAFBFC"/>
          </w:tcPr>
          <w:p>
            <w:pPr>
              <w:spacing w:after="0" w:line="240" w:lineRule="auto"/>
            </w:pPr>
            <w:r>
              <w:rPr>
                <w:rFonts w:ascii="Arial" w:hAnsi="Arial"/>
                <w:color w:val="243447"/>
                <w:sz w:val="14"/>
              </w:rPr>
              <w:t>From scratch</w:t>
            </w:r>
          </w:p>
        </w:tc>
        <w:tc>
          <w:tcPr>
            <w:tcW w:type="dxa" w:w="2880"/>
            <w:tcMar>
              <w:top w:w="80" w:type="dxa"/>
              <w:start w:w="120" w:type="dxa"/>
              <w:bottom w:w="80" w:type="dxa"/>
              <w:end w:w="120" w:type="dxa"/>
            </w:tcMar>
            <w:vAlign w:val="top"/>
            <w:shd w:fill="FAFBFC"/>
          </w:tcPr>
          <w:p>
            <w:pPr>
              <w:spacing w:after="0" w:line="240" w:lineRule="auto"/>
            </w:pPr>
            <w:r>
              <w:rPr>
                <w:rFonts w:ascii="Arial" w:hAnsi="Arial"/>
                <w:color w:val="243447"/>
                <w:sz w:val="14"/>
              </w:rPr>
              <w:t>Maximum control over contracts.</w:t>
            </w:r>
          </w:p>
        </w:tc>
        <w:tc>
          <w:tcPr>
            <w:tcW w:type="dxa" w:w="3096"/>
            <w:tcMar>
              <w:top w:w="80" w:type="dxa"/>
              <w:start w:w="120" w:type="dxa"/>
              <w:bottom w:w="80" w:type="dxa"/>
              <w:end w:w="120" w:type="dxa"/>
            </w:tcMar>
            <w:vAlign w:val="top"/>
            <w:shd w:fill="FAFBFC"/>
          </w:tcPr>
          <w:p>
            <w:pPr>
              <w:spacing w:after="0" w:line="240" w:lineRule="auto"/>
            </w:pPr>
            <w:r>
              <w:rPr>
                <w:rFonts w:ascii="Arial" w:hAnsi="Arial"/>
                <w:color w:val="243447"/>
                <w:sz w:val="14"/>
              </w:rPr>
              <w:t>Highest implementation and correctness burden for retries, concurrency, resume, interrupts and migrations.</w:t>
            </w:r>
          </w:p>
        </w:tc>
        <w:tc>
          <w:tcPr>
            <w:tcW w:type="dxa" w:w="1656"/>
            <w:tcMar>
              <w:top w:w="80" w:type="dxa"/>
              <w:start w:w="120" w:type="dxa"/>
              <w:bottom w:w="80" w:type="dxa"/>
              <w:end w:w="120" w:type="dxa"/>
            </w:tcMar>
            <w:vAlign w:val="top"/>
            <w:shd w:fill="FAFBFC"/>
          </w:tcPr>
          <w:p>
            <w:pPr>
              <w:spacing w:after="0" w:line="240" w:lineRule="auto"/>
            </w:pPr>
            <w:r>
              <w:rPr>
                <w:rFonts w:ascii="Arial" w:hAnsi="Arial"/>
                <w:color w:val="243447"/>
                <w:sz w:val="14"/>
              </w:rPr>
              <w:t>Reject</w:t>
            </w:r>
          </w:p>
        </w:tc>
      </w:tr>
    </w:tbl>
    <w:p>
      <w:pPr>
        <w:spacing w:after="0"/>
      </w:pPr>
    </w:p>
    <w:p>
      <w:pPr>
        <w:pStyle w:val="Heading2"/>
      </w:pPr>
      <w:r>
        <w:t>9.1 Why LangGraph is a good candidate here</w:t>
      </w:r>
    </w:p>
    <w:p>
      <w:pPr>
        <w:pStyle w:val="ListBullet"/>
        <w:keepLines w:val="0"/>
      </w:pPr>
      <w:r>
        <w:t>The problem naturally forms a cyclic graph: acquire → resolve → reassess applicability → fill gaps → verify, with conditional branches and human interrupts.</w:t>
      </w:r>
    </w:p>
    <w:p>
      <w:pPr>
        <w:pStyle w:val="ListBullet"/>
        <w:keepLines w:val="0"/>
      </w:pPr>
      <w:r>
        <w:t>Checkpointed threads support pause/resume and external approvals without serializing all domain evidence into a prompt.[2,4]</w:t>
      </w:r>
    </w:p>
    <w:p>
      <w:pPr>
        <w:pStyle w:val="ListBullet"/>
        <w:keepLines w:val="0"/>
      </w:pPr>
      <w:r>
        <w:t>Reducers provide a natural enforcement point between untrusted agent proposals and authoritative case state.</w:t>
      </w:r>
    </w:p>
    <w:p>
      <w:pPr>
        <w:pStyle w:val="ListBullet"/>
        <w:keepLines w:val="0"/>
      </w:pPr>
      <w:r>
        <w:t>Reusable subgraphs plus dynamic dispatch align with team planners, work shards and isolated specialist runs without permanent agent processes.[3]</w:t>
      </w:r>
    </w:p>
    <w:p>
      <w:pPr>
        <w:pStyle w:val="ListBullet"/>
        <w:keepLines w:val="0"/>
      </w:pPr>
      <w:r>
        <w:t>Time-travel and checkpoint inspection are valuable for debugging orchestration decisions, provided they are not mistaken for reproducible evidence replay.[5]</w:t>
      </w:r>
    </w:p>
    <w:p>
      <w:pPr>
        <w:pStyle w:val="Heading2"/>
      </w:pPr>
      <w:r>
        <w:t>9.2 Why not LangGraph alone</w:t>
      </w:r>
    </w:p>
    <w:p>
      <w:pPr>
        <w:keepLines w:val="0"/>
      </w:pPr>
      <w:r>
        <w:t>LangGraph state is optimized for running the graph. It should not become the canonical repository for multi-megabyte PDFs, screenshots, versioned claims, asset history or legal audit retention. Keeping those concerns external also makes it possible to replace LangGraph later without migrating the evidence record.</w:t>
      </w:r>
    </w:p>
    <w:p>
      <w:pPr>
        <w:pStyle w:val="Heading2"/>
      </w:pPr>
      <w:r>
        <w:t>9.3 When Temporal becomes justified</w:t>
      </w:r>
    </w:p>
    <w:p>
      <w:pPr>
        <w:keepLines w:val="0"/>
      </w:pPr>
      <w:r>
        <w:t>Introduce Temporal as an outer workflow control plane only when several of the following become true: cases routinely live for weeks; there are many scheduled revision checks and external callbacks; exact recovery across infrastructure failures has a formal SLO; workflow versioning/migration dominates operations; there are hundreds of concurrent long waits; or regulated controls require a workflow event history independent of the agent runtime. At that point, run bounded LangGraph investigations as Temporal activities or child workflows. Do not operate two state machines on day one.</w:t>
      </w:r>
    </w:p>
    <w:p>
      <w:pPr>
        <w:spacing w:after="60"/>
      </w:pPr>
    </w:p>
    <w:p>
      <w:pPr>
        <w:pStyle w:val="Heading1"/>
      </w:pPr>
      <w:r>
        <w:t>10. Recommended v1 harness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800"/>
            <w:tcMar>
              <w:top w:w="80" w:type="dxa"/>
              <w:start w:w="120" w:type="dxa"/>
              <w:bottom w:w="80" w:type="dxa"/>
              <w:end w:w="120" w:type="dxa"/>
            </w:tcMar>
            <w:shd w:fill="F2F4F7"/>
            <w:vAlign w:val="center"/>
          </w:tcPr>
          <w:p>
            <w:pPr>
              <w:spacing w:after="0"/>
            </w:pPr>
            <w:r>
              <w:rPr>
                <w:rFonts w:ascii="Arial" w:hAnsi="Arial"/>
                <w:b/>
                <w:color w:val="17365D"/>
                <w:sz w:val="15"/>
              </w:rPr>
              <w:t>Layer</w:t>
            </w:r>
          </w:p>
        </w:tc>
        <w:tc>
          <w:tcPr>
            <w:tcW w:type="dxa" w:w="3816"/>
            <w:tcMar>
              <w:top w:w="80" w:type="dxa"/>
              <w:start w:w="120" w:type="dxa"/>
              <w:bottom w:w="80" w:type="dxa"/>
              <w:end w:w="120" w:type="dxa"/>
            </w:tcMar>
            <w:shd w:fill="F2F4F7"/>
            <w:vAlign w:val="center"/>
          </w:tcPr>
          <w:p>
            <w:pPr>
              <w:spacing w:after="0"/>
            </w:pPr>
            <w:r>
              <w:rPr>
                <w:rFonts w:ascii="Arial" w:hAnsi="Arial"/>
                <w:b/>
                <w:color w:val="17365D"/>
                <w:sz w:val="15"/>
              </w:rPr>
              <w:t>Recommended component</w:t>
            </w:r>
          </w:p>
        </w:tc>
        <w:tc>
          <w:tcPr>
            <w:tcW w:type="dxa" w:w="3528"/>
            <w:tcMar>
              <w:top w:w="80" w:type="dxa"/>
              <w:start w:w="120" w:type="dxa"/>
              <w:bottom w:w="80" w:type="dxa"/>
              <w:end w:w="120" w:type="dxa"/>
            </w:tcMar>
            <w:shd w:fill="F2F4F7"/>
            <w:vAlign w:val="center"/>
          </w:tcPr>
          <w:p>
            <w:pPr>
              <w:spacing w:after="0"/>
            </w:pPr>
            <w:r>
              <w:rPr>
                <w:rFonts w:ascii="Arial" w:hAnsi="Arial"/>
                <w:b/>
                <w:color w:val="17365D"/>
                <w:sz w:val="15"/>
              </w:rPr>
              <w:t>Boundary</w:t>
            </w:r>
          </w:p>
        </w:tc>
      </w:tr>
      <w:tr>
        <w:tc>
          <w:tcPr>
            <w:tcW w:type="dxa" w:w="1800"/>
            <w:tcMar>
              <w:top w:w="80" w:type="dxa"/>
              <w:start w:w="120" w:type="dxa"/>
              <w:bottom w:w="80" w:type="dxa"/>
              <w:end w:w="120" w:type="dxa"/>
            </w:tcMar>
            <w:vAlign w:val="top"/>
          </w:tcPr>
          <w:p>
            <w:pPr>
              <w:spacing w:after="0" w:line="240" w:lineRule="auto"/>
            </w:pPr>
            <w:r>
              <w:rPr>
                <w:rFonts w:ascii="Arial" w:hAnsi="Arial"/>
                <w:color w:val="243447"/>
                <w:sz w:val="15"/>
              </w:rPr>
              <w:t>Intake</w:t>
            </w:r>
          </w:p>
        </w:tc>
        <w:tc>
          <w:tcPr>
            <w:tcW w:type="dxa" w:w="3816"/>
            <w:tcMar>
              <w:top w:w="80" w:type="dxa"/>
              <w:start w:w="120" w:type="dxa"/>
              <w:bottom w:w="80" w:type="dxa"/>
              <w:end w:w="120" w:type="dxa"/>
            </w:tcMar>
            <w:vAlign w:val="top"/>
          </w:tcPr>
          <w:p>
            <w:pPr>
              <w:spacing w:after="0" w:line="240" w:lineRule="auto"/>
            </w:pPr>
            <w:r>
              <w:rPr>
                <w:rFonts w:ascii="Arial" w:hAnsi="Arial"/>
                <w:color w:val="243447"/>
                <w:sz w:val="15"/>
              </w:rPr>
              <w:t>CERT-In feed/index adapter + identifier repair</w:t>
            </w:r>
          </w:p>
        </w:tc>
        <w:tc>
          <w:tcPr>
            <w:tcW w:type="dxa" w:w="3528"/>
            <w:tcMar>
              <w:top w:w="80" w:type="dxa"/>
              <w:start w:w="120" w:type="dxa"/>
              <w:bottom w:w="80" w:type="dxa"/>
              <w:end w:w="120" w:type="dxa"/>
            </w:tcMar>
            <w:vAlign w:val="top"/>
          </w:tcPr>
          <w:p>
            <w:pPr>
              <w:spacing w:after="0" w:line="240" w:lineRule="auto"/>
            </w:pPr>
            <w:r>
              <w:rPr>
                <w:rFonts w:ascii="Arial" w:hAnsi="Arial"/>
                <w:color w:val="243447"/>
                <w:sz w:val="15"/>
              </w:rPr>
              <w:t>Creates seed records only</w:t>
            </w:r>
          </w:p>
        </w:tc>
      </w:tr>
      <w:tr>
        <w:tc>
          <w:tcPr>
            <w:tcW w:type="dxa" w:w="1800"/>
            <w:tcMar>
              <w:top w:w="80" w:type="dxa"/>
              <w:start w:w="120" w:type="dxa"/>
              <w:bottom w:w="80" w:type="dxa"/>
              <w:end w:w="120" w:type="dxa"/>
            </w:tcMar>
            <w:vAlign w:val="top"/>
            <w:shd w:fill="FAFBFC"/>
          </w:tcPr>
          <w:p>
            <w:pPr>
              <w:spacing w:after="0" w:line="240" w:lineRule="auto"/>
            </w:pPr>
            <w:r>
              <w:rPr>
                <w:rFonts w:ascii="Arial" w:hAnsi="Arial"/>
                <w:color w:val="243447"/>
                <w:sz w:val="15"/>
              </w:rPr>
              <w:t>Applicability</w:t>
            </w:r>
          </w:p>
        </w:tc>
        <w:tc>
          <w:tcPr>
            <w:tcW w:type="dxa" w:w="3816"/>
            <w:tcMar>
              <w:top w:w="80" w:type="dxa"/>
              <w:start w:w="120" w:type="dxa"/>
              <w:bottom w:w="80" w:type="dxa"/>
              <w:end w:w="120" w:type="dxa"/>
            </w:tcMar>
            <w:vAlign w:val="top"/>
            <w:shd w:fill="FAFBFC"/>
          </w:tcPr>
          <w:p>
            <w:pPr>
              <w:spacing w:after="0" w:line="240" w:lineRule="auto"/>
            </w:pPr>
            <w:r>
              <w:rPr>
                <w:rFonts w:ascii="Arial" w:hAnsi="Arial"/>
                <w:color w:val="243447"/>
                <w:sz w:val="15"/>
              </w:rPr>
              <w:t>Deterministic matcher over CMDB, software inventory, dependency/SBOM and telemetry indices</w:t>
            </w:r>
          </w:p>
        </w:tc>
        <w:tc>
          <w:tcPr>
            <w:tcW w:type="dxa" w:w="3528"/>
            <w:tcMar>
              <w:top w:w="80" w:type="dxa"/>
              <w:start w:w="120" w:type="dxa"/>
              <w:bottom w:w="80" w:type="dxa"/>
              <w:end w:w="120" w:type="dxa"/>
            </w:tcMar>
            <w:vAlign w:val="top"/>
            <w:shd w:fill="FAFBFC"/>
          </w:tcPr>
          <w:p>
            <w:pPr>
              <w:spacing w:after="0" w:line="240" w:lineRule="auto"/>
            </w:pPr>
            <w:r>
              <w:rPr>
                <w:rFonts w:ascii="Arial" w:hAnsi="Arial"/>
                <w:color w:val="243447"/>
                <w:sz w:val="15"/>
              </w:rPr>
              <w:t>Returns gate outcome + rationale</w:t>
            </w:r>
          </w:p>
        </w:tc>
      </w:tr>
      <w:tr>
        <w:tc>
          <w:tcPr>
            <w:tcW w:type="dxa" w:w="1800"/>
            <w:tcMar>
              <w:top w:w="80" w:type="dxa"/>
              <w:start w:w="120" w:type="dxa"/>
              <w:bottom w:w="80" w:type="dxa"/>
              <w:end w:w="120" w:type="dxa"/>
            </w:tcMar>
            <w:vAlign w:val="top"/>
          </w:tcPr>
          <w:p>
            <w:pPr>
              <w:spacing w:after="0" w:line="240" w:lineRule="auto"/>
            </w:pPr>
            <w:r>
              <w:rPr>
                <w:rFonts w:ascii="Arial" w:hAnsi="Arial"/>
                <w:color w:val="243447"/>
                <w:sz w:val="15"/>
              </w:rPr>
              <w:t>Case API</w:t>
            </w:r>
          </w:p>
        </w:tc>
        <w:tc>
          <w:tcPr>
            <w:tcW w:type="dxa" w:w="3816"/>
            <w:tcMar>
              <w:top w:w="80" w:type="dxa"/>
              <w:start w:w="120" w:type="dxa"/>
              <w:bottom w:w="80" w:type="dxa"/>
              <w:end w:w="120" w:type="dxa"/>
            </w:tcMar>
            <w:vAlign w:val="top"/>
          </w:tcPr>
          <w:p>
            <w:pPr>
              <w:spacing w:after="0" w:line="240" w:lineRule="auto"/>
            </w:pPr>
            <w:r>
              <w:rPr>
                <w:rFonts w:ascii="Arial" w:hAnsi="Arial"/>
                <w:color w:val="243447"/>
                <w:sz w:val="15"/>
              </w:rPr>
              <w:t>Python service with Pydantic contracts</w:t>
            </w:r>
          </w:p>
        </w:tc>
        <w:tc>
          <w:tcPr>
            <w:tcW w:type="dxa" w:w="3528"/>
            <w:tcMar>
              <w:top w:w="80" w:type="dxa"/>
              <w:start w:w="120" w:type="dxa"/>
              <w:bottom w:w="80" w:type="dxa"/>
              <w:end w:w="120" w:type="dxa"/>
            </w:tcMar>
            <w:vAlign w:val="top"/>
          </w:tcPr>
          <w:p>
            <w:pPr>
              <w:spacing w:after="0" w:line="240" w:lineRule="auto"/>
            </w:pPr>
            <w:r>
              <w:rPr>
                <w:rFonts w:ascii="Arial" w:hAnsi="Arial"/>
                <w:color w:val="243447"/>
                <w:sz w:val="15"/>
              </w:rPr>
              <w:t>Sole write gateway to case/event ledger</w:t>
            </w:r>
          </w:p>
        </w:tc>
      </w:tr>
      <w:tr>
        <w:tc>
          <w:tcPr>
            <w:tcW w:type="dxa" w:w="1800"/>
            <w:tcMar>
              <w:top w:w="80" w:type="dxa"/>
              <w:start w:w="120" w:type="dxa"/>
              <w:bottom w:w="80" w:type="dxa"/>
              <w:end w:w="120" w:type="dxa"/>
            </w:tcMar>
            <w:vAlign w:val="top"/>
            <w:shd w:fill="FAFBFC"/>
          </w:tcPr>
          <w:p>
            <w:pPr>
              <w:spacing w:after="0" w:line="240" w:lineRule="auto"/>
            </w:pPr>
            <w:r>
              <w:rPr>
                <w:rFonts w:ascii="Arial" w:hAnsi="Arial"/>
                <w:color w:val="243447"/>
                <w:sz w:val="15"/>
              </w:rPr>
              <w:t>Orchestration</w:t>
            </w:r>
          </w:p>
        </w:tc>
        <w:tc>
          <w:tcPr>
            <w:tcW w:type="dxa" w:w="3816"/>
            <w:tcMar>
              <w:top w:w="80" w:type="dxa"/>
              <w:start w:w="120" w:type="dxa"/>
              <w:bottom w:w="80" w:type="dxa"/>
              <w:end w:w="120" w:type="dxa"/>
            </w:tcMar>
            <w:vAlign w:val="top"/>
            <w:shd w:fill="FAFBFC"/>
          </w:tcPr>
          <w:p>
            <w:pPr>
              <w:spacing w:after="0" w:line="240" w:lineRule="auto"/>
            </w:pPr>
            <w:r>
              <w:rPr>
                <w:rFonts w:ascii="Arial" w:hAnsi="Arial"/>
                <w:color w:val="243447"/>
                <w:sz w:val="15"/>
              </w:rPr>
              <w:t>LangGraph StateGraph</w:t>
            </w:r>
          </w:p>
        </w:tc>
        <w:tc>
          <w:tcPr>
            <w:tcW w:type="dxa" w:w="3528"/>
            <w:tcMar>
              <w:top w:w="80" w:type="dxa"/>
              <w:start w:w="120" w:type="dxa"/>
              <w:bottom w:w="80" w:type="dxa"/>
              <w:end w:w="120" w:type="dxa"/>
            </w:tcMar>
            <w:vAlign w:val="top"/>
            <w:shd w:fill="FAFBFC"/>
          </w:tcPr>
          <w:p>
            <w:pPr>
              <w:spacing w:after="0" w:line="240" w:lineRule="auto"/>
            </w:pPr>
            <w:r>
              <w:rPr>
                <w:rFonts w:ascii="Arial" w:hAnsi="Arial"/>
                <w:color w:val="243447"/>
                <w:sz w:val="15"/>
              </w:rPr>
              <w:t>Routes work; stores references, not artifacts</w:t>
            </w:r>
          </w:p>
        </w:tc>
      </w:tr>
      <w:tr>
        <w:tc>
          <w:tcPr>
            <w:tcW w:type="dxa" w:w="1800"/>
            <w:tcMar>
              <w:top w:w="80" w:type="dxa"/>
              <w:start w:w="120" w:type="dxa"/>
              <w:bottom w:w="80" w:type="dxa"/>
              <w:end w:w="120" w:type="dxa"/>
            </w:tcMar>
            <w:vAlign w:val="top"/>
          </w:tcPr>
          <w:p>
            <w:pPr>
              <w:spacing w:after="0" w:line="240" w:lineRule="auto"/>
            </w:pPr>
            <w:r>
              <w:rPr>
                <w:rFonts w:ascii="Arial" w:hAnsi="Arial"/>
                <w:color w:val="243447"/>
                <w:sz w:val="15"/>
              </w:rPr>
              <w:t>Checkpointing</w:t>
            </w:r>
          </w:p>
        </w:tc>
        <w:tc>
          <w:tcPr>
            <w:tcW w:type="dxa" w:w="3816"/>
            <w:tcMar>
              <w:top w:w="80" w:type="dxa"/>
              <w:start w:w="120" w:type="dxa"/>
              <w:bottom w:w="80" w:type="dxa"/>
              <w:end w:w="120" w:type="dxa"/>
            </w:tcMar>
            <w:vAlign w:val="top"/>
          </w:tcPr>
          <w:p>
            <w:pPr>
              <w:spacing w:after="0" w:line="240" w:lineRule="auto"/>
            </w:pPr>
            <w:r>
              <w:rPr>
                <w:rFonts w:ascii="Arial" w:hAnsi="Arial"/>
                <w:color w:val="243447"/>
                <w:sz w:val="15"/>
              </w:rPr>
              <w:t>LangGraph Postgres checkpointer</w:t>
            </w:r>
          </w:p>
        </w:tc>
        <w:tc>
          <w:tcPr>
            <w:tcW w:type="dxa" w:w="3528"/>
            <w:tcMar>
              <w:top w:w="80" w:type="dxa"/>
              <w:start w:w="120" w:type="dxa"/>
              <w:bottom w:w="80" w:type="dxa"/>
              <w:end w:w="120" w:type="dxa"/>
            </w:tcMar>
            <w:vAlign w:val="top"/>
          </w:tcPr>
          <w:p>
            <w:pPr>
              <w:spacing w:after="0" w:line="240" w:lineRule="auto"/>
            </w:pPr>
            <w:r>
              <w:rPr>
                <w:rFonts w:ascii="Arial" w:hAnsi="Arial"/>
                <w:color w:val="243447"/>
                <w:sz w:val="15"/>
              </w:rPr>
              <w:t>Operational resume/debug state</w:t>
            </w:r>
          </w:p>
        </w:tc>
      </w:tr>
      <w:tr>
        <w:tc>
          <w:tcPr>
            <w:tcW w:type="dxa" w:w="1800"/>
            <w:tcMar>
              <w:top w:w="80" w:type="dxa"/>
              <w:start w:w="120" w:type="dxa"/>
              <w:bottom w:w="80" w:type="dxa"/>
              <w:end w:w="120" w:type="dxa"/>
            </w:tcMar>
            <w:vAlign w:val="top"/>
            <w:shd w:fill="FAFBFC"/>
          </w:tcPr>
          <w:p>
            <w:pPr>
              <w:spacing w:after="0" w:line="240" w:lineRule="auto"/>
            </w:pPr>
            <w:r>
              <w:rPr>
                <w:rFonts w:ascii="Arial" w:hAnsi="Arial"/>
                <w:color w:val="243447"/>
                <w:sz w:val="15"/>
              </w:rPr>
              <w:t>Domain state</w:t>
            </w:r>
          </w:p>
        </w:tc>
        <w:tc>
          <w:tcPr>
            <w:tcW w:type="dxa" w:w="3816"/>
            <w:tcMar>
              <w:top w:w="80" w:type="dxa"/>
              <w:start w:w="120" w:type="dxa"/>
              <w:bottom w:w="80" w:type="dxa"/>
              <w:end w:w="120" w:type="dxa"/>
            </w:tcMar>
            <w:vAlign w:val="top"/>
            <w:shd w:fill="FAFBFC"/>
          </w:tcPr>
          <w:p>
            <w:pPr>
              <w:spacing w:after="0" w:line="240" w:lineRule="auto"/>
            </w:pPr>
            <w:r>
              <w:rPr>
                <w:rFonts w:ascii="Arial" w:hAnsi="Arial"/>
                <w:color w:val="243447"/>
                <w:sz w:val="15"/>
              </w:rPr>
              <w:t>PostgreSQL append-only events + materialized views</w:t>
            </w:r>
          </w:p>
        </w:tc>
        <w:tc>
          <w:tcPr>
            <w:tcW w:type="dxa" w:w="3528"/>
            <w:tcMar>
              <w:top w:w="80" w:type="dxa"/>
              <w:start w:w="120" w:type="dxa"/>
              <w:bottom w:w="80" w:type="dxa"/>
              <w:end w:w="120" w:type="dxa"/>
            </w:tcMar>
            <w:vAlign w:val="top"/>
            <w:shd w:fill="FAFBFC"/>
          </w:tcPr>
          <w:p>
            <w:pPr>
              <w:spacing w:after="0" w:line="240" w:lineRule="auto"/>
            </w:pPr>
            <w:r>
              <w:rPr>
                <w:rFonts w:ascii="Arial" w:hAnsi="Arial"/>
                <w:color w:val="243447"/>
                <w:sz w:val="15"/>
              </w:rPr>
              <w:t>Authoritative case and claim state</w:t>
            </w:r>
          </w:p>
        </w:tc>
      </w:tr>
      <w:tr>
        <w:tc>
          <w:tcPr>
            <w:tcW w:type="dxa" w:w="1800"/>
            <w:tcMar>
              <w:top w:w="80" w:type="dxa"/>
              <w:start w:w="120" w:type="dxa"/>
              <w:bottom w:w="80" w:type="dxa"/>
              <w:end w:w="120" w:type="dxa"/>
            </w:tcMar>
            <w:vAlign w:val="top"/>
          </w:tcPr>
          <w:p>
            <w:pPr>
              <w:spacing w:after="0" w:line="240" w:lineRule="auto"/>
            </w:pPr>
            <w:r>
              <w:rPr>
                <w:rFonts w:ascii="Arial" w:hAnsi="Arial"/>
                <w:color w:val="243447"/>
                <w:sz w:val="15"/>
              </w:rPr>
              <w:t>Artifacts</w:t>
            </w:r>
          </w:p>
        </w:tc>
        <w:tc>
          <w:tcPr>
            <w:tcW w:type="dxa" w:w="3816"/>
            <w:tcMar>
              <w:top w:w="80" w:type="dxa"/>
              <w:start w:w="120" w:type="dxa"/>
              <w:bottom w:w="80" w:type="dxa"/>
              <w:end w:w="120" w:type="dxa"/>
            </w:tcMar>
            <w:vAlign w:val="top"/>
          </w:tcPr>
          <w:p>
            <w:pPr>
              <w:spacing w:after="0" w:line="240" w:lineRule="auto"/>
            </w:pPr>
            <w:r>
              <w:rPr>
                <w:rFonts w:ascii="Arial" w:hAnsi="Arial"/>
                <w:color w:val="243447"/>
                <w:sz w:val="15"/>
              </w:rPr>
              <w:t>S3-compatible object store with object lock/versioning</w:t>
            </w:r>
          </w:p>
        </w:tc>
        <w:tc>
          <w:tcPr>
            <w:tcW w:type="dxa" w:w="3528"/>
            <w:tcMar>
              <w:top w:w="80" w:type="dxa"/>
              <w:start w:w="120" w:type="dxa"/>
              <w:bottom w:w="80" w:type="dxa"/>
              <w:end w:w="120" w:type="dxa"/>
            </w:tcMar>
            <w:vAlign w:val="top"/>
          </w:tcPr>
          <w:p>
            <w:pPr>
              <w:spacing w:after="0" w:line="240" w:lineRule="auto"/>
            </w:pPr>
            <w:r>
              <w:rPr>
                <w:rFonts w:ascii="Arial" w:hAnsi="Arial"/>
                <w:color w:val="243447"/>
                <w:sz w:val="15"/>
              </w:rPr>
              <w:t>Immutable raw evidence by SHA-256</w:t>
            </w:r>
          </w:p>
        </w:tc>
      </w:tr>
      <w:tr>
        <w:tc>
          <w:tcPr>
            <w:tcW w:type="dxa" w:w="1800"/>
            <w:tcMar>
              <w:top w:w="80" w:type="dxa"/>
              <w:start w:w="120" w:type="dxa"/>
              <w:bottom w:w="80" w:type="dxa"/>
              <w:end w:w="120" w:type="dxa"/>
            </w:tcMar>
            <w:vAlign w:val="top"/>
            <w:shd w:fill="FAFBFC"/>
          </w:tcPr>
          <w:p>
            <w:pPr>
              <w:spacing w:after="0" w:line="240" w:lineRule="auto"/>
            </w:pPr>
            <w:r>
              <w:rPr>
                <w:rFonts w:ascii="Arial" w:hAnsi="Arial"/>
                <w:color w:val="243447"/>
                <w:sz w:val="15"/>
              </w:rPr>
              <w:t>Specialist runs</w:t>
            </w:r>
          </w:p>
        </w:tc>
        <w:tc>
          <w:tcPr>
            <w:tcW w:type="dxa" w:w="3816"/>
            <w:tcMar>
              <w:top w:w="80" w:type="dxa"/>
              <w:start w:w="120" w:type="dxa"/>
              <w:bottom w:w="80" w:type="dxa"/>
              <w:end w:w="120" w:type="dxa"/>
            </w:tcMar>
            <w:vAlign w:val="top"/>
            <w:shd w:fill="FAFBFC"/>
          </w:tcPr>
          <w:p>
            <w:pPr>
              <w:spacing w:after="0" w:line="240" w:lineRule="auto"/>
            </w:pPr>
            <w:r>
              <w:rPr>
                <w:rFonts w:ascii="Arial" w:hAnsi="Arial"/>
                <w:color w:val="243447"/>
                <w:sz w:val="15"/>
              </w:rPr>
              <w:t>Reusable team subgraphs + capability registry</w:t>
            </w:r>
          </w:p>
        </w:tc>
        <w:tc>
          <w:tcPr>
            <w:tcW w:type="dxa" w:w="3528"/>
            <w:tcMar>
              <w:top w:w="80" w:type="dxa"/>
              <w:start w:w="120" w:type="dxa"/>
              <w:bottom w:w="80" w:type="dxa"/>
              <w:end w:w="120" w:type="dxa"/>
            </w:tcMar>
            <w:vAlign w:val="top"/>
            <w:shd w:fill="FAFBFC"/>
          </w:tcPr>
          <w:p>
            <w:pPr>
              <w:spacing w:after="0" w:line="240" w:lineRule="auto"/>
            </w:pPr>
            <w:r>
              <w:rPr>
                <w:rFonts w:ascii="Arial" w:hAnsi="Arial"/>
                <w:color w:val="243447"/>
                <w:sz w:val="15"/>
              </w:rPr>
              <w:t>Ephemeral isolated runs; no direct DB mutation</w:t>
            </w:r>
          </w:p>
        </w:tc>
      </w:tr>
      <w:tr>
        <w:tc>
          <w:tcPr>
            <w:tcW w:type="dxa" w:w="1800"/>
            <w:tcMar>
              <w:top w:w="80" w:type="dxa"/>
              <w:start w:w="120" w:type="dxa"/>
              <w:bottom w:w="80" w:type="dxa"/>
              <w:end w:w="120" w:type="dxa"/>
            </w:tcMar>
            <w:vAlign w:val="top"/>
          </w:tcPr>
          <w:p>
            <w:pPr>
              <w:spacing w:after="0" w:line="240" w:lineRule="auto"/>
            </w:pPr>
            <w:r>
              <w:rPr>
                <w:rFonts w:ascii="Arial" w:hAnsi="Arial"/>
                <w:color w:val="243447"/>
                <w:sz w:val="15"/>
              </w:rPr>
              <w:t>Queue</w:t>
            </w:r>
          </w:p>
        </w:tc>
        <w:tc>
          <w:tcPr>
            <w:tcW w:type="dxa" w:w="3816"/>
            <w:tcMar>
              <w:top w:w="80" w:type="dxa"/>
              <w:start w:w="120" w:type="dxa"/>
              <w:bottom w:w="80" w:type="dxa"/>
              <w:end w:w="120" w:type="dxa"/>
            </w:tcMar>
            <w:vAlign w:val="top"/>
          </w:tcPr>
          <w:p>
            <w:pPr>
              <w:spacing w:after="0" w:line="240" w:lineRule="auto"/>
            </w:pPr>
            <w:r>
              <w:rPr>
                <w:rFonts w:ascii="Arial" w:hAnsi="Arial"/>
                <w:color w:val="243447"/>
                <w:sz w:val="15"/>
              </w:rPr>
              <w:t>Postgres-backed queue initially; dedicated broker only at scale</w:t>
            </w:r>
          </w:p>
        </w:tc>
        <w:tc>
          <w:tcPr>
            <w:tcW w:type="dxa" w:w="3528"/>
            <w:tcMar>
              <w:top w:w="80" w:type="dxa"/>
              <w:start w:w="120" w:type="dxa"/>
              <w:bottom w:w="80" w:type="dxa"/>
              <w:end w:w="120" w:type="dxa"/>
            </w:tcMar>
            <w:vAlign w:val="top"/>
          </w:tcPr>
          <w:p>
            <w:pPr>
              <w:spacing w:after="0" w:line="240" w:lineRule="auto"/>
            </w:pPr>
            <w:r>
              <w:rPr>
                <w:rFonts w:ascii="Arial" w:hAnsi="Arial"/>
                <w:color w:val="243447"/>
                <w:sz w:val="15"/>
              </w:rPr>
              <w:t>Leases work orders and enforces idempotency</w:t>
            </w:r>
          </w:p>
        </w:tc>
      </w:tr>
      <w:tr>
        <w:tc>
          <w:tcPr>
            <w:tcW w:type="dxa" w:w="1800"/>
            <w:tcMar>
              <w:top w:w="80" w:type="dxa"/>
              <w:start w:w="120" w:type="dxa"/>
              <w:bottom w:w="80" w:type="dxa"/>
              <w:end w:w="120" w:type="dxa"/>
            </w:tcMar>
            <w:vAlign w:val="top"/>
            <w:shd w:fill="FAFBFC"/>
          </w:tcPr>
          <w:p>
            <w:pPr>
              <w:spacing w:after="0" w:line="240" w:lineRule="auto"/>
            </w:pPr>
            <w:r>
              <w:rPr>
                <w:rFonts w:ascii="Arial" w:hAnsi="Arial"/>
                <w:color w:val="243447"/>
                <w:sz w:val="15"/>
              </w:rPr>
              <w:t>Observability</w:t>
            </w:r>
          </w:p>
        </w:tc>
        <w:tc>
          <w:tcPr>
            <w:tcW w:type="dxa" w:w="3816"/>
            <w:tcMar>
              <w:top w:w="80" w:type="dxa"/>
              <w:start w:w="120" w:type="dxa"/>
              <w:bottom w:w="80" w:type="dxa"/>
              <w:end w:w="120" w:type="dxa"/>
            </w:tcMar>
            <w:vAlign w:val="top"/>
            <w:shd w:fill="FAFBFC"/>
          </w:tcPr>
          <w:p>
            <w:pPr>
              <w:spacing w:after="0" w:line="240" w:lineRule="auto"/>
            </w:pPr>
            <w:r>
              <w:rPr>
                <w:rFonts w:ascii="Arial" w:hAnsi="Arial"/>
                <w:color w:val="243447"/>
                <w:sz w:val="15"/>
              </w:rPr>
              <w:t>OpenTelemetry; optional LangSmith</w:t>
            </w:r>
          </w:p>
        </w:tc>
        <w:tc>
          <w:tcPr>
            <w:tcW w:type="dxa" w:w="3528"/>
            <w:tcMar>
              <w:top w:w="80" w:type="dxa"/>
              <w:start w:w="120" w:type="dxa"/>
              <w:bottom w:w="80" w:type="dxa"/>
              <w:end w:w="120" w:type="dxa"/>
            </w:tcMar>
            <w:vAlign w:val="top"/>
            <w:shd w:fill="FAFBFC"/>
          </w:tcPr>
          <w:p>
            <w:pPr>
              <w:spacing w:after="0" w:line="240" w:lineRule="auto"/>
            </w:pPr>
            <w:r>
              <w:rPr>
                <w:rFonts w:ascii="Arial" w:hAnsi="Arial"/>
                <w:color w:val="243447"/>
                <w:sz w:val="15"/>
              </w:rPr>
              <w:t>Metrics/traces/logs, not audit authority</w:t>
            </w:r>
          </w:p>
        </w:tc>
      </w:tr>
      <w:tr>
        <w:tc>
          <w:tcPr>
            <w:tcW w:type="dxa" w:w="1800"/>
            <w:tcMar>
              <w:top w:w="80" w:type="dxa"/>
              <w:start w:w="120" w:type="dxa"/>
              <w:bottom w:w="80" w:type="dxa"/>
              <w:end w:w="120" w:type="dxa"/>
            </w:tcMar>
            <w:vAlign w:val="top"/>
          </w:tcPr>
          <w:p>
            <w:pPr>
              <w:spacing w:after="0" w:line="240" w:lineRule="auto"/>
            </w:pPr>
            <w:r>
              <w:rPr>
                <w:rFonts w:ascii="Arial" w:hAnsi="Arial"/>
                <w:color w:val="243447"/>
                <w:sz w:val="15"/>
              </w:rPr>
              <w:t>Review</w:t>
            </w:r>
          </w:p>
        </w:tc>
        <w:tc>
          <w:tcPr>
            <w:tcW w:type="dxa" w:w="3816"/>
            <w:tcMar>
              <w:top w:w="80" w:type="dxa"/>
              <w:start w:w="120" w:type="dxa"/>
              <w:bottom w:w="80" w:type="dxa"/>
              <w:end w:w="120" w:type="dxa"/>
            </w:tcMar>
            <w:vAlign w:val="top"/>
          </w:tcPr>
          <w:p>
            <w:pPr>
              <w:spacing w:after="0" w:line="240" w:lineRule="auto"/>
            </w:pPr>
            <w:r>
              <w:rPr>
                <w:rFonts w:ascii="Arial" w:hAnsi="Arial"/>
                <w:color w:val="243447"/>
                <w:sz w:val="15"/>
              </w:rPr>
              <w:t>Minimal reviewer UI/API</w:t>
            </w:r>
          </w:p>
        </w:tc>
        <w:tc>
          <w:tcPr>
            <w:tcW w:type="dxa" w:w="3528"/>
            <w:tcMar>
              <w:top w:w="80" w:type="dxa"/>
              <w:start w:w="120" w:type="dxa"/>
              <w:bottom w:w="80" w:type="dxa"/>
              <w:end w:w="120" w:type="dxa"/>
            </w:tcMar>
            <w:vAlign w:val="top"/>
          </w:tcPr>
          <w:p>
            <w:pPr>
              <w:spacing w:after="0" w:line="240" w:lineRule="auto"/>
            </w:pPr>
            <w:r>
              <w:rPr>
                <w:rFonts w:ascii="Arial" w:hAnsi="Arial"/>
                <w:color w:val="243447"/>
                <w:sz w:val="15"/>
              </w:rPr>
              <w:t>Contradictions, approvals, source inspection</w:t>
            </w:r>
          </w:p>
        </w:tc>
      </w:tr>
      <w:tr>
        <w:tc>
          <w:tcPr>
            <w:tcW w:type="dxa" w:w="1800"/>
            <w:tcMar>
              <w:top w:w="80" w:type="dxa"/>
              <w:start w:w="120" w:type="dxa"/>
              <w:bottom w:w="80" w:type="dxa"/>
              <w:end w:w="120" w:type="dxa"/>
            </w:tcMar>
            <w:vAlign w:val="top"/>
            <w:shd w:fill="FAFBFC"/>
          </w:tcPr>
          <w:p>
            <w:pPr>
              <w:spacing w:after="0" w:line="240" w:lineRule="auto"/>
            </w:pPr>
            <w:r>
              <w:rPr>
                <w:rFonts w:ascii="Arial" w:hAnsi="Arial"/>
                <w:color w:val="243447"/>
                <w:sz w:val="15"/>
              </w:rPr>
              <w:t>Outputs</w:t>
            </w:r>
          </w:p>
        </w:tc>
        <w:tc>
          <w:tcPr>
            <w:tcW w:type="dxa" w:w="3816"/>
            <w:tcMar>
              <w:top w:w="80" w:type="dxa"/>
              <w:start w:w="120" w:type="dxa"/>
              <w:bottom w:w="80" w:type="dxa"/>
              <w:end w:w="120" w:type="dxa"/>
            </w:tcMar>
            <w:vAlign w:val="top"/>
            <w:shd w:fill="FAFBFC"/>
          </w:tcPr>
          <w:p>
            <w:pPr>
              <w:spacing w:after="0" w:line="240" w:lineRule="auto"/>
            </w:pPr>
            <w:r>
              <w:rPr>
                <w:rFonts w:ascii="Arial" w:hAnsi="Arial"/>
                <w:color w:val="243447"/>
                <w:sz w:val="15"/>
              </w:rPr>
              <w:t>Ticket and notification connectors</w:t>
            </w:r>
          </w:p>
        </w:tc>
        <w:tc>
          <w:tcPr>
            <w:tcW w:type="dxa" w:w="3528"/>
            <w:tcMar>
              <w:top w:w="80" w:type="dxa"/>
              <w:start w:w="120" w:type="dxa"/>
              <w:bottom w:w="80" w:type="dxa"/>
              <w:end w:w="120" w:type="dxa"/>
            </w:tcMar>
            <w:vAlign w:val="top"/>
            <w:shd w:fill="FAFBFC"/>
          </w:tcPr>
          <w:p>
            <w:pPr>
              <w:spacing w:after="0" w:line="240" w:lineRule="auto"/>
            </w:pPr>
            <w:r>
              <w:rPr>
                <w:rFonts w:ascii="Arial" w:hAnsi="Arial"/>
                <w:color w:val="243447"/>
                <w:sz w:val="15"/>
              </w:rPr>
              <w:t>Side effects require approval + idempotency key</w:t>
            </w:r>
          </w:p>
        </w:tc>
      </w:tr>
    </w:tbl>
    <w:p>
      <w:pPr>
        <w:spacing w:after="0"/>
      </w:pPr>
    </w:p>
    <w:p>
      <w:pPr>
        <w:pStyle w:val="Heading2"/>
      </w:pPr>
      <w:r>
        <w:t>10.1 Controller graph</w:t>
      </w:r>
    </w:p>
    <w:tbl>
      <w:tblPr>
        <w:tblW w:type="auto" w:w="0"/>
        <w:jc w:val="center"/>
        <w:tblLook w:firstColumn="1" w:firstRow="1" w:lastColumn="0" w:lastRow="0" w:noHBand="0" w:noVBand="1" w:val="04A0"/>
      </w:tblPr>
      <w:tblGrid>
        <w:gridCol w:w="9360"/>
      </w:tblGrid>
      <w:tr>
        <w:trPr>
          <w:cantSplit/>
        </w:trPr>
        <w:tc>
          <w:tcPr>
            <w:tcW w:type="dxa" w:w="9360"/>
            <w:shd w:fill="F6F8FA"/>
            <w:tcMar>
              <w:top w:w="110" w:type="dxa"/>
              <w:start w:w="140" w:type="dxa"/>
              <w:bottom w:w="110" w:type="dxa"/>
              <w:end w:w="140" w:type="dxa"/>
            </w:tcMar>
            <w:tcBorders>
              <w:top w:sz="6" w:val="single" w:color="D0D5DD" w:space="0"/>
              <w:left w:sz="6" w:val="single" w:color="D0D5DD" w:space="0"/>
              <w:bottom w:sz="6" w:val="single" w:color="D0D5DD" w:space="0"/>
              <w:right w:sz="6" w:val="single" w:color="D0D5DD" w:space="0"/>
            </w:tcBorders>
          </w:tcPr>
          <w:p>
            <w:pPr>
              <w:spacing w:after="0"/>
            </w:pPr>
            <w:r>
              <w:rPr>
                <w:rFonts w:ascii="Consolas" w:hAnsi="Consolas"/>
                <w:color w:val="243447"/>
                <w:sz w:val="16"/>
              </w:rPr>
              <w:t>intake_seed → applicability_gate</w:t>
              <w:br/>
            </w:r>
            <w:r>
              <w:rPr>
                <w:rFonts w:ascii="Consolas" w:hAnsi="Consolas"/>
                <w:color w:val="243447"/>
                <w:sz w:val="16"/>
              </w:rPr>
              <w:t xml:space="preserve">  ├─ dormant_record</w:t>
              <w:br/>
            </w:r>
            <w:r>
              <w:rPr>
                <w:rFonts w:ascii="Consolas" w:hAnsi="Consolas"/>
                <w:color w:val="243447"/>
                <w:sz w:val="16"/>
              </w:rPr>
              <w:t xml:space="preserve">  └─ open_case → materialize_blackboard → derive_coverage → select_team</w:t>
              <w:br/>
            </w:r>
            <w:r>
              <w:rPr>
                <w:rFonts w:ascii="Consolas" w:hAnsi="Consolas"/>
                <w:color w:val="243447"/>
                <w:sz w:val="16"/>
              </w:rPr>
              <w:t xml:space="preserve">       → team_planner → Send(work_shards) × N → isolated runs</w:t>
              <w:br/>
            </w:r>
            <w:r>
              <w:rPr>
                <w:rFonts w:ascii="Consolas" w:hAnsi="Consolas"/>
                <w:color w:val="243447"/>
                <w:sz w:val="16"/>
              </w:rPr>
              <w:t xml:space="preserve">       → team_reducer → validate_delta → append_events → refresh_blackboard</w:t>
              <w:br/>
            </w:r>
            <w:r>
              <w:rPr>
                <w:rFonts w:ascii="Consolas" w:hAnsi="Consolas"/>
                <w:color w:val="243447"/>
                <w:sz w:val="16"/>
              </w:rPr>
              <w:t xml:space="preserve">       → derive_coverage</w:t>
              <w:br/>
            </w:r>
            <w:r>
              <w:rPr>
                <w:rFonts w:ascii="Consolas" w:hAnsi="Consolas"/>
                <w:color w:val="243447"/>
                <w:sz w:val="16"/>
              </w:rPr>
              <w:t xml:space="preserve">          ├─ dispatch_next_wave</w:t>
              <w:br/>
            </w:r>
            <w:r>
              <w:rPr>
                <w:rFonts w:ascii="Consolas" w:hAnsi="Consolas"/>
                <w:color w:val="243447"/>
                <w:sz w:val="16"/>
              </w:rPr>
              <w:t xml:space="preserve">          ├─ interrupt_for_review</w:t>
              <w:br/>
            </w:r>
            <w:r>
              <w:rPr>
                <w:rFonts w:ascii="Consolas" w:hAnsi="Consolas"/>
                <w:color w:val="243447"/>
                <w:sz w:val="16"/>
              </w:rPr>
              <w:t xml:space="preserve">          ├─ close_or_block</w:t>
              <w:br/>
            </w:r>
            <w:r>
              <w:rPr>
                <w:rFonts w:ascii="Consolas" w:hAnsi="Consolas"/>
                <w:color w:val="243447"/>
                <w:sz w:val="16"/>
              </w:rPr>
              <w:t xml:space="preserve">          └─ schedule_revision_watch</w:t>
            </w:r>
          </w:p>
        </w:tc>
      </w:tr>
    </w:tbl>
    <w:p>
      <w:pPr>
        <w:pStyle w:val="Heading2"/>
      </w:pPr>
      <w:r>
        <w:t>10.2 Acquisition arsenal</w:t>
      </w:r>
    </w:p>
    <w:p>
      <w:pPr>
        <w:keepLines w:val="0"/>
      </w:pPr>
      <w:r>
        <w:t>The acquisition team receives a capability registry rather than a fixed page workflow: raw HTTP, rendered browser, network/XHR capture, link and redirect inspection, image detection/OCR, native-and-OCR PDF extraction, CSAF/VEX/CVRF/JSON parsers, archive/cache access, identifier/URL repair, hashing and content deduplication. The team scout chooses shard boundaries from artifact observations; every run and tool invocation is logged.</w:t>
      </w:r>
    </w:p>
    <w:p>
      <w:pPr>
        <w:pStyle w:val="Heading2"/>
      </w:pPr>
      <w:r>
        <w:t>10.3 Remediation scaling rule</w:t>
      </w:r>
    </w:p>
    <w:p>
      <w:pPr>
        <w:keepLines w:val="0"/>
      </w:pPr>
      <w:r>
        <w:t>Do not create a standing remediation swarm. One composer should normally synthesize the verified affected assets, fixed targets and operational context. Create domain shards only when plans can be grounded independently—for example Windows endpoint, Linux package, SaaS configuration and network appliance—or when separate internal knowledge bases and owners are required. The reducer must still produce one coherent change set, dependency order and rollback boundary.</w:t>
      </w:r>
    </w:p>
    <w:p>
      <w:pPr>
        <w:pStyle w:val="Heading2"/>
      </w:pPr>
      <w:r>
        <w:t>10.4 Security controls</w:t>
      </w:r>
    </w:p>
    <w:p>
      <w:pPr>
        <w:pStyle w:val="ListBullet"/>
        <w:keepLines w:val="0"/>
      </w:pPr>
      <w:r>
        <w:t>Treat all page content as untrusted data; strip or quarantine instructions found in sources.</w:t>
      </w:r>
    </w:p>
    <w:p>
      <w:pPr>
        <w:pStyle w:val="ListBullet"/>
        <w:keepLines w:val="0"/>
      </w:pPr>
      <w:r>
        <w:t>Tool allowlists per role, network egress policy, read-only acquisition credentials and isolated browser profiles.</w:t>
      </w:r>
    </w:p>
    <w:p>
      <w:pPr>
        <w:pStyle w:val="ListBullet"/>
        <w:keepLines w:val="0"/>
      </w:pPr>
      <w:r>
        <w:t>No direct ticketing, code execution or external messaging from acquisition/resolution roles.</w:t>
      </w:r>
    </w:p>
    <w:p>
      <w:pPr>
        <w:pStyle w:val="ListBullet"/>
        <w:keepLines w:val="0"/>
      </w:pPr>
      <w:r>
        <w:t>One-off scripts run in a sandbox, emit a signed manifest and cannot receive broader secrets than the work order requires.</w:t>
      </w:r>
    </w:p>
    <w:p>
      <w:pPr>
        <w:pStyle w:val="ListBullet"/>
        <w:keepLines w:val="0"/>
      </w:pPr>
      <w:r>
        <w:t>Tool outputs carry size limits, MIME validation, malware scanning and provenance metadata.</w:t>
      </w:r>
    </w:p>
    <w:p>
      <w:pPr>
        <w:spacing w:after="60"/>
      </w:pPr>
    </w:p>
    <w:p>
      <w:pPr>
        <w:pStyle w:val="Heading1"/>
      </w:pPr>
      <w:r>
        <w:t>11. Build sequence</w:t>
      </w:r>
    </w:p>
    <w:p>
      <w:pPr>
        <w:keepLines w:val="0"/>
      </w:pPr>
      <w:r>
        <w:t>The harness should be built in vertical slices. Each slice proves an evidence and audit property; it should not begin with a large autonomous-agent platform.</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728"/>
            <w:tcMar>
              <w:top w:w="80" w:type="dxa"/>
              <w:start w:w="120" w:type="dxa"/>
              <w:bottom w:w="80" w:type="dxa"/>
              <w:end w:w="120" w:type="dxa"/>
            </w:tcMar>
            <w:shd w:fill="F2F4F7"/>
            <w:vAlign w:val="center"/>
          </w:tcPr>
          <w:p>
            <w:pPr>
              <w:spacing w:after="0"/>
            </w:pPr>
            <w:r>
              <w:rPr>
                <w:rFonts w:ascii="Arial" w:hAnsi="Arial"/>
                <w:b/>
                <w:color w:val="17365D"/>
                <w:sz w:val="15"/>
              </w:rPr>
              <w:t>Slice</w:t>
            </w:r>
          </w:p>
        </w:tc>
        <w:tc>
          <w:tcPr>
            <w:tcW w:type="dxa" w:w="5328"/>
            <w:tcMar>
              <w:top w:w="80" w:type="dxa"/>
              <w:start w:w="120" w:type="dxa"/>
              <w:bottom w:w="80" w:type="dxa"/>
              <w:end w:w="120" w:type="dxa"/>
            </w:tcMar>
            <w:shd w:fill="F2F4F7"/>
            <w:vAlign w:val="center"/>
          </w:tcPr>
          <w:p>
            <w:pPr>
              <w:spacing w:after="0"/>
            </w:pPr>
            <w:r>
              <w:rPr>
                <w:rFonts w:ascii="Arial" w:hAnsi="Arial"/>
                <w:b/>
                <w:color w:val="17365D"/>
                <w:sz w:val="15"/>
              </w:rPr>
              <w:t>Scope</w:t>
            </w:r>
          </w:p>
        </w:tc>
        <w:tc>
          <w:tcPr>
            <w:tcW w:type="dxa" w:w="2088"/>
            <w:tcMar>
              <w:top w:w="80" w:type="dxa"/>
              <w:start w:w="120" w:type="dxa"/>
              <w:bottom w:w="80" w:type="dxa"/>
              <w:end w:w="120" w:type="dxa"/>
            </w:tcMar>
            <w:shd w:fill="F2F4F7"/>
            <w:vAlign w:val="center"/>
          </w:tcPr>
          <w:p>
            <w:pPr>
              <w:spacing w:after="0"/>
            </w:pPr>
            <w:r>
              <w:rPr>
                <w:rFonts w:ascii="Arial" w:hAnsi="Arial"/>
                <w:b/>
                <w:color w:val="17365D"/>
                <w:sz w:val="15"/>
              </w:rPr>
              <w:t>Exit test</w:t>
            </w:r>
          </w:p>
        </w:tc>
      </w:tr>
      <w:tr>
        <w:tc>
          <w:tcPr>
            <w:tcW w:type="dxa" w:w="1728"/>
            <w:tcMar>
              <w:top w:w="80" w:type="dxa"/>
              <w:start w:w="120" w:type="dxa"/>
              <w:bottom w:w="80" w:type="dxa"/>
              <w:end w:w="120" w:type="dxa"/>
            </w:tcMar>
            <w:vAlign w:val="top"/>
          </w:tcPr>
          <w:p>
            <w:pPr>
              <w:spacing w:after="0" w:line="240" w:lineRule="auto"/>
            </w:pPr>
            <w:r>
              <w:rPr>
                <w:rFonts w:ascii="Arial" w:hAnsi="Arial"/>
                <w:color w:val="243447"/>
                <w:sz w:val="15"/>
              </w:rPr>
              <w:t>0 — Contracts and fixtures</w:t>
            </w:r>
          </w:p>
        </w:tc>
        <w:tc>
          <w:tcPr>
            <w:tcW w:type="dxa" w:w="5328"/>
            <w:tcMar>
              <w:top w:w="80" w:type="dxa"/>
              <w:start w:w="120" w:type="dxa"/>
              <w:bottom w:w="80" w:type="dxa"/>
              <w:end w:w="120" w:type="dxa"/>
            </w:tcMar>
            <w:vAlign w:val="top"/>
          </w:tcPr>
          <w:p>
            <w:pPr>
              <w:spacing w:after="0" w:line="240" w:lineRule="auto"/>
            </w:pPr>
            <w:r>
              <w:rPr>
                <w:rFonts w:ascii="Arial" w:hAnsi="Arial"/>
                <w:color w:val="243447"/>
                <w:sz w:val="15"/>
              </w:rPr>
              <w:t>Define CaseEvent, EvidenceDelta, WorkOrder, claim/provenance and asset-state schemas. Create regression fixtures from image-table SAP, JS-only Microsoft, CSAF/PDF Schneider, mega-page Oracle and broken-link DD-WRT cases.</w:t>
            </w:r>
          </w:p>
        </w:tc>
        <w:tc>
          <w:tcPr>
            <w:tcW w:type="dxa" w:w="2088"/>
            <w:tcMar>
              <w:top w:w="80" w:type="dxa"/>
              <w:start w:w="120" w:type="dxa"/>
              <w:bottom w:w="80" w:type="dxa"/>
              <w:end w:w="120" w:type="dxa"/>
            </w:tcMar>
            <w:vAlign w:val="top"/>
          </w:tcPr>
          <w:p>
            <w:pPr>
              <w:spacing w:after="0" w:line="240" w:lineRule="auto"/>
            </w:pPr>
            <w:r>
              <w:rPr>
                <w:rFonts w:ascii="Arial" w:hAnsi="Arial"/>
                <w:color w:val="243447"/>
                <w:sz w:val="15"/>
              </w:rPr>
              <w:t>Schemas versioned; fixtures reproduce known failures</w:t>
            </w:r>
          </w:p>
        </w:tc>
      </w:tr>
      <w:tr>
        <w:tc>
          <w:tcPr>
            <w:tcW w:type="dxa" w:w="1728"/>
            <w:tcMar>
              <w:top w:w="80" w:type="dxa"/>
              <w:start w:w="120" w:type="dxa"/>
              <w:bottom w:w="80" w:type="dxa"/>
              <w:end w:w="120" w:type="dxa"/>
            </w:tcMar>
            <w:vAlign w:val="top"/>
            <w:shd w:fill="FAFBFC"/>
          </w:tcPr>
          <w:p>
            <w:pPr>
              <w:spacing w:after="0" w:line="240" w:lineRule="auto"/>
            </w:pPr>
            <w:r>
              <w:rPr>
                <w:rFonts w:ascii="Arial" w:hAnsi="Arial"/>
                <w:color w:val="243447"/>
                <w:sz w:val="15"/>
              </w:rPr>
              <w:t>1 — Single-case vertical slice</w:t>
            </w:r>
          </w:p>
        </w:tc>
        <w:tc>
          <w:tcPr>
            <w:tcW w:type="dxa" w:w="5328"/>
            <w:tcMar>
              <w:top w:w="80" w:type="dxa"/>
              <w:start w:w="120" w:type="dxa"/>
              <w:bottom w:w="80" w:type="dxa"/>
              <w:end w:w="120" w:type="dxa"/>
            </w:tcMar>
            <w:vAlign w:val="top"/>
            <w:shd w:fill="FAFBFC"/>
          </w:tcPr>
          <w:p>
            <w:pPr>
              <w:spacing w:after="0" w:line="240" w:lineRule="auto"/>
            </w:pPr>
            <w:r>
              <w:rPr>
                <w:rFonts w:ascii="Arial" w:hAnsi="Arial"/>
                <w:color w:val="243447"/>
                <w:sz w:val="15"/>
              </w:rPr>
              <w:t>Seed → applicability → one acquisition run → claims → reviewer → investigation/remediation output. PostgreSQL ledger, object store, blackboard materializer and one LangGraph thread.</w:t>
            </w:r>
          </w:p>
        </w:tc>
        <w:tc>
          <w:tcPr>
            <w:tcW w:type="dxa" w:w="2088"/>
            <w:tcMar>
              <w:top w:w="80" w:type="dxa"/>
              <w:start w:w="120" w:type="dxa"/>
              <w:bottom w:w="80" w:type="dxa"/>
              <w:end w:w="120" w:type="dxa"/>
            </w:tcMar>
            <w:vAlign w:val="top"/>
            <w:shd w:fill="FAFBFC"/>
          </w:tcPr>
          <w:p>
            <w:pPr>
              <w:spacing w:after="0" w:line="240" w:lineRule="auto"/>
            </w:pPr>
            <w:r>
              <w:rPr>
                <w:rFonts w:ascii="Arial" w:hAnsi="Arial"/>
                <w:color w:val="243447"/>
                <w:sz w:val="15"/>
              </w:rPr>
              <w:t>A case and blackboard can be rebuilt from artifacts and ledger</w:t>
            </w:r>
          </w:p>
        </w:tc>
      </w:tr>
      <w:tr>
        <w:tc>
          <w:tcPr>
            <w:tcW w:type="dxa" w:w="1728"/>
            <w:tcMar>
              <w:top w:w="80" w:type="dxa"/>
              <w:start w:w="120" w:type="dxa"/>
              <w:bottom w:w="80" w:type="dxa"/>
              <w:end w:w="120" w:type="dxa"/>
            </w:tcMar>
            <w:vAlign w:val="top"/>
          </w:tcPr>
          <w:p>
            <w:pPr>
              <w:spacing w:after="0" w:line="240" w:lineRule="auto"/>
            </w:pPr>
            <w:r>
              <w:rPr>
                <w:rFonts w:ascii="Arial" w:hAnsi="Arial"/>
                <w:color w:val="243447"/>
                <w:sz w:val="15"/>
              </w:rPr>
              <w:t>2 — Elastic teams</w:t>
            </w:r>
          </w:p>
        </w:tc>
        <w:tc>
          <w:tcPr>
            <w:tcW w:type="dxa" w:w="5328"/>
            <w:tcMar>
              <w:top w:w="80" w:type="dxa"/>
              <w:start w:w="120" w:type="dxa"/>
              <w:bottom w:w="80" w:type="dxa"/>
              <w:end w:w="120" w:type="dxa"/>
            </w:tcMar>
            <w:vAlign w:val="top"/>
          </w:tcPr>
          <w:p>
            <w:pPr>
              <w:spacing w:after="0" w:line="240" w:lineRule="auto"/>
            </w:pPr>
            <w:r>
              <w:rPr>
                <w:rFonts w:ascii="Arial" w:hAnsi="Arial"/>
                <w:color w:val="243447"/>
                <w:sz w:val="15"/>
              </w:rPr>
              <w:t>Add team planners, typed shards, dynamic fan-out, team memory, leases, reducers, contradiction sets, loop detection and budgets.</w:t>
            </w:r>
          </w:p>
        </w:tc>
        <w:tc>
          <w:tcPr>
            <w:tcW w:type="dxa" w:w="2088"/>
            <w:tcMar>
              <w:top w:w="80" w:type="dxa"/>
              <w:start w:w="120" w:type="dxa"/>
              <w:bottom w:w="80" w:type="dxa"/>
              <w:end w:w="120" w:type="dxa"/>
            </w:tcMar>
            <w:vAlign w:val="top"/>
          </w:tcPr>
          <w:p>
            <w:pPr>
              <w:spacing w:after="0" w:line="240" w:lineRule="auto"/>
            </w:pPr>
            <w:r>
              <w:rPr>
                <w:rFonts w:ascii="Arial" w:hAnsi="Arial"/>
                <w:color w:val="243447"/>
                <w:sz w:val="15"/>
              </w:rPr>
              <w:t>Parallel runs never duplicate leases; conflicts are preserved</w:t>
            </w:r>
          </w:p>
        </w:tc>
      </w:tr>
      <w:tr>
        <w:tc>
          <w:tcPr>
            <w:tcW w:type="dxa" w:w="1728"/>
            <w:tcMar>
              <w:top w:w="80" w:type="dxa"/>
              <w:start w:w="120" w:type="dxa"/>
              <w:bottom w:w="80" w:type="dxa"/>
              <w:end w:w="120" w:type="dxa"/>
            </w:tcMar>
            <w:vAlign w:val="top"/>
            <w:shd w:fill="FAFBFC"/>
          </w:tcPr>
          <w:p>
            <w:pPr>
              <w:spacing w:after="0" w:line="240" w:lineRule="auto"/>
            </w:pPr>
            <w:r>
              <w:rPr>
                <w:rFonts w:ascii="Arial" w:hAnsi="Arial"/>
                <w:color w:val="243447"/>
                <w:sz w:val="15"/>
              </w:rPr>
              <w:t>3 — Operationalization</w:t>
            </w:r>
          </w:p>
        </w:tc>
        <w:tc>
          <w:tcPr>
            <w:tcW w:type="dxa" w:w="5328"/>
            <w:tcMar>
              <w:top w:w="80" w:type="dxa"/>
              <w:start w:w="120" w:type="dxa"/>
              <w:bottom w:w="80" w:type="dxa"/>
              <w:end w:w="120" w:type="dxa"/>
            </w:tcMar>
            <w:vAlign w:val="top"/>
            <w:shd w:fill="FAFBFC"/>
          </w:tcPr>
          <w:p>
            <w:pPr>
              <w:spacing w:after="0" w:line="240" w:lineRule="auto"/>
            </w:pPr>
            <w:r>
              <w:rPr>
                <w:rFonts w:ascii="Arial" w:hAnsi="Arial"/>
                <w:color w:val="243447"/>
                <w:sz w:val="15"/>
              </w:rPr>
              <w:t>Revision watches, human interrupts, ticket connectors, dashboards, signed case heads, retention and access controls.</w:t>
            </w:r>
          </w:p>
        </w:tc>
        <w:tc>
          <w:tcPr>
            <w:tcW w:type="dxa" w:w="2088"/>
            <w:tcMar>
              <w:top w:w="80" w:type="dxa"/>
              <w:start w:w="120" w:type="dxa"/>
              <w:bottom w:w="80" w:type="dxa"/>
              <w:end w:w="120" w:type="dxa"/>
            </w:tcMar>
            <w:vAlign w:val="top"/>
            <w:shd w:fill="FAFBFC"/>
          </w:tcPr>
          <w:p>
            <w:pPr>
              <w:spacing w:after="0" w:line="240" w:lineRule="auto"/>
            </w:pPr>
            <w:r>
              <w:rPr>
                <w:rFonts w:ascii="Arial" w:hAnsi="Arial"/>
                <w:color w:val="243447"/>
                <w:sz w:val="15"/>
              </w:rPr>
              <w:t>SLOs, audit export and controlled side effects</w:t>
            </w:r>
          </w:p>
        </w:tc>
      </w:tr>
      <w:tr>
        <w:tc>
          <w:tcPr>
            <w:tcW w:type="dxa" w:w="1728"/>
            <w:tcMar>
              <w:top w:w="80" w:type="dxa"/>
              <w:start w:w="120" w:type="dxa"/>
              <w:bottom w:w="80" w:type="dxa"/>
              <w:end w:w="120" w:type="dxa"/>
            </w:tcMar>
            <w:vAlign w:val="top"/>
          </w:tcPr>
          <w:p>
            <w:pPr>
              <w:spacing w:after="0" w:line="240" w:lineRule="auto"/>
            </w:pPr>
            <w:r>
              <w:rPr>
                <w:rFonts w:ascii="Arial" w:hAnsi="Arial"/>
                <w:color w:val="243447"/>
                <w:sz w:val="15"/>
              </w:rPr>
              <w:t>4 — Scale review</w:t>
            </w:r>
          </w:p>
        </w:tc>
        <w:tc>
          <w:tcPr>
            <w:tcW w:type="dxa" w:w="5328"/>
            <w:tcMar>
              <w:top w:w="80" w:type="dxa"/>
              <w:start w:w="120" w:type="dxa"/>
              <w:bottom w:w="80" w:type="dxa"/>
              <w:end w:w="120" w:type="dxa"/>
            </w:tcMar>
            <w:vAlign w:val="top"/>
          </w:tcPr>
          <w:p>
            <w:pPr>
              <w:spacing w:after="0" w:line="240" w:lineRule="auto"/>
            </w:pPr>
            <w:r>
              <w:rPr>
                <w:rFonts w:ascii="Arial" w:hAnsi="Arial"/>
                <w:color w:val="243447"/>
                <w:sz w:val="15"/>
              </w:rPr>
              <w:t>Measure long waits, case duration, retries and migration burden. Decide whether Temporal or a dedicated broker is warranted.</w:t>
            </w:r>
          </w:p>
        </w:tc>
        <w:tc>
          <w:tcPr>
            <w:tcW w:type="dxa" w:w="2088"/>
            <w:tcMar>
              <w:top w:w="80" w:type="dxa"/>
              <w:start w:w="120" w:type="dxa"/>
              <w:bottom w:w="80" w:type="dxa"/>
              <w:end w:w="120" w:type="dxa"/>
            </w:tcMar>
            <w:vAlign w:val="top"/>
          </w:tcPr>
          <w:p>
            <w:pPr>
              <w:spacing w:after="0" w:line="240" w:lineRule="auto"/>
            </w:pPr>
            <w:r>
              <w:rPr>
                <w:rFonts w:ascii="Arial" w:hAnsi="Arial"/>
                <w:color w:val="243447"/>
                <w:sz w:val="15"/>
              </w:rPr>
              <w:t>Decision based on observed thresholds, not architecture fashion</w:t>
            </w:r>
          </w:p>
        </w:tc>
      </w:tr>
    </w:tbl>
    <w:p>
      <w:pPr>
        <w:spacing w:after="0"/>
      </w:pPr>
    </w:p>
    <w:p>
      <w:pPr>
        <w:pStyle w:val="Heading2"/>
      </w:pPr>
      <w:r>
        <w:t>11.1 Minimum evaluation suite</w:t>
      </w:r>
    </w:p>
    <w:p>
      <w:pPr>
        <w:pStyle w:val="ListBullet"/>
        <w:keepLines w:val="0"/>
      </w:pPr>
      <w:r>
        <w:t>Acquisition recall: CVE/product/version rows recovered across DOM, image, PDF and machine feed; identifier-set differences detected.</w:t>
      </w:r>
    </w:p>
    <w:p>
      <w:pPr>
        <w:pStyle w:val="ListBullet"/>
        <w:keepLines w:val="0"/>
      </w:pPr>
      <w:r>
        <w:t>Claim precision: exact vulnerable/fixed ranges and source authority retained without flattening contradictory severity.</w:t>
      </w:r>
    </w:p>
    <w:p>
      <w:pPr>
        <w:pStyle w:val="ListBullet"/>
        <w:keepLines w:val="0"/>
      </w:pPr>
      <w:r>
        <w:t>Applicability correctness: aliases, versions, configurations and embedded-component edges produce explainable states.</w:t>
      </w:r>
    </w:p>
    <w:p>
      <w:pPr>
        <w:pStyle w:val="ListBullet"/>
        <w:keepLines w:val="0"/>
      </w:pPr>
      <w:r>
        <w:t>Loop resilience: repeated actions, zero-delta turns and stable failures terminate or escalate within policy limits.</w:t>
      </w:r>
    </w:p>
    <w:p>
      <w:pPr>
        <w:pStyle w:val="ListBullet"/>
        <w:keepLines w:val="0"/>
      </w:pPr>
      <w:r>
        <w:t>Audit completeness: every output sentence maps to claim IDs and every claim maps to immutable artifact locators.</w:t>
      </w:r>
    </w:p>
    <w:p>
      <w:pPr>
        <w:pStyle w:val="ListBullet"/>
        <w:keepLines w:val="0"/>
      </w:pPr>
      <w:r>
        <w:t>Recovery: kill a worker/controller mid-step; resume without duplicate claims, tickets or notifications.</w:t>
      </w:r>
    </w:p>
    <w:p>
      <w:pPr>
        <w:pStyle w:val="ListBullet"/>
        <w:keepLines w:val="0"/>
      </w:pPr>
      <w:r>
        <w:t>Memory isolation: scratch, team, session, blackboard and capability memories cannot silently overwrite one another.</w:t>
      </w:r>
    </w:p>
    <w:p>
      <w:pPr>
        <w:pStyle w:val="ListBullet"/>
        <w:keepLines w:val="0"/>
      </w:pPr>
      <w:r>
        <w:t>Migration: resume a checkpoint after a graph/schema version change only through an explicit compatible/migrate/fork decision.</w:t>
      </w:r>
    </w:p>
    <w:p>
      <w:pPr>
        <w:pStyle w:val="Heading2"/>
      </w:pPr>
      <w:r>
        <w:t>11.2 Initial service-level targets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tcMar>
              <w:top w:w="80" w:type="dxa"/>
              <w:start w:w="120" w:type="dxa"/>
              <w:bottom w:w="80" w:type="dxa"/>
              <w:end w:w="120" w:type="dxa"/>
            </w:tcMar>
            <w:shd w:fill="F2F4F7"/>
            <w:vAlign w:val="center"/>
          </w:tcPr>
          <w:p>
            <w:pPr>
              <w:spacing w:after="0"/>
            </w:pPr>
            <w:r>
              <w:rPr>
                <w:rFonts w:ascii="Arial" w:hAnsi="Arial"/>
                <w:b/>
                <w:color w:val="17365D"/>
                <w:sz w:val="17"/>
              </w:rPr>
              <w:t>Measure</w:t>
            </w:r>
          </w:p>
        </w:tc>
        <w:tc>
          <w:tcPr>
            <w:tcW w:type="dxa" w:w="6264"/>
            <w:tcMar>
              <w:top w:w="80" w:type="dxa"/>
              <w:start w:w="120" w:type="dxa"/>
              <w:bottom w:w="80" w:type="dxa"/>
              <w:end w:w="120" w:type="dxa"/>
            </w:tcMar>
            <w:shd w:fill="F2F4F7"/>
            <w:vAlign w:val="center"/>
          </w:tcPr>
          <w:p>
            <w:pPr>
              <w:spacing w:after="0"/>
            </w:pPr>
            <w:r>
              <w:rPr>
                <w:rFonts w:ascii="Arial" w:hAnsi="Arial"/>
                <w:b/>
                <w:color w:val="17365D"/>
                <w:sz w:val="17"/>
              </w:rPr>
              <w:t>Initial target</w:t>
            </w:r>
          </w:p>
        </w:tc>
      </w:tr>
      <w:tr>
        <w:tc>
          <w:tcPr>
            <w:tcW w:type="dxa" w:w="2880"/>
            <w:tcMar>
              <w:top w:w="80" w:type="dxa"/>
              <w:start w:w="120" w:type="dxa"/>
              <w:bottom w:w="80" w:type="dxa"/>
              <w:end w:w="120" w:type="dxa"/>
            </w:tcMar>
            <w:vAlign w:val="top"/>
          </w:tcPr>
          <w:p>
            <w:pPr>
              <w:spacing w:after="0" w:line="240" w:lineRule="auto"/>
            </w:pPr>
            <w:r>
              <w:rPr>
                <w:rFonts w:ascii="Arial" w:hAnsi="Arial"/>
                <w:color w:val="243447"/>
                <w:sz w:val="17"/>
              </w:rPr>
              <w:t>Seed-to-gate latency</w:t>
            </w:r>
          </w:p>
        </w:tc>
        <w:tc>
          <w:tcPr>
            <w:tcW w:type="dxa" w:w="6264"/>
            <w:tcMar>
              <w:top w:w="80" w:type="dxa"/>
              <w:start w:w="120" w:type="dxa"/>
              <w:bottom w:w="80" w:type="dxa"/>
              <w:end w:w="120" w:type="dxa"/>
            </w:tcMar>
            <w:vAlign w:val="top"/>
          </w:tcPr>
          <w:p>
            <w:pPr>
              <w:spacing w:after="0" w:line="240" w:lineRule="auto"/>
            </w:pPr>
            <w:r>
              <w:rPr>
                <w:rFonts w:ascii="Arial" w:hAnsi="Arial"/>
                <w:color w:val="243447"/>
                <w:sz w:val="17"/>
              </w:rPr>
              <w:t>&lt; 60 seconds for indexed inventory</w:t>
            </w:r>
          </w:p>
        </w:tc>
      </w:tr>
      <w:tr>
        <w:tc>
          <w:tcPr>
            <w:tcW w:type="dxa" w:w="2880"/>
            <w:tcMar>
              <w:top w:w="80" w:type="dxa"/>
              <w:start w:w="120" w:type="dxa"/>
              <w:bottom w:w="80" w:type="dxa"/>
              <w:end w:w="120" w:type="dxa"/>
            </w:tcMar>
            <w:vAlign w:val="top"/>
            <w:shd w:fill="FAFBFC"/>
          </w:tcPr>
          <w:p>
            <w:pPr>
              <w:spacing w:after="0" w:line="240" w:lineRule="auto"/>
            </w:pPr>
            <w:r>
              <w:rPr>
                <w:rFonts w:ascii="Arial" w:hAnsi="Arial"/>
                <w:color w:val="243447"/>
                <w:sz w:val="17"/>
              </w:rPr>
              <w:t>Audit linkage</w:t>
            </w:r>
          </w:p>
        </w:tc>
        <w:tc>
          <w:tcPr>
            <w:tcW w:type="dxa" w:w="6264"/>
            <w:tcMar>
              <w:top w:w="80" w:type="dxa"/>
              <w:start w:w="120" w:type="dxa"/>
              <w:bottom w:w="80" w:type="dxa"/>
              <w:end w:w="120" w:type="dxa"/>
            </w:tcMar>
            <w:vAlign w:val="top"/>
            <w:shd w:fill="FAFBFC"/>
          </w:tcPr>
          <w:p>
            <w:pPr>
              <w:spacing w:after="0" w:line="240" w:lineRule="auto"/>
            </w:pPr>
            <w:r>
              <w:rPr>
                <w:rFonts w:ascii="Arial" w:hAnsi="Arial"/>
                <w:color w:val="243447"/>
                <w:sz w:val="17"/>
              </w:rPr>
              <w:t>100% of accepted claims have artifact and locator</w:t>
            </w:r>
          </w:p>
        </w:tc>
      </w:tr>
      <w:tr>
        <w:tc>
          <w:tcPr>
            <w:tcW w:type="dxa" w:w="2880"/>
            <w:tcMar>
              <w:top w:w="80" w:type="dxa"/>
              <w:start w:w="120" w:type="dxa"/>
              <w:bottom w:w="80" w:type="dxa"/>
              <w:end w:w="120" w:type="dxa"/>
            </w:tcMar>
            <w:vAlign w:val="top"/>
          </w:tcPr>
          <w:p>
            <w:pPr>
              <w:spacing w:after="0" w:line="240" w:lineRule="auto"/>
            </w:pPr>
            <w:r>
              <w:rPr>
                <w:rFonts w:ascii="Arial" w:hAnsi="Arial"/>
                <w:color w:val="243447"/>
                <w:sz w:val="17"/>
              </w:rPr>
              <w:t>Side-effect idempotency</w:t>
            </w:r>
          </w:p>
        </w:tc>
        <w:tc>
          <w:tcPr>
            <w:tcW w:type="dxa" w:w="6264"/>
            <w:tcMar>
              <w:top w:w="80" w:type="dxa"/>
              <w:start w:w="120" w:type="dxa"/>
              <w:bottom w:w="80" w:type="dxa"/>
              <w:end w:w="120" w:type="dxa"/>
            </w:tcMar>
            <w:vAlign w:val="top"/>
          </w:tcPr>
          <w:p>
            <w:pPr>
              <w:spacing w:after="0" w:line="240" w:lineRule="auto"/>
            </w:pPr>
            <w:r>
              <w:rPr>
                <w:rFonts w:ascii="Arial" w:hAnsi="Arial"/>
                <w:color w:val="243447"/>
                <w:sz w:val="17"/>
              </w:rPr>
              <w:t>Zero duplicate tickets/notifications in recovery tests</w:t>
            </w:r>
          </w:p>
        </w:tc>
      </w:tr>
      <w:tr>
        <w:tc>
          <w:tcPr>
            <w:tcW w:type="dxa" w:w="2880"/>
            <w:tcMar>
              <w:top w:w="80" w:type="dxa"/>
              <w:start w:w="120" w:type="dxa"/>
              <w:bottom w:w="80" w:type="dxa"/>
              <w:end w:w="120" w:type="dxa"/>
            </w:tcMar>
            <w:vAlign w:val="top"/>
            <w:shd w:fill="FAFBFC"/>
          </w:tcPr>
          <w:p>
            <w:pPr>
              <w:spacing w:after="0" w:line="240" w:lineRule="auto"/>
            </w:pPr>
            <w:r>
              <w:rPr>
                <w:rFonts w:ascii="Arial" w:hAnsi="Arial"/>
                <w:color w:val="243447"/>
                <w:sz w:val="17"/>
              </w:rPr>
              <w:t>Unknown-state honesty</w:t>
            </w:r>
          </w:p>
        </w:tc>
        <w:tc>
          <w:tcPr>
            <w:tcW w:type="dxa" w:w="6264"/>
            <w:tcMar>
              <w:top w:w="80" w:type="dxa"/>
              <w:start w:w="120" w:type="dxa"/>
              <w:bottom w:w="80" w:type="dxa"/>
              <w:end w:w="120" w:type="dxa"/>
            </w:tcMar>
            <w:vAlign w:val="top"/>
            <w:shd w:fill="FAFBFC"/>
          </w:tcPr>
          <w:p>
            <w:pPr>
              <w:spacing w:after="0" w:line="240" w:lineRule="auto"/>
            </w:pPr>
            <w:r>
              <w:rPr>
                <w:rFonts w:ascii="Arial" w:hAnsi="Arial"/>
                <w:color w:val="243447"/>
                <w:sz w:val="17"/>
              </w:rPr>
              <w:t>100% of unknown asset states include named gap and owner</w:t>
            </w:r>
          </w:p>
        </w:tc>
      </w:tr>
      <w:tr>
        <w:tc>
          <w:tcPr>
            <w:tcW w:type="dxa" w:w="2880"/>
            <w:tcMar>
              <w:top w:w="80" w:type="dxa"/>
              <w:start w:w="120" w:type="dxa"/>
              <w:bottom w:w="80" w:type="dxa"/>
              <w:end w:w="120" w:type="dxa"/>
            </w:tcMar>
            <w:vAlign w:val="top"/>
          </w:tcPr>
          <w:p>
            <w:pPr>
              <w:spacing w:after="0" w:line="240" w:lineRule="auto"/>
            </w:pPr>
            <w:r>
              <w:rPr>
                <w:rFonts w:ascii="Arial" w:hAnsi="Arial"/>
                <w:color w:val="243447"/>
                <w:sz w:val="17"/>
              </w:rPr>
              <w:t>Loop termination</w:t>
            </w:r>
          </w:p>
        </w:tc>
        <w:tc>
          <w:tcPr>
            <w:tcW w:type="dxa" w:w="6264"/>
            <w:tcMar>
              <w:top w:w="80" w:type="dxa"/>
              <w:start w:w="120" w:type="dxa"/>
              <w:bottom w:w="80" w:type="dxa"/>
              <w:end w:w="120" w:type="dxa"/>
            </w:tcMar>
            <w:vAlign w:val="top"/>
          </w:tcPr>
          <w:p>
            <w:pPr>
              <w:spacing w:after="0" w:line="240" w:lineRule="auto"/>
            </w:pPr>
            <w:r>
              <w:rPr>
                <w:rFonts w:ascii="Arial" w:hAnsi="Arial"/>
                <w:color w:val="243447"/>
                <w:sz w:val="17"/>
              </w:rPr>
              <w:t>No branch exceeds configured gap budget without a recorded override</w:t>
            </w:r>
          </w:p>
        </w:tc>
      </w:tr>
      <w:tr>
        <w:tc>
          <w:tcPr>
            <w:tcW w:type="dxa" w:w="2880"/>
            <w:tcMar>
              <w:top w:w="80" w:type="dxa"/>
              <w:start w:w="120" w:type="dxa"/>
              <w:bottom w:w="80" w:type="dxa"/>
              <w:end w:w="120" w:type="dxa"/>
            </w:tcMar>
            <w:vAlign w:val="top"/>
            <w:shd w:fill="FAFBFC"/>
          </w:tcPr>
          <w:p>
            <w:pPr>
              <w:spacing w:after="0" w:line="240" w:lineRule="auto"/>
            </w:pPr>
            <w:r>
              <w:rPr>
                <w:rFonts w:ascii="Arial" w:hAnsi="Arial"/>
                <w:color w:val="243447"/>
                <w:sz w:val="17"/>
              </w:rPr>
              <w:t>Revision response</w:t>
            </w:r>
          </w:p>
        </w:tc>
        <w:tc>
          <w:tcPr>
            <w:tcW w:type="dxa" w:w="6264"/>
            <w:tcMar>
              <w:top w:w="80" w:type="dxa"/>
              <w:start w:w="120" w:type="dxa"/>
              <w:bottom w:w="80" w:type="dxa"/>
              <w:end w:w="120" w:type="dxa"/>
            </w:tcMar>
            <w:vAlign w:val="top"/>
            <w:shd w:fill="FAFBFC"/>
          </w:tcPr>
          <w:p>
            <w:pPr>
              <w:spacing w:after="0" w:line="240" w:lineRule="auto"/>
            </w:pPr>
            <w:r>
              <w:rPr>
                <w:rFonts w:ascii="Arial" w:hAnsi="Arial"/>
                <w:color w:val="243447"/>
                <w:sz w:val="17"/>
              </w:rPr>
              <w:t>Re-evaluate impacted cases within policy window after source change</w:t>
            </w:r>
          </w:p>
        </w:tc>
      </w:tr>
    </w:tbl>
    <w:p>
      <w:pPr>
        <w:spacing w:after="0"/>
      </w:pPr>
    </w:p>
    <w:p>
      <w:pPr>
        <w:spacing w:after="60"/>
      </w:pPr>
    </w:p>
    <w:p>
      <w:pPr>
        <w:pStyle w:val="Heading1"/>
      </w:pPr>
      <w:r>
        <w:t>12. Bottlenecks and logical fallacies to avoid</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304"/>
            <w:tcMar>
              <w:top w:w="80" w:type="dxa"/>
              <w:start w:w="120" w:type="dxa"/>
              <w:bottom w:w="80" w:type="dxa"/>
              <w:end w:w="120" w:type="dxa"/>
            </w:tcMar>
            <w:shd w:fill="F2F4F7"/>
            <w:vAlign w:val="center"/>
          </w:tcPr>
          <w:p>
            <w:pPr>
              <w:spacing w:after="0"/>
            </w:pPr>
            <w:r>
              <w:rPr>
                <w:rFonts w:ascii="Arial" w:hAnsi="Arial"/>
                <w:b/>
                <w:color w:val="17365D"/>
                <w:sz w:val="14"/>
              </w:rPr>
              <w:t>Failure in the design</w:t>
            </w:r>
          </w:p>
        </w:tc>
        <w:tc>
          <w:tcPr>
            <w:tcW w:type="dxa" w:w="3096"/>
            <w:tcMar>
              <w:top w:w="80" w:type="dxa"/>
              <w:start w:w="120" w:type="dxa"/>
              <w:bottom w:w="80" w:type="dxa"/>
              <w:end w:w="120" w:type="dxa"/>
            </w:tcMar>
            <w:shd w:fill="F2F4F7"/>
            <w:vAlign w:val="center"/>
          </w:tcPr>
          <w:p>
            <w:pPr>
              <w:spacing w:after="0"/>
            </w:pPr>
            <w:r>
              <w:rPr>
                <w:rFonts w:ascii="Arial" w:hAnsi="Arial"/>
                <w:b/>
                <w:color w:val="17365D"/>
                <w:sz w:val="14"/>
              </w:rPr>
              <w:t>Why it fails</w:t>
            </w:r>
          </w:p>
        </w:tc>
        <w:tc>
          <w:tcPr>
            <w:tcW w:type="dxa" w:w="3744"/>
            <w:tcMar>
              <w:top w:w="80" w:type="dxa"/>
              <w:start w:w="120" w:type="dxa"/>
              <w:bottom w:w="80" w:type="dxa"/>
              <w:end w:w="120" w:type="dxa"/>
            </w:tcMar>
            <w:shd w:fill="F2F4F7"/>
            <w:vAlign w:val="center"/>
          </w:tcPr>
          <w:p>
            <w:pPr>
              <w:spacing w:after="0"/>
            </w:pPr>
            <w:r>
              <w:rPr>
                <w:rFonts w:ascii="Arial" w:hAnsi="Arial"/>
                <w:b/>
                <w:color w:val="17365D"/>
                <w:sz w:val="14"/>
              </w:rPr>
              <w:t>Countermeasure</w:t>
            </w:r>
          </w:p>
        </w:tc>
      </w:tr>
      <w:tr>
        <w:tc>
          <w:tcPr>
            <w:tcW w:type="dxa" w:w="2304"/>
            <w:tcMar>
              <w:top w:w="80" w:type="dxa"/>
              <w:start w:w="120" w:type="dxa"/>
              <w:bottom w:w="80" w:type="dxa"/>
              <w:end w:w="120" w:type="dxa"/>
            </w:tcMar>
            <w:vAlign w:val="top"/>
          </w:tcPr>
          <w:p>
            <w:pPr>
              <w:spacing w:after="0" w:line="240" w:lineRule="auto"/>
            </w:pPr>
            <w:r>
              <w:rPr>
                <w:rFonts w:ascii="Arial" w:hAnsi="Arial"/>
                <w:color w:val="243447"/>
                <w:sz w:val="14"/>
              </w:rPr>
              <w:t>“More agents means more coverage”</w:t>
            </w:r>
          </w:p>
        </w:tc>
        <w:tc>
          <w:tcPr>
            <w:tcW w:type="dxa" w:w="3096"/>
            <w:tcMar>
              <w:top w:w="80" w:type="dxa"/>
              <w:start w:w="120" w:type="dxa"/>
              <w:bottom w:w="80" w:type="dxa"/>
              <w:end w:w="120" w:type="dxa"/>
            </w:tcMar>
            <w:vAlign w:val="top"/>
          </w:tcPr>
          <w:p>
            <w:pPr>
              <w:spacing w:after="0" w:line="240" w:lineRule="auto"/>
            </w:pPr>
            <w:r>
              <w:rPr>
                <w:rFonts w:ascii="Arial" w:hAnsi="Arial"/>
                <w:color w:val="243447"/>
                <w:sz w:val="14"/>
              </w:rPr>
              <w:t>Runs rediscover the same URLs and amplify reconciliation cost.</w:t>
            </w:r>
          </w:p>
        </w:tc>
        <w:tc>
          <w:tcPr>
            <w:tcW w:type="dxa" w:w="3744"/>
            <w:tcMar>
              <w:top w:w="80" w:type="dxa"/>
              <w:start w:w="120" w:type="dxa"/>
              <w:bottom w:w="80" w:type="dxa"/>
              <w:end w:w="120" w:type="dxa"/>
            </w:tcMar>
            <w:vAlign w:val="top"/>
          </w:tcPr>
          <w:p>
            <w:pPr>
              <w:spacing w:after="0" w:line="240" w:lineRule="auto"/>
            </w:pPr>
            <w:r>
              <w:rPr>
                <w:rFonts w:ascii="Arial" w:hAnsi="Arial"/>
                <w:color w:val="243447"/>
                <w:sz w:val="14"/>
              </w:rPr>
              <w:t>Let a team planner shard independent evidence gaps and lease each once.</w:t>
            </w:r>
          </w:p>
        </w:tc>
      </w:tr>
      <w:tr>
        <w:tc>
          <w:tcPr>
            <w:tcW w:type="dxa" w:w="2304"/>
            <w:tcMar>
              <w:top w:w="80" w:type="dxa"/>
              <w:start w:w="120" w:type="dxa"/>
              <w:bottom w:w="80" w:type="dxa"/>
              <w:end w:w="120" w:type="dxa"/>
            </w:tcMar>
            <w:vAlign w:val="top"/>
            <w:shd w:fill="FAFBFC"/>
          </w:tcPr>
          <w:p>
            <w:pPr>
              <w:spacing w:after="0" w:line="240" w:lineRule="auto"/>
            </w:pPr>
            <w:r>
              <w:rPr>
                <w:rFonts w:ascii="Arial" w:hAnsi="Arial"/>
                <w:color w:val="243447"/>
                <w:sz w:val="14"/>
              </w:rPr>
              <w:t>“Applicability can be decided from the CERT title”</w:t>
            </w:r>
          </w:p>
        </w:tc>
        <w:tc>
          <w:tcPr>
            <w:tcW w:type="dxa" w:w="3096"/>
            <w:tcMar>
              <w:top w:w="80" w:type="dxa"/>
              <w:start w:w="120" w:type="dxa"/>
              <w:bottom w:w="80" w:type="dxa"/>
              <w:end w:w="120" w:type="dxa"/>
            </w:tcMar>
            <w:vAlign w:val="top"/>
            <w:shd w:fill="FAFBFC"/>
          </w:tcPr>
          <w:p>
            <w:pPr>
              <w:spacing w:after="0" w:line="240" w:lineRule="auto"/>
            </w:pPr>
            <w:r>
              <w:rPr>
                <w:rFonts w:ascii="Arial" w:hAnsi="Arial"/>
                <w:color w:val="243447"/>
                <w:sz w:val="14"/>
              </w:rPr>
              <w:t>Broad names, aliases and embedded components create false negatives.</w:t>
            </w:r>
          </w:p>
        </w:tc>
        <w:tc>
          <w:tcPr>
            <w:tcW w:type="dxa" w:w="3744"/>
            <w:tcMar>
              <w:top w:w="80" w:type="dxa"/>
              <w:start w:w="120" w:type="dxa"/>
              <w:bottom w:w="80" w:type="dxa"/>
              <w:end w:w="120" w:type="dxa"/>
            </w:tcMar>
            <w:vAlign w:val="top"/>
            <w:shd w:fill="FAFBFC"/>
          </w:tcPr>
          <w:p>
            <w:pPr>
              <w:spacing w:after="0" w:line="240" w:lineRule="auto"/>
            </w:pPr>
            <w:r>
              <w:rPr>
                <w:rFonts w:ascii="Arial" w:hAnsi="Arial"/>
                <w:color w:val="243447"/>
                <w:sz w:val="14"/>
              </w:rPr>
              <w:t>Use a lightweight seed plus relationship and inventory-gap outcomes.</w:t>
            </w:r>
          </w:p>
        </w:tc>
      </w:tr>
      <w:tr>
        <w:tc>
          <w:tcPr>
            <w:tcW w:type="dxa" w:w="2304"/>
            <w:tcMar>
              <w:top w:w="80" w:type="dxa"/>
              <w:start w:w="120" w:type="dxa"/>
              <w:bottom w:w="80" w:type="dxa"/>
              <w:end w:w="120" w:type="dxa"/>
            </w:tcMar>
            <w:vAlign w:val="top"/>
          </w:tcPr>
          <w:p>
            <w:pPr>
              <w:spacing w:after="0" w:line="240" w:lineRule="auto"/>
            </w:pPr>
            <w:r>
              <w:rPr>
                <w:rFonts w:ascii="Arial" w:hAnsi="Arial"/>
                <w:color w:val="243447"/>
                <w:sz w:val="14"/>
              </w:rPr>
              <w:t>“No asset match means irrelevant”</w:t>
            </w:r>
          </w:p>
        </w:tc>
        <w:tc>
          <w:tcPr>
            <w:tcW w:type="dxa" w:w="3096"/>
            <w:tcMar>
              <w:top w:w="80" w:type="dxa"/>
              <w:start w:w="120" w:type="dxa"/>
              <w:bottom w:w="80" w:type="dxa"/>
              <w:end w:w="120" w:type="dxa"/>
            </w:tcMar>
            <w:vAlign w:val="top"/>
          </w:tcPr>
          <w:p>
            <w:pPr>
              <w:spacing w:after="0" w:line="240" w:lineRule="auto"/>
            </w:pPr>
            <w:r>
              <w:rPr>
                <w:rFonts w:ascii="Arial" w:hAnsi="Arial"/>
                <w:color w:val="243447"/>
                <w:sz w:val="14"/>
              </w:rPr>
              <w:t>Inventory may be stale or lack dependency visibility.</w:t>
            </w:r>
          </w:p>
        </w:tc>
        <w:tc>
          <w:tcPr>
            <w:tcW w:type="dxa" w:w="3744"/>
            <w:tcMar>
              <w:top w:w="80" w:type="dxa"/>
              <w:start w:w="120" w:type="dxa"/>
              <w:bottom w:w="80" w:type="dxa"/>
              <w:end w:w="120" w:type="dxa"/>
            </w:tcMar>
            <w:vAlign w:val="top"/>
          </w:tcPr>
          <w:p>
            <w:pPr>
              <w:spacing w:after="0" w:line="240" w:lineRule="auto"/>
            </w:pPr>
            <w:r>
              <w:rPr>
                <w:rFonts w:ascii="Arial" w:hAnsi="Arial"/>
                <w:color w:val="243447"/>
                <w:sz w:val="14"/>
              </w:rPr>
              <w:t>Store no_current_evidence with re-check triggers.</w:t>
            </w:r>
          </w:p>
        </w:tc>
      </w:tr>
      <w:tr>
        <w:tc>
          <w:tcPr>
            <w:tcW w:type="dxa" w:w="2304"/>
            <w:tcMar>
              <w:top w:w="80" w:type="dxa"/>
              <w:start w:w="120" w:type="dxa"/>
              <w:bottom w:w="80" w:type="dxa"/>
              <w:end w:w="120" w:type="dxa"/>
            </w:tcMar>
            <w:vAlign w:val="top"/>
            <w:shd w:fill="FAFBFC"/>
          </w:tcPr>
          <w:p>
            <w:pPr>
              <w:spacing w:after="0" w:line="240" w:lineRule="auto"/>
            </w:pPr>
            <w:r>
              <w:rPr>
                <w:rFonts w:ascii="Arial" w:hAnsi="Arial"/>
                <w:color w:val="243447"/>
                <w:sz w:val="14"/>
              </w:rPr>
              <w:t>“Multimodal needs its own team”</w:t>
            </w:r>
          </w:p>
        </w:tc>
        <w:tc>
          <w:tcPr>
            <w:tcW w:type="dxa" w:w="3096"/>
            <w:tcMar>
              <w:top w:w="80" w:type="dxa"/>
              <w:start w:w="120" w:type="dxa"/>
              <w:bottom w:w="80" w:type="dxa"/>
              <w:end w:w="120" w:type="dxa"/>
            </w:tcMar>
            <w:vAlign w:val="top"/>
            <w:shd w:fill="FAFBFC"/>
          </w:tcPr>
          <w:p>
            <w:pPr>
              <w:spacing w:after="0" w:line="240" w:lineRule="auto"/>
            </w:pPr>
            <w:r>
              <w:rPr>
                <w:rFonts w:ascii="Arial" w:hAnsi="Arial"/>
                <w:color w:val="243447"/>
                <w:sz w:val="14"/>
              </w:rPr>
              <w:t>Modality is an acquisition choice, not a separate reasoning mandate.</w:t>
            </w:r>
          </w:p>
        </w:tc>
        <w:tc>
          <w:tcPr>
            <w:tcW w:type="dxa" w:w="3744"/>
            <w:tcMar>
              <w:top w:w="80" w:type="dxa"/>
              <w:start w:w="120" w:type="dxa"/>
              <w:bottom w:w="80" w:type="dxa"/>
              <w:end w:w="120" w:type="dxa"/>
            </w:tcMar>
            <w:vAlign w:val="top"/>
            <w:shd w:fill="FAFBFC"/>
          </w:tcPr>
          <w:p>
            <w:pPr>
              <w:spacing w:after="0" w:line="240" w:lineRule="auto"/>
            </w:pPr>
            <w:r>
              <w:rPr>
                <w:rFonts w:ascii="Arial" w:hAnsi="Arial"/>
                <w:color w:val="243447"/>
                <w:sz w:val="14"/>
              </w:rPr>
              <w:t>Make OCR/PDF/browser a capability registry under acquisition.</w:t>
            </w:r>
          </w:p>
        </w:tc>
      </w:tr>
      <w:tr>
        <w:tc>
          <w:tcPr>
            <w:tcW w:type="dxa" w:w="2304"/>
            <w:tcMar>
              <w:top w:w="80" w:type="dxa"/>
              <w:start w:w="120" w:type="dxa"/>
              <w:bottom w:w="80" w:type="dxa"/>
              <w:end w:w="120" w:type="dxa"/>
            </w:tcMar>
            <w:vAlign w:val="top"/>
          </w:tcPr>
          <w:p>
            <w:pPr>
              <w:spacing w:after="0" w:line="240" w:lineRule="auto"/>
            </w:pPr>
            <w:r>
              <w:rPr>
                <w:rFonts w:ascii="Arial" w:hAnsi="Arial"/>
                <w:color w:val="243447"/>
                <w:sz w:val="14"/>
              </w:rPr>
              <w:t>“The graph state is the database”</w:t>
            </w:r>
          </w:p>
        </w:tc>
        <w:tc>
          <w:tcPr>
            <w:tcW w:type="dxa" w:w="3096"/>
            <w:tcMar>
              <w:top w:w="80" w:type="dxa"/>
              <w:start w:w="120" w:type="dxa"/>
              <w:bottom w:w="80" w:type="dxa"/>
              <w:end w:w="120" w:type="dxa"/>
            </w:tcMar>
            <w:vAlign w:val="top"/>
          </w:tcPr>
          <w:p>
            <w:pPr>
              <w:spacing w:after="0" w:line="240" w:lineRule="auto"/>
            </w:pPr>
            <w:r>
              <w:rPr>
                <w:rFonts w:ascii="Arial" w:hAnsi="Arial"/>
                <w:color w:val="243447"/>
                <w:sz w:val="14"/>
              </w:rPr>
              <w:t>Large mutable checkpoints are hard to audit and migrate.</w:t>
            </w:r>
          </w:p>
        </w:tc>
        <w:tc>
          <w:tcPr>
            <w:tcW w:type="dxa" w:w="3744"/>
            <w:tcMar>
              <w:top w:w="80" w:type="dxa"/>
              <w:start w:w="120" w:type="dxa"/>
              <w:bottom w:w="80" w:type="dxa"/>
              <w:end w:w="120" w:type="dxa"/>
            </w:tcMar>
            <w:vAlign w:val="top"/>
          </w:tcPr>
          <w:p>
            <w:pPr>
              <w:spacing w:after="0" w:line="240" w:lineRule="auto"/>
            </w:pPr>
            <w:r>
              <w:rPr>
                <w:rFonts w:ascii="Arial" w:hAnsi="Arial"/>
                <w:color w:val="243447"/>
                <w:sz w:val="14"/>
              </w:rPr>
              <w:t>Store only cursors/references in graph state; externalize evidence.</w:t>
            </w:r>
          </w:p>
        </w:tc>
      </w:tr>
      <w:tr>
        <w:tc>
          <w:tcPr>
            <w:tcW w:type="dxa" w:w="2304"/>
            <w:tcMar>
              <w:top w:w="80" w:type="dxa"/>
              <w:start w:w="120" w:type="dxa"/>
              <w:bottom w:w="80" w:type="dxa"/>
              <w:end w:w="120" w:type="dxa"/>
            </w:tcMar>
            <w:vAlign w:val="top"/>
            <w:shd w:fill="FAFBFC"/>
          </w:tcPr>
          <w:p>
            <w:pPr>
              <w:spacing w:after="0" w:line="240" w:lineRule="auto"/>
            </w:pPr>
            <w:r>
              <w:rPr>
                <w:rFonts w:ascii="Arial" w:hAnsi="Arial"/>
                <w:color w:val="243447"/>
                <w:sz w:val="14"/>
              </w:rPr>
              <w:t>“A trace is an audit trail”</w:t>
            </w:r>
          </w:p>
        </w:tc>
        <w:tc>
          <w:tcPr>
            <w:tcW w:type="dxa" w:w="3096"/>
            <w:tcMar>
              <w:top w:w="80" w:type="dxa"/>
              <w:start w:w="120" w:type="dxa"/>
              <w:bottom w:w="80" w:type="dxa"/>
              <w:end w:w="120" w:type="dxa"/>
            </w:tcMar>
            <w:vAlign w:val="top"/>
            <w:shd w:fill="FAFBFC"/>
          </w:tcPr>
          <w:p>
            <w:pPr>
              <w:spacing w:after="0" w:line="240" w:lineRule="auto"/>
            </w:pPr>
            <w:r>
              <w:rPr>
                <w:rFonts w:ascii="Arial" w:hAnsi="Arial"/>
                <w:color w:val="243447"/>
                <w:sz w:val="14"/>
              </w:rPr>
              <w:t>Traces may be sampled, mutable, expire or lack domain causality.</w:t>
            </w:r>
          </w:p>
        </w:tc>
        <w:tc>
          <w:tcPr>
            <w:tcW w:type="dxa" w:w="3744"/>
            <w:tcMar>
              <w:top w:w="80" w:type="dxa"/>
              <w:start w:w="120" w:type="dxa"/>
              <w:bottom w:w="80" w:type="dxa"/>
              <w:end w:w="120" w:type="dxa"/>
            </w:tcMar>
            <w:vAlign w:val="top"/>
            <w:shd w:fill="FAFBFC"/>
          </w:tcPr>
          <w:p>
            <w:pPr>
              <w:spacing w:after="0" w:line="240" w:lineRule="auto"/>
            </w:pPr>
            <w:r>
              <w:rPr>
                <w:rFonts w:ascii="Arial" w:hAnsi="Arial"/>
                <w:color w:val="243447"/>
                <w:sz w:val="14"/>
              </w:rPr>
              <w:t>Append domain events with artifact and decision lineage.</w:t>
            </w:r>
          </w:p>
        </w:tc>
      </w:tr>
      <w:tr>
        <w:tc>
          <w:tcPr>
            <w:tcW w:type="dxa" w:w="2304"/>
            <w:tcMar>
              <w:top w:w="80" w:type="dxa"/>
              <w:start w:w="120" w:type="dxa"/>
              <w:bottom w:w="80" w:type="dxa"/>
              <w:end w:w="120" w:type="dxa"/>
            </w:tcMar>
            <w:vAlign w:val="top"/>
          </w:tcPr>
          <w:p>
            <w:pPr>
              <w:spacing w:after="0" w:line="240" w:lineRule="auto"/>
            </w:pPr>
            <w:r>
              <w:rPr>
                <w:rFonts w:ascii="Arial" w:hAnsi="Arial"/>
                <w:color w:val="243447"/>
                <w:sz w:val="14"/>
              </w:rPr>
              <w:t>“Consensus resolves truth”</w:t>
            </w:r>
          </w:p>
        </w:tc>
        <w:tc>
          <w:tcPr>
            <w:tcW w:type="dxa" w:w="3096"/>
            <w:tcMar>
              <w:top w:w="80" w:type="dxa"/>
              <w:start w:w="120" w:type="dxa"/>
              <w:bottom w:w="80" w:type="dxa"/>
              <w:end w:w="120" w:type="dxa"/>
            </w:tcMar>
            <w:vAlign w:val="top"/>
          </w:tcPr>
          <w:p>
            <w:pPr>
              <w:spacing w:after="0" w:line="240" w:lineRule="auto"/>
            </w:pPr>
            <w:r>
              <w:rPr>
                <w:rFonts w:ascii="Arial" w:hAnsi="Arial"/>
                <w:color w:val="243447"/>
                <w:sz w:val="14"/>
              </w:rPr>
              <w:t>Multiple agents can share the same missing source or false premise.</w:t>
            </w:r>
          </w:p>
        </w:tc>
        <w:tc>
          <w:tcPr>
            <w:tcW w:type="dxa" w:w="3744"/>
            <w:tcMar>
              <w:top w:w="80" w:type="dxa"/>
              <w:start w:w="120" w:type="dxa"/>
              <w:bottom w:w="80" w:type="dxa"/>
              <w:end w:w="120" w:type="dxa"/>
            </w:tcMar>
            <w:vAlign w:val="top"/>
          </w:tcPr>
          <w:p>
            <w:pPr>
              <w:spacing w:after="0" w:line="240" w:lineRule="auto"/>
            </w:pPr>
            <w:r>
              <w:rPr>
                <w:rFonts w:ascii="Arial" w:hAnsi="Arial"/>
                <w:color w:val="243447"/>
                <w:sz w:val="14"/>
              </w:rPr>
              <w:t>Resolve by authority, product context, freshness and provenance.</w:t>
            </w:r>
          </w:p>
        </w:tc>
      </w:tr>
      <w:tr>
        <w:tc>
          <w:tcPr>
            <w:tcW w:type="dxa" w:w="2304"/>
            <w:tcMar>
              <w:top w:w="80" w:type="dxa"/>
              <w:start w:w="120" w:type="dxa"/>
              <w:bottom w:w="80" w:type="dxa"/>
              <w:end w:w="120" w:type="dxa"/>
            </w:tcMar>
            <w:vAlign w:val="top"/>
            <w:shd w:fill="FAFBFC"/>
          </w:tcPr>
          <w:p>
            <w:pPr>
              <w:spacing w:after="0" w:line="240" w:lineRule="auto"/>
            </w:pPr>
            <w:r>
              <w:rPr>
                <w:rFonts w:ascii="Arial" w:hAnsi="Arial"/>
                <w:color w:val="243447"/>
                <w:sz w:val="14"/>
              </w:rPr>
              <w:t>“All sources should be exhausted”</w:t>
            </w:r>
          </w:p>
        </w:tc>
        <w:tc>
          <w:tcPr>
            <w:tcW w:type="dxa" w:w="3096"/>
            <w:tcMar>
              <w:top w:w="80" w:type="dxa"/>
              <w:start w:w="120" w:type="dxa"/>
              <w:bottom w:w="80" w:type="dxa"/>
              <w:end w:w="120" w:type="dxa"/>
            </w:tcMar>
            <w:vAlign w:val="top"/>
            <w:shd w:fill="FAFBFC"/>
          </w:tcPr>
          <w:p>
            <w:pPr>
              <w:spacing w:after="0" w:line="240" w:lineRule="auto"/>
            </w:pPr>
            <w:r>
              <w:rPr>
                <w:rFonts w:ascii="Arial" w:hAnsi="Arial"/>
                <w:color w:val="243447"/>
                <w:sz w:val="14"/>
              </w:rPr>
              <w:t>The web is unbounded and repeated low-authority links add cost, not confidence.</w:t>
            </w:r>
          </w:p>
        </w:tc>
        <w:tc>
          <w:tcPr>
            <w:tcW w:type="dxa" w:w="3744"/>
            <w:tcMar>
              <w:top w:w="80" w:type="dxa"/>
              <w:start w:w="120" w:type="dxa"/>
              <w:bottom w:w="80" w:type="dxa"/>
              <w:end w:w="120" w:type="dxa"/>
            </w:tcMar>
            <w:vAlign w:val="top"/>
            <w:shd w:fill="FAFBFC"/>
          </w:tcPr>
          <w:p>
            <w:pPr>
              <w:spacing w:after="0" w:line="240" w:lineRule="auto"/>
            </w:pPr>
            <w:r>
              <w:rPr>
                <w:rFonts w:ascii="Arial" w:hAnsi="Arial"/>
                <w:color w:val="243447"/>
                <w:sz w:val="14"/>
              </w:rPr>
              <w:t>Use evidence coverage, frontier classes and VOI stopping.</w:t>
            </w:r>
          </w:p>
        </w:tc>
      </w:tr>
      <w:tr>
        <w:tc>
          <w:tcPr>
            <w:tcW w:type="dxa" w:w="2304"/>
            <w:tcMar>
              <w:top w:w="80" w:type="dxa"/>
              <w:start w:w="120" w:type="dxa"/>
              <w:bottom w:w="80" w:type="dxa"/>
              <w:end w:w="120" w:type="dxa"/>
            </w:tcMar>
            <w:vAlign w:val="top"/>
          </w:tcPr>
          <w:p>
            <w:pPr>
              <w:spacing w:after="0" w:line="240" w:lineRule="auto"/>
            </w:pPr>
            <w:r>
              <w:rPr>
                <w:rFonts w:ascii="Arial" w:hAnsi="Arial"/>
                <w:color w:val="243447"/>
                <w:sz w:val="14"/>
              </w:rPr>
              <w:t>“Closure must produce a patch ticket”</w:t>
            </w:r>
          </w:p>
        </w:tc>
        <w:tc>
          <w:tcPr>
            <w:tcW w:type="dxa" w:w="3096"/>
            <w:tcMar>
              <w:top w:w="80" w:type="dxa"/>
              <w:start w:w="120" w:type="dxa"/>
              <w:bottom w:w="80" w:type="dxa"/>
              <w:end w:w="120" w:type="dxa"/>
            </w:tcMar>
            <w:vAlign w:val="top"/>
          </w:tcPr>
          <w:p>
            <w:pPr>
              <w:spacing w:after="0" w:line="240" w:lineRule="auto"/>
            </w:pPr>
            <w:r>
              <w:rPr>
                <w:rFonts w:ascii="Arial" w:hAnsi="Arial"/>
                <w:color w:val="243447"/>
                <w:sz w:val="14"/>
              </w:rPr>
              <w:t>Unknown applicability or gated remediation makes a patch unsafe.</w:t>
            </w:r>
          </w:p>
        </w:tc>
        <w:tc>
          <w:tcPr>
            <w:tcW w:type="dxa" w:w="3744"/>
            <w:tcMar>
              <w:top w:w="80" w:type="dxa"/>
              <w:start w:w="120" w:type="dxa"/>
              <w:bottom w:w="80" w:type="dxa"/>
              <w:end w:w="120" w:type="dxa"/>
            </w:tcMar>
            <w:vAlign w:val="top"/>
          </w:tcPr>
          <w:p>
            <w:pPr>
              <w:spacing w:after="0" w:line="240" w:lineRule="auto"/>
            </w:pPr>
            <w:r>
              <w:rPr>
                <w:rFonts w:ascii="Arial" w:hAnsi="Arial"/>
                <w:color w:val="243447"/>
                <w:sz w:val="14"/>
              </w:rPr>
              <w:t>Generate an investigation ticket until actionability is proven.</w:t>
            </w:r>
          </w:p>
        </w:tc>
      </w:tr>
      <w:tr>
        <w:tc>
          <w:tcPr>
            <w:tcW w:type="dxa" w:w="2304"/>
            <w:tcMar>
              <w:top w:w="80" w:type="dxa"/>
              <w:start w:w="120" w:type="dxa"/>
              <w:bottom w:w="80" w:type="dxa"/>
              <w:end w:w="120" w:type="dxa"/>
            </w:tcMar>
            <w:vAlign w:val="top"/>
            <w:shd w:fill="FAFBFC"/>
          </w:tcPr>
          <w:p>
            <w:pPr>
              <w:spacing w:after="0" w:line="240" w:lineRule="auto"/>
            </w:pPr>
            <w:r>
              <w:rPr>
                <w:rFonts w:ascii="Arial" w:hAnsi="Arial"/>
                <w:color w:val="243447"/>
                <w:sz w:val="14"/>
              </w:rPr>
              <w:t>“Retries fix acquisition”</w:t>
            </w:r>
          </w:p>
        </w:tc>
        <w:tc>
          <w:tcPr>
            <w:tcW w:type="dxa" w:w="3096"/>
            <w:tcMar>
              <w:top w:w="80" w:type="dxa"/>
              <w:start w:w="120" w:type="dxa"/>
              <w:bottom w:w="80" w:type="dxa"/>
              <w:end w:w="120" w:type="dxa"/>
            </w:tcMar>
            <w:vAlign w:val="top"/>
            <w:shd w:fill="FAFBFC"/>
          </w:tcPr>
          <w:p>
            <w:pPr>
              <w:spacing w:after="0" w:line="240" w:lineRule="auto"/>
            </w:pPr>
            <w:r>
              <w:rPr>
                <w:rFonts w:ascii="Arial" w:hAnsi="Arial"/>
                <w:color w:val="243447"/>
                <w:sz w:val="14"/>
              </w:rPr>
              <w:t>WAF/auth/dynamic pages can fail indefinitely.</w:t>
            </w:r>
          </w:p>
        </w:tc>
        <w:tc>
          <w:tcPr>
            <w:tcW w:type="dxa" w:w="3744"/>
            <w:tcMar>
              <w:top w:w="80" w:type="dxa"/>
              <w:start w:w="120" w:type="dxa"/>
              <w:bottom w:w="80" w:type="dxa"/>
              <w:end w:w="120" w:type="dxa"/>
            </w:tcMar>
            <w:vAlign w:val="top"/>
            <w:shd w:fill="FAFBFC"/>
          </w:tcPr>
          <w:p>
            <w:pPr>
              <w:spacing w:after="0" w:line="240" w:lineRule="auto"/>
            </w:pPr>
            <w:r>
              <w:rPr>
                <w:rFonts w:ascii="Arial" w:hAnsi="Arial"/>
                <w:color w:val="243447"/>
                <w:sz w:val="14"/>
              </w:rPr>
              <w:t>Classify error; change modality/source or record an external blocker.</w:t>
            </w:r>
          </w:p>
        </w:tc>
      </w:tr>
    </w:tbl>
    <w:p>
      <w:pPr>
        <w:spacing w:after="0"/>
      </w:pPr>
    </w:p>
    <w:p>
      <w:pPr>
        <w:pStyle w:val="Heading2"/>
      </w:pPr>
      <w:r>
        <w:t>12.1 Primary implementation risks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800"/>
            <w:tcMar>
              <w:top w:w="80" w:type="dxa"/>
              <w:start w:w="120" w:type="dxa"/>
              <w:bottom w:w="80" w:type="dxa"/>
              <w:end w:w="120" w:type="dxa"/>
            </w:tcMar>
            <w:shd w:fill="F2F4F7"/>
            <w:vAlign w:val="center"/>
          </w:tcPr>
          <w:p>
            <w:pPr>
              <w:spacing w:after="0"/>
            </w:pPr>
            <w:r>
              <w:rPr>
                <w:rFonts w:ascii="Arial" w:hAnsi="Arial"/>
                <w:b/>
                <w:color w:val="17365D"/>
                <w:sz w:val="15"/>
              </w:rPr>
              <w:t>Risk</w:t>
            </w:r>
          </w:p>
        </w:tc>
        <w:tc>
          <w:tcPr>
            <w:tcW w:type="dxa" w:w="3312"/>
            <w:tcMar>
              <w:top w:w="80" w:type="dxa"/>
              <w:start w:w="120" w:type="dxa"/>
              <w:bottom w:w="80" w:type="dxa"/>
              <w:end w:w="120" w:type="dxa"/>
            </w:tcMar>
            <w:shd w:fill="F2F4F7"/>
            <w:vAlign w:val="center"/>
          </w:tcPr>
          <w:p>
            <w:pPr>
              <w:spacing w:after="0"/>
            </w:pPr>
            <w:r>
              <w:rPr>
                <w:rFonts w:ascii="Arial" w:hAnsi="Arial"/>
                <w:b/>
                <w:color w:val="17365D"/>
                <w:sz w:val="15"/>
              </w:rPr>
              <w:t>Failure mode</w:t>
            </w:r>
          </w:p>
        </w:tc>
        <w:tc>
          <w:tcPr>
            <w:tcW w:type="dxa" w:w="4032"/>
            <w:tcMar>
              <w:top w:w="80" w:type="dxa"/>
              <w:start w:w="120" w:type="dxa"/>
              <w:bottom w:w="80" w:type="dxa"/>
              <w:end w:w="120" w:type="dxa"/>
            </w:tcMar>
            <w:shd w:fill="F2F4F7"/>
            <w:vAlign w:val="center"/>
          </w:tcPr>
          <w:p>
            <w:pPr>
              <w:spacing w:after="0"/>
            </w:pPr>
            <w:r>
              <w:rPr>
                <w:rFonts w:ascii="Arial" w:hAnsi="Arial"/>
                <w:b/>
                <w:color w:val="17365D"/>
                <w:sz w:val="15"/>
              </w:rPr>
              <w:t>Mitigation</w:t>
            </w:r>
          </w:p>
        </w:tc>
      </w:tr>
      <w:tr>
        <w:tc>
          <w:tcPr>
            <w:tcW w:type="dxa" w:w="1800"/>
            <w:tcMar>
              <w:top w:w="80" w:type="dxa"/>
              <w:start w:w="120" w:type="dxa"/>
              <w:bottom w:w="80" w:type="dxa"/>
              <w:end w:w="120" w:type="dxa"/>
            </w:tcMar>
            <w:vAlign w:val="top"/>
          </w:tcPr>
          <w:p>
            <w:pPr>
              <w:spacing w:after="0" w:line="240" w:lineRule="auto"/>
            </w:pPr>
            <w:r>
              <w:rPr>
                <w:rFonts w:ascii="Arial" w:hAnsi="Arial"/>
                <w:color w:val="243447"/>
                <w:sz w:val="15"/>
              </w:rPr>
              <w:t>State duplication</w:t>
            </w:r>
          </w:p>
        </w:tc>
        <w:tc>
          <w:tcPr>
            <w:tcW w:type="dxa" w:w="3312"/>
            <w:tcMar>
              <w:top w:w="80" w:type="dxa"/>
              <w:start w:w="120" w:type="dxa"/>
              <w:bottom w:w="80" w:type="dxa"/>
              <w:end w:w="120" w:type="dxa"/>
            </w:tcMar>
            <w:vAlign w:val="top"/>
          </w:tcPr>
          <w:p>
            <w:pPr>
              <w:spacing w:after="0" w:line="240" w:lineRule="auto"/>
            </w:pPr>
            <w:r>
              <w:rPr>
                <w:rFonts w:ascii="Arial" w:hAnsi="Arial"/>
                <w:color w:val="243447"/>
                <w:sz w:val="15"/>
              </w:rPr>
              <w:t>Team/session checkpoints, event ledger and blackboard drift.</w:t>
            </w:r>
          </w:p>
        </w:tc>
        <w:tc>
          <w:tcPr>
            <w:tcW w:type="dxa" w:w="4032"/>
            <w:tcMar>
              <w:top w:w="80" w:type="dxa"/>
              <w:start w:w="120" w:type="dxa"/>
              <w:bottom w:w="80" w:type="dxa"/>
              <w:end w:w="120" w:type="dxa"/>
            </w:tcMar>
            <w:vAlign w:val="top"/>
          </w:tcPr>
          <w:p>
            <w:pPr>
              <w:spacing w:after="0" w:line="240" w:lineRule="auto"/>
            </w:pPr>
            <w:r>
              <w:rPr>
                <w:rFonts w:ascii="Arial" w:hAnsi="Arial"/>
                <w:color w:val="243447"/>
                <w:sz w:val="15"/>
              </w:rPr>
              <w:t>Single write gateway; event watermark in every memory; deterministic rematerialization.</w:t>
            </w:r>
          </w:p>
        </w:tc>
      </w:tr>
      <w:tr>
        <w:tc>
          <w:tcPr>
            <w:tcW w:type="dxa" w:w="1800"/>
            <w:tcMar>
              <w:top w:w="80" w:type="dxa"/>
              <w:start w:w="120" w:type="dxa"/>
              <w:bottom w:w="80" w:type="dxa"/>
              <w:end w:w="120" w:type="dxa"/>
            </w:tcMar>
            <w:vAlign w:val="top"/>
            <w:shd w:fill="FAFBFC"/>
          </w:tcPr>
          <w:p>
            <w:pPr>
              <w:spacing w:after="0" w:line="240" w:lineRule="auto"/>
            </w:pPr>
            <w:r>
              <w:rPr>
                <w:rFonts w:ascii="Arial" w:hAnsi="Arial"/>
                <w:color w:val="243447"/>
                <w:sz w:val="15"/>
              </w:rPr>
              <w:t>Version-range errors</w:t>
            </w:r>
          </w:p>
        </w:tc>
        <w:tc>
          <w:tcPr>
            <w:tcW w:type="dxa" w:w="3312"/>
            <w:tcMar>
              <w:top w:w="80" w:type="dxa"/>
              <w:start w:w="120" w:type="dxa"/>
              <w:bottom w:w="80" w:type="dxa"/>
              <w:end w:w="120" w:type="dxa"/>
            </w:tcMar>
            <w:vAlign w:val="top"/>
            <w:shd w:fill="FAFBFC"/>
          </w:tcPr>
          <w:p>
            <w:pPr>
              <w:spacing w:after="0" w:line="240" w:lineRule="auto"/>
            </w:pPr>
            <w:r>
              <w:rPr>
                <w:rFonts w:ascii="Arial" w:hAnsi="Arial"/>
                <w:color w:val="243447"/>
                <w:sz w:val="15"/>
              </w:rPr>
              <w:t>Vendor syntax is heterogeneous and component context is lost.</w:t>
            </w:r>
          </w:p>
        </w:tc>
        <w:tc>
          <w:tcPr>
            <w:tcW w:type="dxa" w:w="4032"/>
            <w:tcMar>
              <w:top w:w="80" w:type="dxa"/>
              <w:start w:w="120" w:type="dxa"/>
              <w:bottom w:w="80" w:type="dxa"/>
              <w:end w:w="120" w:type="dxa"/>
            </w:tcMar>
            <w:vAlign w:val="top"/>
            <w:shd w:fill="FAFBFC"/>
          </w:tcPr>
          <w:p>
            <w:pPr>
              <w:spacing w:after="0" w:line="240" w:lineRule="auto"/>
            </w:pPr>
            <w:r>
              <w:rPr>
                <w:rFonts w:ascii="Arial" w:hAnsi="Arial"/>
                <w:color w:val="243447"/>
                <w:sz w:val="15"/>
              </w:rPr>
              <w:t>Typed parsers, raw string retention, fixtures and human review on parse failure.</w:t>
            </w:r>
          </w:p>
        </w:tc>
      </w:tr>
      <w:tr>
        <w:tc>
          <w:tcPr>
            <w:tcW w:type="dxa" w:w="1800"/>
            <w:tcMar>
              <w:top w:w="80" w:type="dxa"/>
              <w:start w:w="120" w:type="dxa"/>
              <w:bottom w:w="80" w:type="dxa"/>
              <w:end w:w="120" w:type="dxa"/>
            </w:tcMar>
            <w:vAlign w:val="top"/>
          </w:tcPr>
          <w:p>
            <w:pPr>
              <w:spacing w:after="0" w:line="240" w:lineRule="auto"/>
            </w:pPr>
            <w:r>
              <w:rPr>
                <w:rFonts w:ascii="Arial" w:hAnsi="Arial"/>
                <w:color w:val="243447"/>
                <w:sz w:val="15"/>
              </w:rPr>
              <w:t>Prompt injection</w:t>
            </w:r>
          </w:p>
        </w:tc>
        <w:tc>
          <w:tcPr>
            <w:tcW w:type="dxa" w:w="3312"/>
            <w:tcMar>
              <w:top w:w="80" w:type="dxa"/>
              <w:start w:w="120" w:type="dxa"/>
              <w:bottom w:w="80" w:type="dxa"/>
              <w:end w:w="120" w:type="dxa"/>
            </w:tcMar>
            <w:vAlign w:val="top"/>
          </w:tcPr>
          <w:p>
            <w:pPr>
              <w:spacing w:after="0" w:line="240" w:lineRule="auto"/>
            </w:pPr>
            <w:r>
              <w:rPr>
                <w:rFonts w:ascii="Arial" w:hAnsi="Arial"/>
                <w:color w:val="243447"/>
                <w:sz w:val="15"/>
              </w:rPr>
              <w:t>Advisory/research pages may contain adversarial text.</w:t>
            </w:r>
          </w:p>
        </w:tc>
        <w:tc>
          <w:tcPr>
            <w:tcW w:type="dxa" w:w="4032"/>
            <w:tcMar>
              <w:top w:w="80" w:type="dxa"/>
              <w:start w:w="120" w:type="dxa"/>
              <w:bottom w:w="80" w:type="dxa"/>
              <w:end w:w="120" w:type="dxa"/>
            </w:tcMar>
            <w:vAlign w:val="top"/>
          </w:tcPr>
          <w:p>
            <w:pPr>
              <w:spacing w:after="0" w:line="240" w:lineRule="auto"/>
            </w:pPr>
            <w:r>
              <w:rPr>
                <w:rFonts w:ascii="Arial" w:hAnsi="Arial"/>
                <w:color w:val="243447"/>
                <w:sz w:val="15"/>
              </w:rPr>
              <w:t>Role-scoped tools, content-as-data boundary, allowlisted actions and reducer validation.</w:t>
            </w:r>
          </w:p>
        </w:tc>
      </w:tr>
      <w:tr>
        <w:tc>
          <w:tcPr>
            <w:tcW w:type="dxa" w:w="1800"/>
            <w:tcMar>
              <w:top w:w="80" w:type="dxa"/>
              <w:start w:w="120" w:type="dxa"/>
              <w:bottom w:w="80" w:type="dxa"/>
              <w:end w:w="120" w:type="dxa"/>
            </w:tcMar>
            <w:vAlign w:val="top"/>
            <w:shd w:fill="FAFBFC"/>
          </w:tcPr>
          <w:p>
            <w:pPr>
              <w:spacing w:after="0" w:line="240" w:lineRule="auto"/>
            </w:pPr>
            <w:r>
              <w:rPr>
                <w:rFonts w:ascii="Arial" w:hAnsi="Arial"/>
                <w:color w:val="243447"/>
                <w:sz w:val="15"/>
              </w:rPr>
              <w:t>Audit cost</w:t>
            </w:r>
          </w:p>
        </w:tc>
        <w:tc>
          <w:tcPr>
            <w:tcW w:type="dxa" w:w="3312"/>
            <w:tcMar>
              <w:top w:w="80" w:type="dxa"/>
              <w:start w:w="120" w:type="dxa"/>
              <w:bottom w:w="80" w:type="dxa"/>
              <w:end w:w="120" w:type="dxa"/>
            </w:tcMar>
            <w:vAlign w:val="top"/>
            <w:shd w:fill="FAFBFC"/>
          </w:tcPr>
          <w:p>
            <w:pPr>
              <w:spacing w:after="0" w:line="240" w:lineRule="auto"/>
            </w:pPr>
            <w:r>
              <w:rPr>
                <w:rFonts w:ascii="Arial" w:hAnsi="Arial"/>
                <w:color w:val="243447"/>
                <w:sz w:val="15"/>
              </w:rPr>
              <w:t>Raw artifacts and traces grow quickly.</w:t>
            </w:r>
          </w:p>
        </w:tc>
        <w:tc>
          <w:tcPr>
            <w:tcW w:type="dxa" w:w="4032"/>
            <w:tcMar>
              <w:top w:w="80" w:type="dxa"/>
              <w:start w:w="120" w:type="dxa"/>
              <w:bottom w:w="80" w:type="dxa"/>
              <w:end w:w="120" w:type="dxa"/>
            </w:tcMar>
            <w:vAlign w:val="top"/>
            <w:shd w:fill="FAFBFC"/>
          </w:tcPr>
          <w:p>
            <w:pPr>
              <w:spacing w:after="0" w:line="240" w:lineRule="auto"/>
            </w:pPr>
            <w:r>
              <w:rPr>
                <w:rFonts w:ascii="Arial" w:hAnsi="Arial"/>
                <w:color w:val="243447"/>
                <w:sz w:val="15"/>
              </w:rPr>
              <w:t>Tiered retention; artifact dedup; keep claim-critical locators and hashes indefinitely.</w:t>
            </w:r>
          </w:p>
        </w:tc>
      </w:tr>
      <w:tr>
        <w:tc>
          <w:tcPr>
            <w:tcW w:type="dxa" w:w="1800"/>
            <w:tcMar>
              <w:top w:w="80" w:type="dxa"/>
              <w:start w:w="120" w:type="dxa"/>
              <w:bottom w:w="80" w:type="dxa"/>
              <w:end w:w="120" w:type="dxa"/>
            </w:tcMar>
            <w:vAlign w:val="top"/>
          </w:tcPr>
          <w:p>
            <w:pPr>
              <w:spacing w:after="0" w:line="240" w:lineRule="auto"/>
            </w:pPr>
            <w:r>
              <w:rPr>
                <w:rFonts w:ascii="Arial" w:hAnsi="Arial"/>
                <w:color w:val="243447"/>
                <w:sz w:val="15"/>
              </w:rPr>
              <w:t>Framework coupling</w:t>
            </w:r>
          </w:p>
        </w:tc>
        <w:tc>
          <w:tcPr>
            <w:tcW w:type="dxa" w:w="3312"/>
            <w:tcMar>
              <w:top w:w="80" w:type="dxa"/>
              <w:start w:w="120" w:type="dxa"/>
              <w:bottom w:w="80" w:type="dxa"/>
              <w:end w:w="120" w:type="dxa"/>
            </w:tcMar>
            <w:vAlign w:val="top"/>
          </w:tcPr>
          <w:p>
            <w:pPr>
              <w:spacing w:after="0" w:line="240" w:lineRule="auto"/>
            </w:pPr>
            <w:r>
              <w:rPr>
                <w:rFonts w:ascii="Arial" w:hAnsi="Arial"/>
                <w:color w:val="243447"/>
                <w:sz w:val="15"/>
              </w:rPr>
              <w:t>LangGraph semantics leak into the evidence domain.</w:t>
            </w:r>
          </w:p>
        </w:tc>
        <w:tc>
          <w:tcPr>
            <w:tcW w:type="dxa" w:w="4032"/>
            <w:tcMar>
              <w:top w:w="80" w:type="dxa"/>
              <w:start w:w="120" w:type="dxa"/>
              <w:bottom w:w="80" w:type="dxa"/>
              <w:end w:w="120" w:type="dxa"/>
            </w:tcMar>
            <w:vAlign w:val="top"/>
          </w:tcPr>
          <w:p>
            <w:pPr>
              <w:spacing w:after="0" w:line="240" w:lineRule="auto"/>
            </w:pPr>
            <w:r>
              <w:rPr>
                <w:rFonts w:ascii="Arial" w:hAnsi="Arial"/>
                <w:color w:val="243447"/>
                <w:sz w:val="15"/>
              </w:rPr>
              <w:t>Case API and EvidenceDelta remain framework-neutral.</w:t>
            </w:r>
          </w:p>
        </w:tc>
      </w:tr>
      <w:tr>
        <w:tc>
          <w:tcPr>
            <w:tcW w:type="dxa" w:w="1800"/>
            <w:tcMar>
              <w:top w:w="80" w:type="dxa"/>
              <w:start w:w="120" w:type="dxa"/>
              <w:bottom w:w="80" w:type="dxa"/>
              <w:end w:w="120" w:type="dxa"/>
            </w:tcMar>
            <w:vAlign w:val="top"/>
            <w:shd w:fill="FAFBFC"/>
          </w:tcPr>
          <w:p>
            <w:pPr>
              <w:spacing w:after="0" w:line="240" w:lineRule="auto"/>
            </w:pPr>
            <w:r>
              <w:rPr>
                <w:rFonts w:ascii="Arial" w:hAnsi="Arial"/>
                <w:color w:val="243447"/>
                <w:sz w:val="15"/>
              </w:rPr>
              <w:t>False authority</w:t>
            </w:r>
          </w:p>
        </w:tc>
        <w:tc>
          <w:tcPr>
            <w:tcW w:type="dxa" w:w="3312"/>
            <w:tcMar>
              <w:top w:w="80" w:type="dxa"/>
              <w:start w:w="120" w:type="dxa"/>
              <w:bottom w:w="80" w:type="dxa"/>
              <w:end w:w="120" w:type="dxa"/>
            </w:tcMar>
            <w:vAlign w:val="top"/>
            <w:shd w:fill="FAFBFC"/>
          </w:tcPr>
          <w:p>
            <w:pPr>
              <w:spacing w:after="0" w:line="240" w:lineRule="auto"/>
            </w:pPr>
            <w:r>
              <w:rPr>
                <w:rFonts w:ascii="Arial" w:hAnsi="Arial"/>
                <w:color w:val="243447"/>
                <w:sz w:val="15"/>
              </w:rPr>
              <w:t>NVD/KEV enrichment overrides product vendor context.</w:t>
            </w:r>
          </w:p>
        </w:tc>
        <w:tc>
          <w:tcPr>
            <w:tcW w:type="dxa" w:w="4032"/>
            <w:tcMar>
              <w:top w:w="80" w:type="dxa"/>
              <w:start w:w="120" w:type="dxa"/>
              <w:bottom w:w="80" w:type="dxa"/>
              <w:end w:w="120" w:type="dxa"/>
            </w:tcMar>
            <w:vAlign w:val="top"/>
            <w:shd w:fill="FAFBFC"/>
          </w:tcPr>
          <w:p>
            <w:pPr>
              <w:spacing w:after="0" w:line="240" w:lineRule="auto"/>
            </w:pPr>
            <w:r>
              <w:rPr>
                <w:rFonts w:ascii="Arial" w:hAnsi="Arial"/>
                <w:color w:val="243447"/>
                <w:sz w:val="15"/>
              </w:rPr>
              <w:t>Store severity/status per source; never collapse conflicts silently.</w:t>
            </w:r>
          </w:p>
        </w:tc>
      </w:tr>
    </w:tbl>
    <w:p>
      <w:pPr>
        <w:spacing w:after="0"/>
      </w:pPr>
    </w:p>
    <w:p>
      <w:pPr>
        <w:pStyle w:val="Heading2"/>
      </w:pPr>
      <w:r>
        <w:t>12.2 Decision review triggers</w:t>
      </w:r>
    </w:p>
    <w:p>
      <w:pPr>
        <w:pStyle w:val="ListBullet"/>
        <w:keepLines w:val="0"/>
      </w:pPr>
      <w:r>
        <w:t>Adopt Temporal when measured long-running durability/versioning needs meet the criteria in §9.3.</w:t>
      </w:r>
    </w:p>
    <w:p>
      <w:pPr>
        <w:pStyle w:val="ListBullet"/>
        <w:keepLines w:val="0"/>
      </w:pPr>
      <w:r>
        <w:t>Create a new specialist capability only when its permissions, schema, knowledge base or evaluation target is materially distinct; ordinary scale uses more shards.</w:t>
      </w:r>
    </w:p>
    <w:p>
      <w:pPr>
        <w:pStyle w:val="ListBullet"/>
        <w:keepLines w:val="0"/>
      </w:pPr>
      <w:r>
        <w:t>Promote a one-off script into the tool registry after repeated use or high expected blast-radius reduction.</w:t>
      </w:r>
    </w:p>
    <w:p>
      <w:pPr>
        <w:pStyle w:val="ListBullet"/>
        <w:keepLines w:val="0"/>
      </w:pPr>
      <w:r>
        <w:t>Replace LangGraph only if the framework-neutral case API and event contracts can be preserved without evidence migration.</w:t>
      </w:r>
    </w:p>
    <w:p>
      <w:pPr>
        <w:spacing w:after="60"/>
      </w:pPr>
    </w:p>
    <w:p>
      <w:pPr>
        <w:pStyle w:val="Heading1"/>
      </w:pPr>
      <w:r>
        <w:t>13. Architecture acceptance criteria</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1944"/>
            <w:tcMar>
              <w:top w:w="80" w:type="dxa"/>
              <w:start w:w="120" w:type="dxa"/>
              <w:bottom w:w="80" w:type="dxa"/>
              <w:end w:w="120" w:type="dxa"/>
            </w:tcMar>
            <w:shd w:fill="F2F4F7"/>
            <w:vAlign w:val="center"/>
          </w:tcPr>
          <w:p>
            <w:pPr>
              <w:spacing w:after="0"/>
            </w:pPr>
            <w:r>
              <w:rPr>
                <w:rFonts w:ascii="Arial" w:hAnsi="Arial"/>
                <w:b/>
                <w:color w:val="17365D"/>
                <w:sz w:val="16"/>
              </w:rPr>
              <w:t>Area</w:t>
            </w:r>
          </w:p>
        </w:tc>
        <w:tc>
          <w:tcPr>
            <w:tcW w:type="dxa" w:w="7200"/>
            <w:tcMar>
              <w:top w:w="80" w:type="dxa"/>
              <w:start w:w="120" w:type="dxa"/>
              <w:bottom w:w="80" w:type="dxa"/>
              <w:end w:w="120" w:type="dxa"/>
            </w:tcMar>
            <w:shd w:fill="F2F4F7"/>
            <w:vAlign w:val="center"/>
          </w:tcPr>
          <w:p>
            <w:pPr>
              <w:spacing w:after="0"/>
            </w:pPr>
            <w:r>
              <w:rPr>
                <w:rFonts w:ascii="Arial" w:hAnsi="Arial"/>
                <w:b/>
                <w:color w:val="17365D"/>
                <w:sz w:val="16"/>
              </w:rPr>
              <w:t>Acceptance criterion</w:t>
            </w:r>
          </w:p>
        </w:tc>
      </w:tr>
      <w:tr>
        <w:tc>
          <w:tcPr>
            <w:tcW w:type="dxa" w:w="1944"/>
            <w:tcMar>
              <w:top w:w="80" w:type="dxa"/>
              <w:start w:w="120" w:type="dxa"/>
              <w:bottom w:w="80" w:type="dxa"/>
              <w:end w:w="120" w:type="dxa"/>
            </w:tcMar>
            <w:vAlign w:val="top"/>
          </w:tcPr>
          <w:p>
            <w:pPr>
              <w:spacing w:after="0" w:line="240" w:lineRule="auto"/>
            </w:pPr>
            <w:r>
              <w:rPr>
                <w:rFonts w:ascii="Arial" w:hAnsi="Arial"/>
                <w:color w:val="243447"/>
                <w:sz w:val="16"/>
              </w:rPr>
              <w:t>Applicability</w:t>
            </w:r>
          </w:p>
        </w:tc>
        <w:tc>
          <w:tcPr>
            <w:tcW w:type="dxa" w:w="7200"/>
            <w:tcMar>
              <w:top w:w="80" w:type="dxa"/>
              <w:start w:w="120" w:type="dxa"/>
              <w:bottom w:w="80" w:type="dxa"/>
              <w:end w:w="120" w:type="dxa"/>
            </w:tcMar>
            <w:vAlign w:val="top"/>
          </w:tcPr>
          <w:p>
            <w:pPr>
              <w:spacing w:after="0" w:line="240" w:lineRule="auto"/>
            </w:pPr>
            <w:r>
              <w:rPr>
                <w:rFonts w:ascii="Arial" w:hAnsi="Arial"/>
                <w:color w:val="243447"/>
                <w:sz w:val="16"/>
              </w:rPr>
              <w:t>Deep orchestration starts only from a recorded candidate/override/inventory-gap decision; dormant records can reactivate.</w:t>
            </w:r>
          </w:p>
        </w:tc>
      </w:tr>
      <w:tr>
        <w:tc>
          <w:tcPr>
            <w:tcW w:type="dxa" w:w="1944"/>
            <w:tcMar>
              <w:top w:w="80" w:type="dxa"/>
              <w:start w:w="120" w:type="dxa"/>
              <w:bottom w:w="80" w:type="dxa"/>
              <w:end w:w="120" w:type="dxa"/>
            </w:tcMar>
            <w:vAlign w:val="top"/>
            <w:shd w:fill="FAFBFC"/>
          </w:tcPr>
          <w:p>
            <w:pPr>
              <w:spacing w:after="0" w:line="240" w:lineRule="auto"/>
            </w:pPr>
            <w:r>
              <w:rPr>
                <w:rFonts w:ascii="Arial" w:hAnsi="Arial"/>
                <w:color w:val="243447"/>
                <w:sz w:val="16"/>
              </w:rPr>
              <w:t>Evidence</w:t>
            </w:r>
          </w:p>
        </w:tc>
        <w:tc>
          <w:tcPr>
            <w:tcW w:type="dxa" w:w="7200"/>
            <w:tcMar>
              <w:top w:w="80" w:type="dxa"/>
              <w:start w:w="120" w:type="dxa"/>
              <w:bottom w:w="80" w:type="dxa"/>
              <w:end w:w="120" w:type="dxa"/>
            </w:tcMar>
            <w:vAlign w:val="top"/>
            <w:shd w:fill="FAFBFC"/>
          </w:tcPr>
          <w:p>
            <w:pPr>
              <w:spacing w:after="0" w:line="240" w:lineRule="auto"/>
            </w:pPr>
            <w:r>
              <w:rPr>
                <w:rFonts w:ascii="Arial" w:hAnsi="Arial"/>
                <w:color w:val="243447"/>
                <w:sz w:val="16"/>
              </w:rPr>
              <w:t>Every accepted claim has immutable artifact provenance and an exact locator; image/PDF/JS sources preserve modality metadata.</w:t>
            </w:r>
          </w:p>
        </w:tc>
      </w:tr>
      <w:tr>
        <w:tc>
          <w:tcPr>
            <w:tcW w:type="dxa" w:w="1944"/>
            <w:tcMar>
              <w:top w:w="80" w:type="dxa"/>
              <w:start w:w="120" w:type="dxa"/>
              <w:bottom w:w="80" w:type="dxa"/>
              <w:end w:w="120" w:type="dxa"/>
            </w:tcMar>
            <w:vAlign w:val="top"/>
          </w:tcPr>
          <w:p>
            <w:pPr>
              <w:spacing w:after="0" w:line="240" w:lineRule="auto"/>
            </w:pPr>
            <w:r>
              <w:rPr>
                <w:rFonts w:ascii="Arial" w:hAnsi="Arial"/>
                <w:color w:val="243447"/>
                <w:sz w:val="16"/>
              </w:rPr>
              <w:t>State</w:t>
            </w:r>
          </w:p>
        </w:tc>
        <w:tc>
          <w:tcPr>
            <w:tcW w:type="dxa" w:w="7200"/>
            <w:tcMar>
              <w:top w:w="80" w:type="dxa"/>
              <w:start w:w="120" w:type="dxa"/>
              <w:bottom w:w="80" w:type="dxa"/>
              <w:end w:w="120" w:type="dxa"/>
            </w:tcMar>
            <w:vAlign w:val="top"/>
          </w:tcPr>
          <w:p>
            <w:pPr>
              <w:spacing w:after="0" w:line="240" w:lineRule="auto"/>
            </w:pPr>
            <w:r>
              <w:rPr>
                <w:rFonts w:ascii="Arial" w:hAnsi="Arial"/>
                <w:color w:val="243447"/>
                <w:sz w:val="16"/>
              </w:rPr>
              <w:t>Runs return deltas; team reducers consolidate; only the case reducer appends authoritative events; phase is derived.</w:t>
            </w:r>
          </w:p>
        </w:tc>
      </w:tr>
      <w:tr>
        <w:tc>
          <w:tcPr>
            <w:tcW w:type="dxa" w:w="1944"/>
            <w:tcMar>
              <w:top w:w="80" w:type="dxa"/>
              <w:start w:w="120" w:type="dxa"/>
              <w:bottom w:w="80" w:type="dxa"/>
              <w:end w:w="120" w:type="dxa"/>
            </w:tcMar>
            <w:vAlign w:val="top"/>
            <w:shd w:fill="FAFBFC"/>
          </w:tcPr>
          <w:p>
            <w:pPr>
              <w:spacing w:after="0" w:line="240" w:lineRule="auto"/>
            </w:pPr>
            <w:r>
              <w:rPr>
                <w:rFonts w:ascii="Arial" w:hAnsi="Arial"/>
                <w:color w:val="243447"/>
                <w:sz w:val="16"/>
              </w:rPr>
              <w:t>Memory</w:t>
            </w:r>
          </w:p>
        </w:tc>
        <w:tc>
          <w:tcPr>
            <w:tcW w:type="dxa" w:w="7200"/>
            <w:tcMar>
              <w:top w:w="80" w:type="dxa"/>
              <w:start w:w="120" w:type="dxa"/>
              <w:bottom w:w="80" w:type="dxa"/>
              <w:end w:w="120" w:type="dxa"/>
            </w:tcMar>
            <w:vAlign w:val="top"/>
            <w:shd w:fill="FAFBFC"/>
          </w:tcPr>
          <w:p>
            <w:pPr>
              <w:spacing w:after="0" w:line="240" w:lineRule="auto"/>
            </w:pPr>
            <w:r>
              <w:rPr>
                <w:rFonts w:ascii="Arial" w:hAnsi="Arial"/>
                <w:color w:val="243447"/>
                <w:sz w:val="16"/>
              </w:rPr>
              <w:t>Run, team and session memories are scoped; the blackboard is rebuildable; capability memory is sanitized and versioned.</w:t>
            </w:r>
          </w:p>
        </w:tc>
      </w:tr>
      <w:tr>
        <w:tc>
          <w:tcPr>
            <w:tcW w:type="dxa" w:w="1944"/>
            <w:tcMar>
              <w:top w:w="80" w:type="dxa"/>
              <w:start w:w="120" w:type="dxa"/>
              <w:bottom w:w="80" w:type="dxa"/>
              <w:end w:w="120" w:type="dxa"/>
            </w:tcMar>
            <w:vAlign w:val="top"/>
          </w:tcPr>
          <w:p>
            <w:pPr>
              <w:spacing w:after="0" w:line="240" w:lineRule="auto"/>
            </w:pPr>
            <w:r>
              <w:rPr>
                <w:rFonts w:ascii="Arial" w:hAnsi="Arial"/>
                <w:color w:val="243447"/>
                <w:sz w:val="16"/>
              </w:rPr>
              <w:t>Concurrency</w:t>
            </w:r>
          </w:p>
        </w:tc>
        <w:tc>
          <w:tcPr>
            <w:tcW w:type="dxa" w:w="7200"/>
            <w:tcMar>
              <w:top w:w="80" w:type="dxa"/>
              <w:start w:w="120" w:type="dxa"/>
              <w:bottom w:w="80" w:type="dxa"/>
              <w:end w:w="120" w:type="dxa"/>
            </w:tcMar>
            <w:vAlign w:val="top"/>
          </w:tcPr>
          <w:p>
            <w:pPr>
              <w:spacing w:after="0" w:line="240" w:lineRule="auto"/>
            </w:pPr>
            <w:r>
              <w:rPr>
                <w:rFonts w:ascii="Arial" w:hAnsi="Arial"/>
                <w:color w:val="243447"/>
                <w:sz w:val="16"/>
              </w:rPr>
              <w:t>Independent shards run in parallel from one blackboard version; leases prevent duplication; conflicts become contradiction records.</w:t>
            </w:r>
          </w:p>
        </w:tc>
      </w:tr>
      <w:tr>
        <w:tc>
          <w:tcPr>
            <w:tcW w:type="dxa" w:w="1944"/>
            <w:tcMar>
              <w:top w:w="80" w:type="dxa"/>
              <w:start w:w="120" w:type="dxa"/>
              <w:bottom w:w="80" w:type="dxa"/>
              <w:end w:w="120" w:type="dxa"/>
            </w:tcMar>
            <w:vAlign w:val="top"/>
            <w:shd w:fill="FAFBFC"/>
          </w:tcPr>
          <w:p>
            <w:pPr>
              <w:spacing w:after="0" w:line="240" w:lineRule="auto"/>
            </w:pPr>
            <w:r>
              <w:rPr>
                <w:rFonts w:ascii="Arial" w:hAnsi="Arial"/>
                <w:color w:val="243447"/>
                <w:sz w:val="16"/>
              </w:rPr>
              <w:t>Audit</w:t>
            </w:r>
          </w:p>
        </w:tc>
        <w:tc>
          <w:tcPr>
            <w:tcW w:type="dxa" w:w="7200"/>
            <w:tcMar>
              <w:top w:w="80" w:type="dxa"/>
              <w:start w:w="120" w:type="dxa"/>
              <w:bottom w:w="80" w:type="dxa"/>
              <w:end w:w="120" w:type="dxa"/>
            </w:tcMar>
            <w:vAlign w:val="top"/>
            <w:shd w:fill="FAFBFC"/>
          </w:tcPr>
          <w:p>
            <w:pPr>
              <w:spacing w:after="0" w:line="240" w:lineRule="auto"/>
            </w:pPr>
            <w:r>
              <w:rPr>
                <w:rFonts w:ascii="Arial" w:hAnsi="Arial"/>
                <w:color w:val="243447"/>
                <w:sz w:val="16"/>
              </w:rPr>
              <w:t>Decision, evidence, execution, state and human lineages are exportable without relying on the observability vendor.</w:t>
            </w:r>
          </w:p>
        </w:tc>
      </w:tr>
      <w:tr>
        <w:tc>
          <w:tcPr>
            <w:tcW w:type="dxa" w:w="1944"/>
            <w:tcMar>
              <w:top w:w="80" w:type="dxa"/>
              <w:start w:w="120" w:type="dxa"/>
              <w:bottom w:w="80" w:type="dxa"/>
              <w:end w:w="120" w:type="dxa"/>
            </w:tcMar>
            <w:vAlign w:val="top"/>
          </w:tcPr>
          <w:p>
            <w:pPr>
              <w:spacing w:after="0" w:line="240" w:lineRule="auto"/>
            </w:pPr>
            <w:r>
              <w:rPr>
                <w:rFonts w:ascii="Arial" w:hAnsi="Arial"/>
                <w:color w:val="243447"/>
                <w:sz w:val="16"/>
              </w:rPr>
              <w:t>Recovery</w:t>
            </w:r>
          </w:p>
        </w:tc>
        <w:tc>
          <w:tcPr>
            <w:tcW w:type="dxa" w:w="7200"/>
            <w:tcMar>
              <w:top w:w="80" w:type="dxa"/>
              <w:start w:w="120" w:type="dxa"/>
              <w:bottom w:w="80" w:type="dxa"/>
              <w:end w:w="120" w:type="dxa"/>
            </w:tcMar>
            <w:vAlign w:val="top"/>
          </w:tcPr>
          <w:p>
            <w:pPr>
              <w:spacing w:after="0" w:line="240" w:lineRule="auto"/>
            </w:pPr>
            <w:r>
              <w:rPr>
                <w:rFonts w:ascii="Arial" w:hAnsi="Arial"/>
                <w:color w:val="243447"/>
                <w:sz w:val="16"/>
              </w:rPr>
              <w:t>An interrupted run resumes idempotently from a checkpoint and ledger watermark.</w:t>
            </w:r>
          </w:p>
        </w:tc>
      </w:tr>
      <w:tr>
        <w:tc>
          <w:tcPr>
            <w:tcW w:type="dxa" w:w="1944"/>
            <w:tcMar>
              <w:top w:w="80" w:type="dxa"/>
              <w:start w:w="120" w:type="dxa"/>
              <w:bottom w:w="80" w:type="dxa"/>
              <w:end w:w="120" w:type="dxa"/>
            </w:tcMar>
            <w:vAlign w:val="top"/>
            <w:shd w:fill="FAFBFC"/>
          </w:tcPr>
          <w:p>
            <w:pPr>
              <w:spacing w:after="0" w:line="240" w:lineRule="auto"/>
            </w:pPr>
            <w:r>
              <w:rPr>
                <w:rFonts w:ascii="Arial" w:hAnsi="Arial"/>
                <w:color w:val="243447"/>
                <w:sz w:val="16"/>
              </w:rPr>
              <w:t>Loops</w:t>
            </w:r>
          </w:p>
        </w:tc>
        <w:tc>
          <w:tcPr>
            <w:tcW w:type="dxa" w:w="7200"/>
            <w:tcMar>
              <w:top w:w="80" w:type="dxa"/>
              <w:start w:w="120" w:type="dxa"/>
              <w:bottom w:w="80" w:type="dxa"/>
              <w:end w:w="120" w:type="dxa"/>
            </w:tcMar>
            <w:vAlign w:val="top"/>
            <w:shd w:fill="FAFBFC"/>
          </w:tcPr>
          <w:p>
            <w:pPr>
              <w:spacing w:after="0" w:line="240" w:lineRule="auto"/>
            </w:pPr>
            <w:r>
              <w:rPr>
                <w:rFonts w:ascii="Arial" w:hAnsi="Arial"/>
                <w:color w:val="243447"/>
                <w:sz w:val="16"/>
              </w:rPr>
              <w:t>Repeated zero-delta actions trigger a deterministic alternate action, escalation, park or stop decision.</w:t>
            </w:r>
          </w:p>
        </w:tc>
      </w:tr>
      <w:tr>
        <w:tc>
          <w:tcPr>
            <w:tcW w:type="dxa" w:w="1944"/>
            <w:tcMar>
              <w:top w:w="80" w:type="dxa"/>
              <w:start w:w="120" w:type="dxa"/>
              <w:bottom w:w="80" w:type="dxa"/>
              <w:end w:w="120" w:type="dxa"/>
            </w:tcMar>
            <w:vAlign w:val="top"/>
          </w:tcPr>
          <w:p>
            <w:pPr>
              <w:spacing w:after="0" w:line="240" w:lineRule="auto"/>
            </w:pPr>
            <w:r>
              <w:rPr>
                <w:rFonts w:ascii="Arial" w:hAnsi="Arial"/>
                <w:color w:val="243447"/>
                <w:sz w:val="16"/>
              </w:rPr>
              <w:t>Outputs</w:t>
            </w:r>
          </w:p>
        </w:tc>
        <w:tc>
          <w:tcPr>
            <w:tcW w:type="dxa" w:w="7200"/>
            <w:tcMar>
              <w:top w:w="80" w:type="dxa"/>
              <w:start w:w="120" w:type="dxa"/>
              <w:bottom w:w="80" w:type="dxa"/>
              <w:end w:w="120" w:type="dxa"/>
            </w:tcMar>
            <w:vAlign w:val="top"/>
          </w:tcPr>
          <w:p>
            <w:pPr>
              <w:spacing w:after="0" w:line="240" w:lineRule="auto"/>
            </w:pPr>
            <w:r>
              <w:rPr>
                <w:rFonts w:ascii="Arial" w:hAnsi="Arial"/>
                <w:color w:val="243447"/>
                <w:sz w:val="16"/>
              </w:rPr>
              <w:t>Executive, analyst, on-call and engineer views project from the same claim graph; unknown states create investigation work.</w:t>
            </w:r>
          </w:p>
        </w:tc>
      </w:tr>
      <w:tr>
        <w:tc>
          <w:tcPr>
            <w:tcW w:type="dxa" w:w="1944"/>
            <w:tcMar>
              <w:top w:w="80" w:type="dxa"/>
              <w:start w:w="120" w:type="dxa"/>
              <w:bottom w:w="80" w:type="dxa"/>
              <w:end w:w="120" w:type="dxa"/>
            </w:tcMar>
            <w:vAlign w:val="top"/>
            <w:shd w:fill="FAFBFC"/>
          </w:tcPr>
          <w:p>
            <w:pPr>
              <w:spacing w:after="0" w:line="240" w:lineRule="auto"/>
            </w:pPr>
            <w:r>
              <w:rPr>
                <w:rFonts w:ascii="Arial" w:hAnsi="Arial"/>
                <w:color w:val="243447"/>
                <w:sz w:val="16"/>
              </w:rPr>
              <w:t>Framework exit</w:t>
            </w:r>
          </w:p>
        </w:tc>
        <w:tc>
          <w:tcPr>
            <w:tcW w:type="dxa" w:w="7200"/>
            <w:tcMar>
              <w:top w:w="80" w:type="dxa"/>
              <w:start w:w="120" w:type="dxa"/>
              <w:bottom w:w="80" w:type="dxa"/>
              <w:end w:w="120" w:type="dxa"/>
            </w:tcMar>
            <w:vAlign w:val="top"/>
            <w:shd w:fill="FAFBFC"/>
          </w:tcPr>
          <w:p>
            <w:pPr>
              <w:spacing w:after="0" w:line="240" w:lineRule="auto"/>
            </w:pPr>
            <w:r>
              <w:rPr>
                <w:rFonts w:ascii="Arial" w:hAnsi="Arial"/>
                <w:color w:val="243447"/>
                <w:sz w:val="16"/>
              </w:rPr>
              <w:t>Evidence and audit records remain usable if the graph runtime changes.</w:t>
            </w:r>
          </w:p>
        </w:tc>
      </w:tr>
    </w:tbl>
    <w:p>
      <w:pPr>
        <w:spacing w:after="0"/>
      </w:pPr>
    </w:p>
    <w:p>
      <w:pPr>
        <w:pStyle w:val="Heading2"/>
      </w:pPr>
      <w:r>
        <w:t>13.1 Final recommendation</w:t>
      </w:r>
    </w:p>
    <w:tbl>
      <w:tblPr>
        <w:tblW w:type="auto" w:w="0"/>
        <w:jc w:val="center"/>
        <w:tblLayout w:type="fixed"/>
        <w:tblLook w:firstColumn="1" w:firstRow="1" w:lastColumn="0" w:lastRow="0" w:noHBand="0" w:noVBand="1" w:val="04A0"/>
      </w:tblPr>
      <w:tblGrid>
        <w:gridCol w:w="9144"/>
      </w:tblGrid>
      <w:tr>
        <w:trPr>
          <w:cantSplit/>
        </w:trPr>
        <w:tc>
          <w:tcPr>
            <w:tcW w:type="dxa" w:w="9144"/>
            <w:tcMar>
              <w:top w:w="140" w:type="dxa"/>
              <w:start w:w="160" w:type="dxa"/>
              <w:bottom w:w="140" w:type="dxa"/>
              <w:end w:w="160" w:type="dxa"/>
            </w:tcMar>
            <w:shd w:fill="E8F4F2"/>
            <w:tcBorders>
              <w:top w:sz="10" w:val="single" w:color="1B7F79" w:space="0"/>
              <w:left w:sz="10" w:val="single" w:color="1B7F79" w:space="0"/>
              <w:bottom w:sz="10" w:val="single" w:color="1B7F79" w:space="0"/>
              <w:right w:sz="10" w:val="single" w:color="1B7F79" w:space="0"/>
            </w:tcBorders>
          </w:tcPr>
          <w:p>
            <w:pPr>
              <w:spacing w:after="60"/>
            </w:pPr>
            <w:r>
              <w:rPr>
                <w:rFonts w:ascii="Arial" w:hAnsi="Arial"/>
                <w:b/>
                <w:color w:val="17365D"/>
                <w:sz w:val="22"/>
              </w:rPr>
              <w:t>Proceed</w:t>
            </w:r>
          </w:p>
          <w:p>
            <w:pPr>
              <w:spacing w:after="0" w:line="252" w:lineRule="auto"/>
            </w:pPr>
            <w:r>
              <w:t>Implement a thin, case-centric harness in Python with LangGraph as the execution kernel, PostgreSQL as the authoritative event/evidence state, object storage for immutable artifacts and a rebuildable materialized blackboard. Begin with three specialist capabilities: elastic acquisition, elastic evidence resolution and a remediation composer that fans out only by independent operational domain. Keep Temporal out of v1, but preserve a clean outer-workflow seam.</w:t>
            </w:r>
          </w:p>
        </w:tc>
      </w:tr>
    </w:tbl>
    <w:p>
      <w:pPr>
        <w:pStyle w:val="Heading2"/>
      </w:pPr>
      <w:r>
        <w:t>13.2 First implementation decision after this memo</w:t>
      </w:r>
    </w:p>
    <w:p>
      <w:pPr>
        <w:keepLines w:val="0"/>
      </w:pPr>
      <w:r>
        <w:t>Freeze the v0 contracts—CaseEvent, EvidenceDelta, TeamMission, WorkShard, Blackboard, claim/provenance and asset applicability states—and test them against representative CERT-In/vendor fixtures before writing the full graph. If those contracts are sound, the orchestration framework remains an implementation choice rather than a source of domain lock-in.</w:t>
      </w:r>
    </w:p>
    <w:p>
      <w:pPr>
        <w:spacing w:after="60"/>
      </w:pPr>
    </w:p>
    <w:p>
      <w:pPr>
        <w:pStyle w:val="Heading1"/>
      </w:pPr>
      <w:r>
        <w:t>Appendix A. Canonical state vocabularies</w:t>
      </w:r>
    </w:p>
    <w:p>
      <w:pPr>
        <w:pStyle w:val="Heading2"/>
      </w:pPr>
      <w:r>
        <w:t>A.1 Asset applicability state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tcMar>
              <w:top w:w="80" w:type="dxa"/>
              <w:start w:w="120" w:type="dxa"/>
              <w:bottom w:w="80" w:type="dxa"/>
              <w:end w:w="120" w:type="dxa"/>
            </w:tcMar>
            <w:shd w:fill="F2F4F7"/>
            <w:vAlign w:val="center"/>
          </w:tcPr>
          <w:p>
            <w:pPr>
              <w:spacing w:after="0"/>
            </w:pPr>
            <w:r>
              <w:rPr>
                <w:rFonts w:ascii="Arial" w:hAnsi="Arial"/>
                <w:b/>
                <w:color w:val="17365D"/>
                <w:sz w:val="17"/>
              </w:rPr>
              <w:t>State</w:t>
            </w:r>
          </w:p>
        </w:tc>
        <w:tc>
          <w:tcPr>
            <w:tcW w:type="dxa" w:w="6840"/>
            <w:tcMar>
              <w:top w:w="80" w:type="dxa"/>
              <w:start w:w="120" w:type="dxa"/>
              <w:bottom w:w="80" w:type="dxa"/>
              <w:end w:w="120" w:type="dxa"/>
            </w:tcMar>
            <w:shd w:fill="F2F4F7"/>
            <w:vAlign w:val="center"/>
          </w:tcPr>
          <w:p>
            <w:pPr>
              <w:spacing w:after="0"/>
            </w:pPr>
            <w:r>
              <w:rPr>
                <w:rFonts w:ascii="Arial" w:hAnsi="Arial"/>
                <w:b/>
                <w:color w:val="17365D"/>
                <w:sz w:val="17"/>
              </w:rPr>
              <w:t>Meaning</w:t>
            </w:r>
          </w:p>
        </w:tc>
      </w:tr>
      <w:tr>
        <w:tc>
          <w:tcPr>
            <w:tcW w:type="dxa" w:w="2304"/>
            <w:tcMar>
              <w:top w:w="80" w:type="dxa"/>
              <w:start w:w="120" w:type="dxa"/>
              <w:bottom w:w="80" w:type="dxa"/>
              <w:end w:w="120" w:type="dxa"/>
            </w:tcMar>
            <w:vAlign w:val="top"/>
          </w:tcPr>
          <w:p>
            <w:pPr>
              <w:spacing w:after="0" w:line="240" w:lineRule="auto"/>
            </w:pPr>
            <w:r>
              <w:rPr>
                <w:rFonts w:ascii="Arial" w:hAnsi="Arial"/>
                <w:color w:val="243447"/>
                <w:sz w:val="17"/>
              </w:rPr>
              <w:t>affected</w:t>
            </w:r>
          </w:p>
        </w:tc>
        <w:tc>
          <w:tcPr>
            <w:tcW w:type="dxa" w:w="6840"/>
            <w:tcMar>
              <w:top w:w="80" w:type="dxa"/>
              <w:start w:w="120" w:type="dxa"/>
              <w:bottom w:w="80" w:type="dxa"/>
              <w:end w:w="120" w:type="dxa"/>
            </w:tcMar>
            <w:vAlign w:val="top"/>
          </w:tcPr>
          <w:p>
            <w:pPr>
              <w:spacing w:after="0" w:line="240" w:lineRule="auto"/>
            </w:pPr>
            <w:r>
              <w:rPr>
                <w:rFonts w:ascii="Arial" w:hAnsi="Arial"/>
                <w:color w:val="243447"/>
                <w:sz w:val="17"/>
              </w:rPr>
              <w:t>Evidence establishes that the observed asset state is within the vulnerable scope.</w:t>
            </w:r>
          </w:p>
        </w:tc>
      </w:tr>
      <w:tr>
        <w:tc>
          <w:tcPr>
            <w:tcW w:type="dxa" w:w="2304"/>
            <w:tcMar>
              <w:top w:w="80" w:type="dxa"/>
              <w:start w:w="120" w:type="dxa"/>
              <w:bottom w:w="80" w:type="dxa"/>
              <w:end w:w="120" w:type="dxa"/>
            </w:tcMar>
            <w:vAlign w:val="top"/>
            <w:shd w:fill="FAFBFC"/>
          </w:tcPr>
          <w:p>
            <w:pPr>
              <w:spacing w:after="0" w:line="240" w:lineRule="auto"/>
            </w:pPr>
            <w:r>
              <w:rPr>
                <w:rFonts w:ascii="Arial" w:hAnsi="Arial"/>
                <w:color w:val="243447"/>
                <w:sz w:val="17"/>
              </w:rPr>
              <w:t>not_affected</w:t>
            </w:r>
          </w:p>
        </w:tc>
        <w:tc>
          <w:tcPr>
            <w:tcW w:type="dxa" w:w="6840"/>
            <w:tcMar>
              <w:top w:w="80" w:type="dxa"/>
              <w:start w:w="120" w:type="dxa"/>
              <w:bottom w:w="80" w:type="dxa"/>
              <w:end w:w="120" w:type="dxa"/>
            </w:tcMar>
            <w:vAlign w:val="top"/>
            <w:shd w:fill="FAFBFC"/>
          </w:tcPr>
          <w:p>
            <w:pPr>
              <w:spacing w:after="0" w:line="240" w:lineRule="auto"/>
            </w:pPr>
            <w:r>
              <w:rPr>
                <w:rFonts w:ascii="Arial" w:hAnsi="Arial"/>
                <w:color w:val="243447"/>
                <w:sz w:val="17"/>
              </w:rPr>
              <w:t>Authoritative evidence and observed configuration establish exclusion.</w:t>
            </w:r>
          </w:p>
        </w:tc>
      </w:tr>
      <w:tr>
        <w:tc>
          <w:tcPr>
            <w:tcW w:type="dxa" w:w="2304"/>
            <w:tcMar>
              <w:top w:w="80" w:type="dxa"/>
              <w:start w:w="120" w:type="dxa"/>
              <w:bottom w:w="80" w:type="dxa"/>
              <w:end w:w="120" w:type="dxa"/>
            </w:tcMar>
            <w:vAlign w:val="top"/>
          </w:tcPr>
          <w:p>
            <w:pPr>
              <w:spacing w:after="0" w:line="240" w:lineRule="auto"/>
            </w:pPr>
            <w:r>
              <w:rPr>
                <w:rFonts w:ascii="Arial" w:hAnsi="Arial"/>
                <w:color w:val="243447"/>
                <w:sz w:val="17"/>
              </w:rPr>
              <w:t>fixed</w:t>
            </w:r>
          </w:p>
        </w:tc>
        <w:tc>
          <w:tcPr>
            <w:tcW w:type="dxa" w:w="6840"/>
            <w:tcMar>
              <w:top w:w="80" w:type="dxa"/>
              <w:start w:w="120" w:type="dxa"/>
              <w:bottom w:w="80" w:type="dxa"/>
              <w:end w:w="120" w:type="dxa"/>
            </w:tcMar>
            <w:vAlign w:val="top"/>
          </w:tcPr>
          <w:p>
            <w:pPr>
              <w:spacing w:after="0" w:line="240" w:lineRule="auto"/>
            </w:pPr>
            <w:r>
              <w:rPr>
                <w:rFonts w:ascii="Arial" w:hAnsi="Arial"/>
                <w:color w:val="243447"/>
                <w:sz w:val="17"/>
              </w:rPr>
              <w:t>Observed asset state meets the authoritative fixed version/patch/configuration.</w:t>
            </w:r>
          </w:p>
        </w:tc>
      </w:tr>
      <w:tr>
        <w:tc>
          <w:tcPr>
            <w:tcW w:type="dxa" w:w="2304"/>
            <w:tcMar>
              <w:top w:w="80" w:type="dxa"/>
              <w:start w:w="120" w:type="dxa"/>
              <w:bottom w:w="80" w:type="dxa"/>
              <w:end w:w="120" w:type="dxa"/>
            </w:tcMar>
            <w:vAlign w:val="top"/>
            <w:shd w:fill="FAFBFC"/>
          </w:tcPr>
          <w:p>
            <w:pPr>
              <w:spacing w:after="0" w:line="240" w:lineRule="auto"/>
            </w:pPr>
            <w:r>
              <w:rPr>
                <w:rFonts w:ascii="Arial" w:hAnsi="Arial"/>
                <w:color w:val="243447"/>
                <w:sz w:val="17"/>
              </w:rPr>
              <w:t>under_investigation</w:t>
            </w:r>
          </w:p>
        </w:tc>
        <w:tc>
          <w:tcPr>
            <w:tcW w:type="dxa" w:w="6840"/>
            <w:tcMar>
              <w:top w:w="80" w:type="dxa"/>
              <w:start w:w="120" w:type="dxa"/>
              <w:bottom w:w="80" w:type="dxa"/>
              <w:end w:w="120" w:type="dxa"/>
            </w:tcMar>
            <w:vAlign w:val="top"/>
            <w:shd w:fill="FAFBFC"/>
          </w:tcPr>
          <w:p>
            <w:pPr>
              <w:spacing w:after="0" w:line="240" w:lineRule="auto"/>
            </w:pPr>
            <w:r>
              <w:rPr>
                <w:rFonts w:ascii="Arial" w:hAnsi="Arial"/>
                <w:color w:val="243447"/>
                <w:sz w:val="17"/>
              </w:rPr>
              <w:t>A named evidence collection or ownership action is open.</w:t>
            </w:r>
          </w:p>
        </w:tc>
      </w:tr>
      <w:tr>
        <w:tc>
          <w:tcPr>
            <w:tcW w:type="dxa" w:w="2304"/>
            <w:tcMar>
              <w:top w:w="80" w:type="dxa"/>
              <w:start w:w="120" w:type="dxa"/>
              <w:bottom w:w="80" w:type="dxa"/>
              <w:end w:w="120" w:type="dxa"/>
            </w:tcMar>
            <w:vAlign w:val="top"/>
          </w:tcPr>
          <w:p>
            <w:pPr>
              <w:spacing w:after="0" w:line="240" w:lineRule="auto"/>
            </w:pPr>
            <w:r>
              <w:rPr>
                <w:rFonts w:ascii="Arial" w:hAnsi="Arial"/>
                <w:color w:val="243447"/>
                <w:sz w:val="17"/>
              </w:rPr>
              <w:t>unknown</w:t>
            </w:r>
          </w:p>
        </w:tc>
        <w:tc>
          <w:tcPr>
            <w:tcW w:type="dxa" w:w="6840"/>
            <w:tcMar>
              <w:top w:w="80" w:type="dxa"/>
              <w:start w:w="120" w:type="dxa"/>
              <w:bottom w:w="80" w:type="dxa"/>
              <w:end w:w="120" w:type="dxa"/>
            </w:tcMar>
            <w:vAlign w:val="top"/>
          </w:tcPr>
          <w:p>
            <w:pPr>
              <w:spacing w:after="0" w:line="240" w:lineRule="auto"/>
            </w:pPr>
            <w:r>
              <w:rPr>
                <w:rFonts w:ascii="Arial" w:hAnsi="Arial"/>
                <w:color w:val="243447"/>
                <w:sz w:val="17"/>
              </w:rPr>
              <w:t>Available evidence cannot support a safe determination; reason and re-check trigger required.</w:t>
            </w:r>
          </w:p>
        </w:tc>
      </w:tr>
    </w:tbl>
    <w:p>
      <w:pPr>
        <w:spacing w:after="0"/>
      </w:pPr>
    </w:p>
    <w:p>
      <w:pPr>
        <w:pStyle w:val="Heading2"/>
      </w:pPr>
      <w:r>
        <w:t>A.2 Claim provenance envelope</w:t>
      </w:r>
    </w:p>
    <w:tbl>
      <w:tblPr>
        <w:tblW w:type="auto" w:w="0"/>
        <w:jc w:val="center"/>
        <w:tblLook w:firstColumn="1" w:firstRow="1" w:lastColumn="0" w:lastRow="0" w:noHBand="0" w:noVBand="1" w:val="04A0"/>
      </w:tblPr>
      <w:tblGrid>
        <w:gridCol w:w="9360"/>
      </w:tblGrid>
      <w:tr>
        <w:trPr>
          <w:cantSplit/>
        </w:trPr>
        <w:tc>
          <w:tcPr>
            <w:tcW w:type="dxa" w:w="9360"/>
            <w:shd w:fill="F6F8FA"/>
            <w:tcMar>
              <w:top w:w="110" w:type="dxa"/>
              <w:start w:w="140" w:type="dxa"/>
              <w:bottom w:w="110" w:type="dxa"/>
              <w:end w:w="140" w:type="dxa"/>
            </w:tcMar>
            <w:tcBorders>
              <w:top w:sz="6" w:val="single" w:color="D0D5DD" w:space="0"/>
              <w:left w:sz="6" w:val="single" w:color="D0D5DD" w:space="0"/>
              <w:bottom w:sz="6" w:val="single" w:color="D0D5DD" w:space="0"/>
              <w:right w:sz="6" w:val="single" w:color="D0D5DD" w:space="0"/>
            </w:tcBorders>
          </w:tcPr>
          <w:p>
            <w:pPr>
              <w:spacing w:after="0"/>
            </w:pPr>
            <w:r>
              <w:rPr>
                <w:rFonts w:ascii="Consolas" w:hAnsi="Consolas"/>
                <w:color w:val="243447"/>
                <w:sz w:val="16"/>
              </w:rPr>
              <w:t>ClaimProvenance = {</w:t>
              <w:br/>
            </w:r>
            <w:r>
              <w:rPr>
                <w:rFonts w:ascii="Consolas" w:hAnsi="Consolas"/>
                <w:color w:val="243447"/>
                <w:sz w:val="16"/>
              </w:rPr>
              <w:t xml:space="preserve">  source_url, final_url, publisher, authority_class, artifact_sha256,</w:t>
              <w:br/>
            </w:r>
            <w:r>
              <w:rPr>
                <w:rFonts w:ascii="Consolas" w:hAnsi="Consolas"/>
                <w:color w:val="243447"/>
                <w:sz w:val="16"/>
              </w:rPr>
              <w:t xml:space="preserve">  retrieved_at, published_at, revised_at,</w:t>
              <w:br/>
            </w:r>
            <w:r>
              <w:rPr>
                <w:rFonts w:ascii="Consolas" w:hAnsi="Consolas"/>
                <w:color w:val="243447"/>
                <w:sz w:val="16"/>
              </w:rPr>
              <w:t xml:space="preserve">  location: DOM selector | JSON pointer | PDF page+bbox | image bbox | table cell,</w:t>
              <w:br/>
            </w:r>
            <w:r>
              <w:rPr>
                <w:rFonts w:ascii="Consolas" w:hAnsi="Consolas"/>
                <w:color w:val="243447"/>
                <w:sz w:val="16"/>
              </w:rPr>
              <w:t xml:space="preserve">  extraction_method, parser_or_model_version, raw_excerpt, confidence, freshness</w:t>
              <w:br/>
            </w:r>
            <w:r>
              <w:rPr>
                <w:rFonts w:ascii="Consolas" w:hAnsi="Consolas"/>
                <w:color w:val="243447"/>
                <w:sz w:val="16"/>
              </w:rPr>
              <w:t>}</w:t>
            </w:r>
          </w:p>
        </w:tc>
      </w:tr>
    </w:tbl>
    <w:p>
      <w:pPr>
        <w:pStyle w:val="Heading2"/>
      </w:pPr>
      <w:r>
        <w:t>A.3 Recommended authority policy</w:t>
      </w:r>
    </w:p>
    <w:p>
      <w:pPr>
        <w:keepLines w:val="0"/>
      </w:pPr>
      <w:r>
        <w:t>Authority is claim-specific. A vendor advisory normally governs product affected/fixed versions; a signed CSAF/VEX is preferred for machine action; a project maintainer or commit governs component fix detail; CISA KEV governs catalog inclusion and due date; incident research supports campaign/IOC claims; NVD/CNA enriches identity, CVSS, CWE and CPE but should not silently override product-context risk. All conflicting values remain source-scoped.</w:t>
      </w:r>
    </w:p>
    <w:p>
      <w:pPr>
        <w:pStyle w:val="Heading2"/>
      </w:pPr>
      <w:r>
        <w:t>A.4 Tool-builder admission test</w:t>
      </w:r>
    </w:p>
    <w:p>
      <w:pPr>
        <w:pStyle w:val="ListBullet"/>
        <w:keepLines w:val="0"/>
      </w:pPr>
      <w:r>
        <w:t>The failure repeats across cases or affects a high-value vendor/product surface.</w:t>
      </w:r>
    </w:p>
    <w:p>
      <w:pPr>
        <w:pStyle w:val="ListBullet"/>
        <w:keepLines w:val="0"/>
      </w:pPr>
      <w:r>
        <w:t>The output can be schema-validated and tested against captured fixtures.</w:t>
      </w:r>
    </w:p>
    <w:p>
      <w:pPr>
        <w:pStyle w:val="ListBullet"/>
        <w:keepLines w:val="0"/>
      </w:pPr>
      <w:r>
        <w:t>The tool reduces expected tokens, latency or human review more than its maintenance cost.</w:t>
      </w:r>
    </w:p>
    <w:p>
      <w:pPr>
        <w:pStyle w:val="ListBullet"/>
        <w:keepLines w:val="0"/>
      </w:pPr>
      <w:r>
        <w:t>Permissions and failure modes can be bounded in a capability manifest.</w:t>
      </w:r>
    </w:p>
    <w:p>
      <w:pPr>
        <w:pStyle w:val="ListBullet"/>
        <w:keepLines w:val="0"/>
      </w:pPr>
      <w:r>
        <w:t>A deterministic parser is preferred over a model when the source structure is stable.</w:t>
      </w:r>
    </w:p>
    <w:p>
      <w:pPr>
        <w:spacing w:after="60"/>
      </w:pPr>
    </w:p>
    <w:p>
      <w:pPr>
        <w:pStyle w:val="Heading1"/>
      </w:pPr>
      <w:r>
        <w:t>Appendix B. Framework evidence and references</w:t>
      </w:r>
    </w:p>
    <w:p>
      <w:pPr>
        <w:keepLines w:val="0"/>
      </w:pPr>
      <w:r>
        <w:t>Research snapshot: 15 August 2026. Framework behavior should be revalidated before implementation upgrades.</w:t>
      </w:r>
    </w:p>
    <w:p>
      <w:pPr>
        <w:spacing w:after="120"/>
        <w:ind w:left="259" w:hanging="259"/>
      </w:pPr>
      <w:r>
        <w:rPr>
          <w:sz w:val="18"/>
        </w:rPr>
        <w:t xml:space="preserve">[1] LangGraph overview — durable execution, streaming, human-in-the-loop and stateful workflows. </w:t>
      </w:r>
      <w:r>
        <w:rPr>
          <w:rFonts w:ascii="Arial" w:hAnsi="Arial"/>
          <w:color w:val="2E74B5"/>
          <w:sz w:val="16"/>
          <w:u w:val="single"/>
        </w:rPr>
        <w:t>https://docs.langchain.com/oss/python/langgraph/overview</w:t>
      </w:r>
    </w:p>
    <w:p>
      <w:pPr>
        <w:spacing w:after="120"/>
        <w:ind w:left="259" w:hanging="259"/>
      </w:pPr>
      <w:r>
        <w:rPr>
          <w:sz w:val="18"/>
        </w:rPr>
        <w:t xml:space="preserve">[2] LangGraph persistence — checkpoints, threads, state history, production checkpointers and pending writes. </w:t>
      </w:r>
      <w:r>
        <w:rPr>
          <w:rFonts w:ascii="Arial" w:hAnsi="Arial"/>
          <w:color w:val="2E74B5"/>
          <w:sz w:val="16"/>
          <w:u w:val="single"/>
        </w:rPr>
        <w:t>https://docs.langchain.com/oss/python/langgraph/persistence</w:t>
      </w:r>
    </w:p>
    <w:p>
      <w:pPr>
        <w:spacing w:after="120"/>
        <w:ind w:left="259" w:hanging="259"/>
      </w:pPr>
      <w:r>
        <w:rPr>
          <w:sz w:val="18"/>
        </w:rPr>
        <w:t xml:space="preserve">[3] LangGraph subgraphs — per-invocation and per-thread persistence patterns for multi-agent systems. </w:t>
      </w:r>
      <w:r>
        <w:rPr>
          <w:rFonts w:ascii="Arial" w:hAnsi="Arial"/>
          <w:color w:val="2E74B5"/>
          <w:sz w:val="16"/>
          <w:u w:val="single"/>
        </w:rPr>
        <w:t>https://docs.langchain.com/oss/python/langgraph/use-subgraphs</w:t>
      </w:r>
    </w:p>
    <w:p>
      <w:pPr>
        <w:spacing w:after="120"/>
        <w:ind w:left="259" w:hanging="259"/>
      </w:pPr>
      <w:r>
        <w:rPr>
          <w:sz w:val="18"/>
        </w:rPr>
        <w:t xml:space="preserve">[4] LangGraph interrupts — durable pause and resume using thread identifiers. </w:t>
      </w:r>
      <w:r>
        <w:rPr>
          <w:rFonts w:ascii="Arial" w:hAnsi="Arial"/>
          <w:color w:val="2E74B5"/>
          <w:sz w:val="16"/>
          <w:u w:val="single"/>
        </w:rPr>
        <w:t>https://docs.langchain.com/oss/python/langgraph/interrupts</w:t>
      </w:r>
    </w:p>
    <w:p>
      <w:pPr>
        <w:spacing w:after="120"/>
        <w:ind w:left="259" w:hanging="259"/>
      </w:pPr>
      <w:r>
        <w:rPr>
          <w:sz w:val="18"/>
        </w:rPr>
        <w:t xml:space="preserve">[5] LangGraph time travel — replay and fork behavior from checkpoints. </w:t>
      </w:r>
      <w:r>
        <w:rPr>
          <w:rFonts w:ascii="Arial" w:hAnsi="Arial"/>
          <w:color w:val="2E74B5"/>
          <w:sz w:val="16"/>
          <w:u w:val="single"/>
        </w:rPr>
        <w:t>https://docs.langchain.com/oss/python/langgraph/use-time-travel</w:t>
      </w:r>
    </w:p>
    <w:p>
      <w:pPr>
        <w:spacing w:after="120"/>
        <w:ind w:left="259" w:hanging="259"/>
      </w:pPr>
      <w:r>
        <w:rPr>
          <w:sz w:val="18"/>
        </w:rPr>
        <w:t xml:space="preserve">[6] LangGraph backward compatibility — resumed threads use the latest deployed graph code. </w:t>
      </w:r>
      <w:r>
        <w:rPr>
          <w:rFonts w:ascii="Arial" w:hAnsi="Arial"/>
          <w:color w:val="2E74B5"/>
          <w:sz w:val="16"/>
          <w:u w:val="single"/>
        </w:rPr>
        <w:t>https://docs.langchain.com/oss/python/langgraph/backward-compatibility</w:t>
      </w:r>
    </w:p>
    <w:p>
      <w:pPr>
        <w:spacing w:after="120"/>
        <w:ind w:left="259" w:hanging="259"/>
      </w:pPr>
      <w:r>
        <w:rPr>
          <w:sz w:val="18"/>
        </w:rPr>
        <w:t xml:space="preserve">[7] Temporal documentation — durable, crash-resilient execution for long-running applications. </w:t>
      </w:r>
      <w:r>
        <w:rPr>
          <w:rFonts w:ascii="Arial" w:hAnsi="Arial"/>
          <w:color w:val="2E74B5"/>
          <w:sz w:val="16"/>
          <w:u w:val="single"/>
        </w:rPr>
        <w:t>https://docs.temporal.io/</w:t>
      </w:r>
    </w:p>
    <w:p>
      <w:pPr>
        <w:spacing w:after="120"/>
        <w:ind w:left="259" w:hanging="259"/>
      </w:pPr>
      <w:r>
        <w:rPr>
          <w:sz w:val="18"/>
        </w:rPr>
        <w:t xml:space="preserve">[8] OpenAI Agents SDK multi-agent patterns — manager-as-tools and handoffs. </w:t>
      </w:r>
      <w:r>
        <w:rPr>
          <w:rFonts w:ascii="Arial" w:hAnsi="Arial"/>
          <w:color w:val="2E74B5"/>
          <w:sz w:val="16"/>
          <w:u w:val="single"/>
        </w:rPr>
        <w:t>https://openai.github.io/openai-agents-python/multi_agent/</w:t>
      </w:r>
    </w:p>
    <w:p>
      <w:pPr>
        <w:spacing w:after="120"/>
        <w:ind w:left="259" w:hanging="259"/>
      </w:pPr>
      <w:r>
        <w:rPr>
          <w:sz w:val="18"/>
        </w:rPr>
        <w:t xml:space="preserve">[9] OpenAI Agents SDK tracing — generations, tools, handoffs, guardrails and custom events. </w:t>
      </w:r>
      <w:r>
        <w:rPr>
          <w:rFonts w:ascii="Arial" w:hAnsi="Arial"/>
          <w:color w:val="2E74B5"/>
          <w:sz w:val="16"/>
          <w:u w:val="single"/>
        </w:rPr>
        <w:t>https://openai.github.io/openai-agents-python/tracing/</w:t>
      </w:r>
    </w:p>
    <w:p>
      <w:pPr>
        <w:spacing w:after="120"/>
        <w:ind w:left="259" w:hanging="259"/>
      </w:pPr>
      <w:r>
        <w:rPr>
          <w:sz w:val="18"/>
        </w:rPr>
        <w:t xml:space="preserve">[10] OpenAI Agents SDK sessions — client-side conversation history and persistent session options. </w:t>
      </w:r>
      <w:r>
        <w:rPr>
          <w:rFonts w:ascii="Arial" w:hAnsi="Arial"/>
          <w:color w:val="2E74B5"/>
          <w:sz w:val="16"/>
          <w:u w:val="single"/>
        </w:rPr>
        <w:t>https://openai.github.io/openai-agents-python/sessions/</w:t>
      </w:r>
    </w:p>
    <w:p>
      <w:pPr>
        <w:spacing w:after="120"/>
        <w:ind w:left="259" w:hanging="259"/>
      </w:pPr>
      <w:r>
        <w:rPr>
          <w:sz w:val="18"/>
        </w:rPr>
        <w:t xml:space="preserve">[11] AutoGen distributed agent runtime — current experimental status. </w:t>
      </w:r>
      <w:r>
        <w:rPr>
          <w:rFonts w:ascii="Arial" w:hAnsi="Arial"/>
          <w:color w:val="2E74B5"/>
          <w:sz w:val="16"/>
          <w:u w:val="single"/>
        </w:rPr>
        <w:t>https://microsoft.github.io/autogen/stable/user-guide/core-user-guide/framework/distributed-agent-runtime.html</w:t>
      </w:r>
    </w:p>
    <w:p>
      <w:pPr>
        <w:spacing w:after="120"/>
        <w:ind w:left="259" w:hanging="259"/>
      </w:pPr>
      <w:r>
        <w:rPr>
          <w:sz w:val="18"/>
        </w:rPr>
        <w:t xml:space="preserve">[12] AutoGen team state — save/load behavior and running-state consistency caveat. </w:t>
      </w:r>
      <w:r>
        <w:rPr>
          <w:rFonts w:ascii="Arial" w:hAnsi="Arial"/>
          <w:color w:val="2E74B5"/>
          <w:sz w:val="16"/>
          <w:u w:val="single"/>
        </w:rPr>
        <w:t>https://microsoft.github.io/autogen/stable/reference/python/autogen_agentchat.teams.html</w:t>
      </w:r>
    </w:p>
    <w:p>
      <w:pPr>
        <w:spacing w:after="120"/>
        <w:ind w:left="259" w:hanging="259"/>
      </w:pPr>
      <w:r>
        <w:rPr>
          <w:sz w:val="18"/>
        </w:rPr>
        <w:t xml:space="preserve">[13] PydanticAI graph decisions — typed graph decisions, forks and parallel execution (beta API). </w:t>
      </w:r>
      <w:r>
        <w:rPr>
          <w:rFonts w:ascii="Arial" w:hAnsi="Arial"/>
          <w:color w:val="2E74B5"/>
          <w:sz w:val="16"/>
          <w:u w:val="single"/>
        </w:rPr>
        <w:t>https://ai.pydantic.dev/graph/beta/decisions/</w:t>
      </w:r>
    </w:p>
    <w:p>
      <w:pPr>
        <w:spacing w:after="120"/>
        <w:ind w:left="259" w:hanging="259"/>
      </w:pPr>
      <w:r>
        <w:rPr>
          <w:sz w:val="18"/>
        </w:rPr>
        <w:t xml:space="preserve">[14] OASIS CSAF 2.0 — interoperable product, vulnerability, status and remediation representation. </w:t>
      </w:r>
      <w:r>
        <w:rPr>
          <w:rFonts w:ascii="Arial" w:hAnsi="Arial"/>
          <w:color w:val="2E74B5"/>
          <w:sz w:val="16"/>
          <w:u w:val="single"/>
        </w:rPr>
        <w:t>https://docs.oasis-open.org/csaf/csaf/v2.0/os/csaf-v2.0-os.html</w:t>
      </w:r>
    </w:p>
    <w:p>
      <w:pPr>
        <w:spacing w:after="120"/>
        <w:ind w:left="259" w:hanging="259"/>
      </w:pPr>
      <w:r>
        <w:rPr>
          <w:sz w:val="18"/>
        </w:rPr>
        <w:t xml:space="preserve">[15] OpenAI model guidance — multi-agent coordination, lean instructions, bounded autonomy and explicit success criteria. </w:t>
      </w:r>
      <w:r>
        <w:rPr>
          <w:rFonts w:ascii="Arial" w:hAnsi="Arial"/>
          <w:color w:val="2E74B5"/>
          <w:sz w:val="16"/>
          <w:u w:val="single"/>
        </w:rPr>
        <w:t>https://developers.openai.com/api/docs/guides/latest-model</w:t>
      </w:r>
    </w:p>
    <w:p>
      <w:pPr>
        <w:pStyle w:val="Heading1"/>
      </w:pPr>
      <w:r>
        <w:t>Appendix C. Decision log</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376"/>
            <w:tcMar>
              <w:top w:w="80" w:type="dxa"/>
              <w:start w:w="120" w:type="dxa"/>
              <w:bottom w:w="80" w:type="dxa"/>
              <w:end w:w="120" w:type="dxa"/>
            </w:tcMar>
            <w:shd w:fill="F2F4F7"/>
            <w:vAlign w:val="center"/>
          </w:tcPr>
          <w:p>
            <w:pPr>
              <w:spacing w:after="0"/>
            </w:pPr>
            <w:r>
              <w:rPr>
                <w:rFonts w:ascii="Arial" w:hAnsi="Arial"/>
                <w:b/>
                <w:color w:val="17365D"/>
                <w:sz w:val="16"/>
              </w:rPr>
              <w:t>Decision</w:t>
            </w:r>
          </w:p>
        </w:tc>
        <w:tc>
          <w:tcPr>
            <w:tcW w:type="dxa" w:w="1440"/>
            <w:tcMar>
              <w:top w:w="80" w:type="dxa"/>
              <w:start w:w="120" w:type="dxa"/>
              <w:bottom w:w="80" w:type="dxa"/>
              <w:end w:w="120" w:type="dxa"/>
            </w:tcMar>
            <w:shd w:fill="F2F4F7"/>
            <w:vAlign w:val="center"/>
          </w:tcPr>
          <w:p>
            <w:pPr>
              <w:spacing w:after="0"/>
            </w:pPr>
            <w:r>
              <w:rPr>
                <w:rFonts w:ascii="Arial" w:hAnsi="Arial"/>
                <w:b/>
                <w:color w:val="17365D"/>
                <w:sz w:val="16"/>
              </w:rPr>
              <w:t>Disposition</w:t>
            </w:r>
          </w:p>
        </w:tc>
        <w:tc>
          <w:tcPr>
            <w:tcW w:type="dxa" w:w="5328"/>
            <w:tcMar>
              <w:top w:w="80" w:type="dxa"/>
              <w:start w:w="120" w:type="dxa"/>
              <w:bottom w:w="80" w:type="dxa"/>
              <w:end w:w="120" w:type="dxa"/>
            </w:tcMar>
            <w:shd w:fill="F2F4F7"/>
            <w:vAlign w:val="center"/>
          </w:tcPr>
          <w:p>
            <w:pPr>
              <w:spacing w:after="0"/>
            </w:pPr>
            <w:r>
              <w:rPr>
                <w:rFonts w:ascii="Arial" w:hAnsi="Arial"/>
                <w:b/>
                <w:color w:val="17365D"/>
                <w:sz w:val="16"/>
              </w:rPr>
              <w:t>Reason</w:t>
            </w:r>
          </w:p>
        </w:tc>
      </w:tr>
      <w:tr>
        <w:tc>
          <w:tcPr>
            <w:tcW w:type="dxa" w:w="2376"/>
            <w:tcMar>
              <w:top w:w="80" w:type="dxa"/>
              <w:start w:w="120" w:type="dxa"/>
              <w:bottom w:w="80" w:type="dxa"/>
              <w:end w:w="120" w:type="dxa"/>
            </w:tcMar>
            <w:vAlign w:val="top"/>
          </w:tcPr>
          <w:p>
            <w:pPr>
              <w:spacing w:after="0" w:line="240" w:lineRule="auto"/>
            </w:pPr>
            <w:r>
              <w:rPr>
                <w:rFonts w:ascii="Arial" w:hAnsi="Arial"/>
                <w:color w:val="243447"/>
                <w:sz w:val="16"/>
              </w:rPr>
              <w:t>Upstream applicability</w:t>
            </w:r>
          </w:p>
        </w:tc>
        <w:tc>
          <w:tcPr>
            <w:tcW w:type="dxa" w:w="1440"/>
            <w:tcMar>
              <w:top w:w="80" w:type="dxa"/>
              <w:start w:w="120" w:type="dxa"/>
              <w:bottom w:w="80" w:type="dxa"/>
              <w:end w:w="120" w:type="dxa"/>
            </w:tcMar>
            <w:vAlign w:val="top"/>
          </w:tcPr>
          <w:p>
            <w:pPr>
              <w:spacing w:after="0" w:line="240" w:lineRule="auto"/>
            </w:pPr>
            <w:r>
              <w:rPr>
                <w:rFonts w:ascii="Arial" w:hAnsi="Arial"/>
                <w:color w:val="243447"/>
                <w:sz w:val="16"/>
              </w:rPr>
              <w:t>Accepted</w:t>
            </w:r>
          </w:p>
        </w:tc>
        <w:tc>
          <w:tcPr>
            <w:tcW w:type="dxa" w:w="5328"/>
            <w:tcMar>
              <w:top w:w="80" w:type="dxa"/>
              <w:start w:w="120" w:type="dxa"/>
              <w:bottom w:w="80" w:type="dxa"/>
              <w:end w:w="120" w:type="dxa"/>
            </w:tcMar>
            <w:vAlign w:val="top"/>
          </w:tcPr>
          <w:p>
            <w:pPr>
              <w:spacing w:after="0" w:line="240" w:lineRule="auto"/>
            </w:pPr>
            <w:r>
              <w:rPr>
                <w:rFonts w:ascii="Arial" w:hAnsi="Arial"/>
                <w:color w:val="243447"/>
                <w:sz w:val="16"/>
              </w:rPr>
              <w:t>Reduces expensive exploration while preserving dormant re-check state.</w:t>
            </w:r>
          </w:p>
        </w:tc>
      </w:tr>
      <w:tr>
        <w:tc>
          <w:tcPr>
            <w:tcW w:type="dxa" w:w="2376"/>
            <w:tcMar>
              <w:top w:w="80" w:type="dxa"/>
              <w:start w:w="120" w:type="dxa"/>
              <w:bottom w:w="80" w:type="dxa"/>
              <w:end w:w="120" w:type="dxa"/>
            </w:tcMar>
            <w:vAlign w:val="top"/>
            <w:shd w:fill="FAFBFC"/>
          </w:tcPr>
          <w:p>
            <w:pPr>
              <w:spacing w:after="0" w:line="240" w:lineRule="auto"/>
            </w:pPr>
            <w:r>
              <w:rPr>
                <w:rFonts w:ascii="Arial" w:hAnsi="Arial"/>
                <w:color w:val="243447"/>
                <w:sz w:val="16"/>
              </w:rPr>
              <w:t>Multimodal team</w:t>
            </w:r>
          </w:p>
        </w:tc>
        <w:tc>
          <w:tcPr>
            <w:tcW w:type="dxa" w:w="1440"/>
            <w:tcMar>
              <w:top w:w="80" w:type="dxa"/>
              <w:start w:w="120" w:type="dxa"/>
              <w:bottom w:w="80" w:type="dxa"/>
              <w:end w:w="120" w:type="dxa"/>
            </w:tcMar>
            <w:vAlign w:val="top"/>
            <w:shd w:fill="FAFBFC"/>
          </w:tcPr>
          <w:p>
            <w:pPr>
              <w:spacing w:after="0" w:line="240" w:lineRule="auto"/>
            </w:pPr>
            <w:r>
              <w:rPr>
                <w:rFonts w:ascii="Arial" w:hAnsi="Arial"/>
                <w:color w:val="243447"/>
                <w:sz w:val="16"/>
              </w:rPr>
              <w:t>Rejected</w:t>
            </w:r>
          </w:p>
        </w:tc>
        <w:tc>
          <w:tcPr>
            <w:tcW w:type="dxa" w:w="5328"/>
            <w:tcMar>
              <w:top w:w="80" w:type="dxa"/>
              <w:start w:w="120" w:type="dxa"/>
              <w:bottom w:w="80" w:type="dxa"/>
              <w:end w:w="120" w:type="dxa"/>
            </w:tcMar>
            <w:vAlign w:val="top"/>
            <w:shd w:fill="FAFBFC"/>
          </w:tcPr>
          <w:p>
            <w:pPr>
              <w:spacing w:after="0" w:line="240" w:lineRule="auto"/>
            </w:pPr>
            <w:r>
              <w:rPr>
                <w:rFonts w:ascii="Arial" w:hAnsi="Arial"/>
                <w:color w:val="243447"/>
                <w:sz w:val="16"/>
              </w:rPr>
              <w:t>Modality belongs in the acquisition capability registry.</w:t>
            </w:r>
          </w:p>
        </w:tc>
      </w:tr>
      <w:tr>
        <w:tc>
          <w:tcPr>
            <w:tcW w:type="dxa" w:w="2376"/>
            <w:tcMar>
              <w:top w:w="80" w:type="dxa"/>
              <w:start w:w="120" w:type="dxa"/>
              <w:bottom w:w="80" w:type="dxa"/>
              <w:end w:w="120" w:type="dxa"/>
            </w:tcMar>
            <w:vAlign w:val="top"/>
          </w:tcPr>
          <w:p>
            <w:pPr>
              <w:spacing w:after="0" w:line="240" w:lineRule="auto"/>
            </w:pPr>
            <w:r>
              <w:rPr>
                <w:rFonts w:ascii="Arial" w:hAnsi="Arial"/>
                <w:color w:val="243447"/>
                <w:sz w:val="16"/>
              </w:rPr>
              <w:t>Small capability set</w:t>
            </w:r>
          </w:p>
        </w:tc>
        <w:tc>
          <w:tcPr>
            <w:tcW w:type="dxa" w:w="1440"/>
            <w:tcMar>
              <w:top w:w="80" w:type="dxa"/>
              <w:start w:w="120" w:type="dxa"/>
              <w:bottom w:w="80" w:type="dxa"/>
              <w:end w:w="120" w:type="dxa"/>
            </w:tcMar>
            <w:vAlign w:val="top"/>
          </w:tcPr>
          <w:p>
            <w:pPr>
              <w:spacing w:after="0" w:line="240" w:lineRule="auto"/>
            </w:pPr>
            <w:r>
              <w:rPr>
                <w:rFonts w:ascii="Arial" w:hAnsi="Arial"/>
                <w:color w:val="243447"/>
                <w:sz w:val="16"/>
              </w:rPr>
              <w:t>Accepted</w:t>
            </w:r>
          </w:p>
        </w:tc>
        <w:tc>
          <w:tcPr>
            <w:tcW w:type="dxa" w:w="5328"/>
            <w:tcMar>
              <w:top w:w="80" w:type="dxa"/>
              <w:start w:w="120" w:type="dxa"/>
              <w:bottom w:w="80" w:type="dxa"/>
              <w:end w:w="120" w:type="dxa"/>
            </w:tcMar>
            <w:vAlign w:val="top"/>
          </w:tcPr>
          <w:p>
            <w:pPr>
              <w:spacing w:after="0" w:line="240" w:lineRule="auto"/>
            </w:pPr>
            <w:r>
              <w:rPr>
                <w:rFonts w:ascii="Arial" w:hAnsi="Arial"/>
                <w:color w:val="243447"/>
                <w:sz w:val="16"/>
              </w:rPr>
              <w:t>Three reusable specialist subgraphs; scale comes from temporary shards, not permanent headcount.</w:t>
            </w:r>
          </w:p>
        </w:tc>
      </w:tr>
      <w:tr>
        <w:tc>
          <w:tcPr>
            <w:tcW w:type="dxa" w:w="2376"/>
            <w:tcMar>
              <w:top w:w="80" w:type="dxa"/>
              <w:start w:w="120" w:type="dxa"/>
              <w:bottom w:w="80" w:type="dxa"/>
              <w:end w:w="120" w:type="dxa"/>
            </w:tcMar>
            <w:vAlign w:val="top"/>
            <w:shd w:fill="FAFBFC"/>
          </w:tcPr>
          <w:p>
            <w:pPr>
              <w:spacing w:after="0" w:line="240" w:lineRule="auto"/>
            </w:pPr>
            <w:r>
              <w:rPr>
                <w:rFonts w:ascii="Arial" w:hAnsi="Arial"/>
                <w:color w:val="243447"/>
                <w:sz w:val="16"/>
              </w:rPr>
              <w:t>Recursive worker spawning</w:t>
            </w:r>
          </w:p>
        </w:tc>
        <w:tc>
          <w:tcPr>
            <w:tcW w:type="dxa" w:w="1440"/>
            <w:tcMar>
              <w:top w:w="80" w:type="dxa"/>
              <w:start w:w="120" w:type="dxa"/>
              <w:bottom w:w="80" w:type="dxa"/>
              <w:end w:w="120" w:type="dxa"/>
            </w:tcMar>
            <w:vAlign w:val="top"/>
            <w:shd w:fill="FAFBFC"/>
          </w:tcPr>
          <w:p>
            <w:pPr>
              <w:spacing w:after="0" w:line="240" w:lineRule="auto"/>
            </w:pPr>
            <w:r>
              <w:rPr>
                <w:rFonts w:ascii="Arial" w:hAnsi="Arial"/>
                <w:color w:val="243447"/>
                <w:sz w:val="16"/>
              </w:rPr>
              <w:t>Rejected</w:t>
            </w:r>
          </w:p>
        </w:tc>
        <w:tc>
          <w:tcPr>
            <w:tcW w:type="dxa" w:w="5328"/>
            <w:tcMar>
              <w:top w:w="80" w:type="dxa"/>
              <w:start w:w="120" w:type="dxa"/>
              <w:bottom w:w="80" w:type="dxa"/>
              <w:end w:w="120" w:type="dxa"/>
            </w:tcMar>
            <w:vAlign w:val="top"/>
            <w:shd w:fill="FAFBFC"/>
          </w:tcPr>
          <w:p>
            <w:pPr>
              <w:spacing w:after="0" w:line="240" w:lineRule="auto"/>
            </w:pPr>
            <w:r>
              <w:rPr>
                <w:rFonts w:ascii="Arial" w:hAnsi="Arial"/>
                <w:color w:val="243447"/>
                <w:sz w:val="16"/>
              </w:rPr>
              <w:t>Runs request frontier expansion; team planners authorize the next bounded wave.</w:t>
            </w:r>
          </w:p>
        </w:tc>
      </w:tr>
      <w:tr>
        <w:tc>
          <w:tcPr>
            <w:tcW w:type="dxa" w:w="2376"/>
            <w:tcMar>
              <w:top w:w="80" w:type="dxa"/>
              <w:start w:w="120" w:type="dxa"/>
              <w:bottom w:w="80" w:type="dxa"/>
              <w:end w:w="120" w:type="dxa"/>
            </w:tcMar>
            <w:vAlign w:val="top"/>
          </w:tcPr>
          <w:p>
            <w:pPr>
              <w:spacing w:after="0" w:line="240" w:lineRule="auto"/>
            </w:pPr>
            <w:r>
              <w:rPr>
                <w:rFonts w:ascii="Arial" w:hAnsi="Arial"/>
                <w:color w:val="243447"/>
                <w:sz w:val="16"/>
              </w:rPr>
              <w:t>Materialized blackboard</w:t>
            </w:r>
          </w:p>
        </w:tc>
        <w:tc>
          <w:tcPr>
            <w:tcW w:type="dxa" w:w="1440"/>
            <w:tcMar>
              <w:top w:w="80" w:type="dxa"/>
              <w:start w:w="120" w:type="dxa"/>
              <w:bottom w:w="80" w:type="dxa"/>
              <w:end w:w="120" w:type="dxa"/>
            </w:tcMar>
            <w:vAlign w:val="top"/>
          </w:tcPr>
          <w:p>
            <w:pPr>
              <w:spacing w:after="0" w:line="240" w:lineRule="auto"/>
            </w:pPr>
            <w:r>
              <w:rPr>
                <w:rFonts w:ascii="Arial" w:hAnsi="Arial"/>
                <w:color w:val="243447"/>
                <w:sz w:val="16"/>
              </w:rPr>
              <w:t>Accepted</w:t>
            </w:r>
          </w:p>
        </w:tc>
        <w:tc>
          <w:tcPr>
            <w:tcW w:type="dxa" w:w="5328"/>
            <w:tcMar>
              <w:top w:w="80" w:type="dxa"/>
              <w:start w:w="120" w:type="dxa"/>
              <w:bottom w:w="80" w:type="dxa"/>
              <w:end w:w="120" w:type="dxa"/>
            </w:tcMar>
            <w:vAlign w:val="top"/>
          </w:tcPr>
          <w:p>
            <w:pPr>
              <w:spacing w:after="0" w:line="240" w:lineRule="auto"/>
            </w:pPr>
            <w:r>
              <w:rPr>
                <w:rFonts w:ascii="Arial" w:hAnsi="Arial"/>
                <w:color w:val="243447"/>
                <w:sz w:val="16"/>
              </w:rPr>
              <w:t>Teams need one shared current case view that is rebuildable from authoritative events.</w:t>
            </w:r>
          </w:p>
        </w:tc>
      </w:tr>
      <w:tr>
        <w:tc>
          <w:tcPr>
            <w:tcW w:type="dxa" w:w="2376"/>
            <w:tcMar>
              <w:top w:w="80" w:type="dxa"/>
              <w:start w:w="120" w:type="dxa"/>
              <w:bottom w:w="80" w:type="dxa"/>
              <w:end w:w="120" w:type="dxa"/>
            </w:tcMar>
            <w:vAlign w:val="top"/>
            <w:shd w:fill="FAFBFC"/>
          </w:tcPr>
          <w:p>
            <w:pPr>
              <w:spacing w:after="0" w:line="240" w:lineRule="auto"/>
            </w:pPr>
            <w:r>
              <w:rPr>
                <w:rFonts w:ascii="Arial" w:hAnsi="Arial"/>
                <w:color w:val="243447"/>
                <w:sz w:val="16"/>
              </w:rPr>
              <w:t>Agent-managed state</w:t>
            </w:r>
          </w:p>
        </w:tc>
        <w:tc>
          <w:tcPr>
            <w:tcW w:type="dxa" w:w="1440"/>
            <w:tcMar>
              <w:top w:w="80" w:type="dxa"/>
              <w:start w:w="120" w:type="dxa"/>
              <w:bottom w:w="80" w:type="dxa"/>
              <w:end w:w="120" w:type="dxa"/>
            </w:tcMar>
            <w:vAlign w:val="top"/>
            <w:shd w:fill="FAFBFC"/>
          </w:tcPr>
          <w:p>
            <w:pPr>
              <w:spacing w:after="0" w:line="240" w:lineRule="auto"/>
            </w:pPr>
            <w:r>
              <w:rPr>
                <w:rFonts w:ascii="Arial" w:hAnsi="Arial"/>
                <w:color w:val="243447"/>
                <w:sz w:val="16"/>
              </w:rPr>
              <w:t>Rejected</w:t>
            </w:r>
          </w:p>
        </w:tc>
        <w:tc>
          <w:tcPr>
            <w:tcW w:type="dxa" w:w="5328"/>
            <w:tcMar>
              <w:top w:w="80" w:type="dxa"/>
              <w:start w:w="120" w:type="dxa"/>
              <w:bottom w:w="80" w:type="dxa"/>
              <w:end w:w="120" w:type="dxa"/>
            </w:tcMar>
            <w:vAlign w:val="top"/>
            <w:shd w:fill="FAFBFC"/>
          </w:tcPr>
          <w:p>
            <w:pPr>
              <w:spacing w:after="0" w:line="240" w:lineRule="auto"/>
            </w:pPr>
            <w:r>
              <w:rPr>
                <w:rFonts w:ascii="Arial" w:hAnsi="Arial"/>
                <w:color w:val="243447"/>
                <w:sz w:val="16"/>
              </w:rPr>
              <w:t>Agents propose; deterministic reducers commit.</w:t>
            </w:r>
          </w:p>
        </w:tc>
      </w:tr>
      <w:tr>
        <w:tc>
          <w:tcPr>
            <w:tcW w:type="dxa" w:w="2376"/>
            <w:tcMar>
              <w:top w:w="80" w:type="dxa"/>
              <w:start w:w="120" w:type="dxa"/>
              <w:bottom w:w="80" w:type="dxa"/>
              <w:end w:w="120" w:type="dxa"/>
            </w:tcMar>
            <w:vAlign w:val="top"/>
          </w:tcPr>
          <w:p>
            <w:pPr>
              <w:spacing w:after="0" w:line="240" w:lineRule="auto"/>
            </w:pPr>
            <w:r>
              <w:rPr>
                <w:rFonts w:ascii="Arial" w:hAnsi="Arial"/>
                <w:color w:val="243447"/>
                <w:sz w:val="16"/>
              </w:rPr>
              <w:t>LangGraph kernel</w:t>
            </w:r>
          </w:p>
        </w:tc>
        <w:tc>
          <w:tcPr>
            <w:tcW w:type="dxa" w:w="1440"/>
            <w:tcMar>
              <w:top w:w="80" w:type="dxa"/>
              <w:start w:w="120" w:type="dxa"/>
              <w:bottom w:w="80" w:type="dxa"/>
              <w:end w:w="120" w:type="dxa"/>
            </w:tcMar>
            <w:vAlign w:val="top"/>
          </w:tcPr>
          <w:p>
            <w:pPr>
              <w:spacing w:after="0" w:line="240" w:lineRule="auto"/>
            </w:pPr>
            <w:r>
              <w:rPr>
                <w:rFonts w:ascii="Arial" w:hAnsi="Arial"/>
                <w:color w:val="243447"/>
                <w:sz w:val="16"/>
              </w:rPr>
              <w:t>Accepted</w:t>
            </w:r>
          </w:p>
        </w:tc>
        <w:tc>
          <w:tcPr>
            <w:tcW w:type="dxa" w:w="5328"/>
            <w:tcMar>
              <w:top w:w="80" w:type="dxa"/>
              <w:start w:w="120" w:type="dxa"/>
              <w:bottom w:w="80" w:type="dxa"/>
              <w:end w:w="120" w:type="dxa"/>
            </w:tcMar>
            <w:vAlign w:val="top"/>
          </w:tcPr>
          <w:p>
            <w:pPr>
              <w:spacing w:after="0" w:line="240" w:lineRule="auto"/>
            </w:pPr>
            <w:r>
              <w:rPr>
                <w:rFonts w:ascii="Arial" w:hAnsi="Arial"/>
                <w:color w:val="243447"/>
                <w:sz w:val="16"/>
              </w:rPr>
              <w:t>Best fit for cyclic, stateful, interruptible investigation with a lean build.</w:t>
            </w:r>
          </w:p>
        </w:tc>
      </w:tr>
      <w:tr>
        <w:tc>
          <w:tcPr>
            <w:tcW w:type="dxa" w:w="2376"/>
            <w:tcMar>
              <w:top w:w="80" w:type="dxa"/>
              <w:start w:w="120" w:type="dxa"/>
              <w:bottom w:w="80" w:type="dxa"/>
              <w:end w:w="120" w:type="dxa"/>
            </w:tcMar>
            <w:vAlign w:val="top"/>
            <w:shd w:fill="FAFBFC"/>
          </w:tcPr>
          <w:p>
            <w:pPr>
              <w:spacing w:after="0" w:line="240" w:lineRule="auto"/>
            </w:pPr>
            <w:r>
              <w:rPr>
                <w:rFonts w:ascii="Arial" w:hAnsi="Arial"/>
                <w:color w:val="243447"/>
                <w:sz w:val="16"/>
              </w:rPr>
              <w:t>LangGraph as audit store</w:t>
            </w:r>
          </w:p>
        </w:tc>
        <w:tc>
          <w:tcPr>
            <w:tcW w:type="dxa" w:w="1440"/>
            <w:tcMar>
              <w:top w:w="80" w:type="dxa"/>
              <w:start w:w="120" w:type="dxa"/>
              <w:bottom w:w="80" w:type="dxa"/>
              <w:end w:w="120" w:type="dxa"/>
            </w:tcMar>
            <w:vAlign w:val="top"/>
            <w:shd w:fill="FAFBFC"/>
          </w:tcPr>
          <w:p>
            <w:pPr>
              <w:spacing w:after="0" w:line="240" w:lineRule="auto"/>
            </w:pPr>
            <w:r>
              <w:rPr>
                <w:rFonts w:ascii="Arial" w:hAnsi="Arial"/>
                <w:color w:val="243447"/>
                <w:sz w:val="16"/>
              </w:rPr>
              <w:t>Rejected</w:t>
            </w:r>
          </w:p>
        </w:tc>
        <w:tc>
          <w:tcPr>
            <w:tcW w:type="dxa" w:w="5328"/>
            <w:tcMar>
              <w:top w:w="80" w:type="dxa"/>
              <w:start w:w="120" w:type="dxa"/>
              <w:bottom w:w="80" w:type="dxa"/>
              <w:end w:w="120" w:type="dxa"/>
            </w:tcMar>
            <w:vAlign w:val="top"/>
            <w:shd w:fill="FAFBFC"/>
          </w:tcPr>
          <w:p>
            <w:pPr>
              <w:spacing w:after="0" w:line="240" w:lineRule="auto"/>
            </w:pPr>
            <w:r>
              <w:rPr>
                <w:rFonts w:ascii="Arial" w:hAnsi="Arial"/>
                <w:color w:val="243447"/>
                <w:sz w:val="16"/>
              </w:rPr>
              <w:t>Execution checkpoints do not provide domain evidence lineage.</w:t>
            </w:r>
          </w:p>
        </w:tc>
      </w:tr>
      <w:tr>
        <w:tc>
          <w:tcPr>
            <w:tcW w:type="dxa" w:w="2376"/>
            <w:tcMar>
              <w:top w:w="80" w:type="dxa"/>
              <w:start w:w="120" w:type="dxa"/>
              <w:bottom w:w="80" w:type="dxa"/>
              <w:end w:w="120" w:type="dxa"/>
            </w:tcMar>
            <w:vAlign w:val="top"/>
          </w:tcPr>
          <w:p>
            <w:pPr>
              <w:spacing w:after="0" w:line="240" w:lineRule="auto"/>
            </w:pPr>
            <w:r>
              <w:rPr>
                <w:rFonts w:ascii="Arial" w:hAnsi="Arial"/>
                <w:color w:val="243447"/>
                <w:sz w:val="16"/>
              </w:rPr>
              <w:t>Temporal in v1</w:t>
            </w:r>
          </w:p>
        </w:tc>
        <w:tc>
          <w:tcPr>
            <w:tcW w:type="dxa" w:w="1440"/>
            <w:tcMar>
              <w:top w:w="80" w:type="dxa"/>
              <w:start w:w="120" w:type="dxa"/>
              <w:bottom w:w="80" w:type="dxa"/>
              <w:end w:w="120" w:type="dxa"/>
            </w:tcMar>
            <w:vAlign w:val="top"/>
          </w:tcPr>
          <w:p>
            <w:pPr>
              <w:spacing w:after="0" w:line="240" w:lineRule="auto"/>
            </w:pPr>
            <w:r>
              <w:rPr>
                <w:rFonts w:ascii="Arial" w:hAnsi="Arial"/>
                <w:color w:val="243447"/>
                <w:sz w:val="16"/>
              </w:rPr>
              <w:t>Deferred</w:t>
            </w:r>
          </w:p>
        </w:tc>
        <w:tc>
          <w:tcPr>
            <w:tcW w:type="dxa" w:w="5328"/>
            <w:tcMar>
              <w:top w:w="80" w:type="dxa"/>
              <w:start w:w="120" w:type="dxa"/>
              <w:bottom w:w="80" w:type="dxa"/>
              <w:end w:w="120" w:type="dxa"/>
            </w:tcMar>
            <w:vAlign w:val="top"/>
          </w:tcPr>
          <w:p>
            <w:pPr>
              <w:spacing w:after="0" w:line="240" w:lineRule="auto"/>
            </w:pPr>
            <w:r>
              <w:rPr>
                <w:rFonts w:ascii="Arial" w:hAnsi="Arial"/>
                <w:color w:val="243447"/>
                <w:sz w:val="16"/>
              </w:rPr>
              <w:t>Avoid double control planes until measured durability/versioning needs justify it.</w:t>
            </w:r>
          </w:p>
        </w:tc>
      </w:tr>
      <w:tr>
        <w:tc>
          <w:tcPr>
            <w:tcW w:type="dxa" w:w="2376"/>
            <w:tcMar>
              <w:top w:w="80" w:type="dxa"/>
              <w:start w:w="120" w:type="dxa"/>
              <w:bottom w:w="80" w:type="dxa"/>
              <w:end w:w="120" w:type="dxa"/>
            </w:tcMar>
            <w:vAlign w:val="top"/>
            <w:shd w:fill="FAFBFC"/>
          </w:tcPr>
          <w:p>
            <w:pPr>
              <w:spacing w:after="0" w:line="240" w:lineRule="auto"/>
            </w:pPr>
            <w:r>
              <w:rPr>
                <w:rFonts w:ascii="Arial" w:hAnsi="Arial"/>
                <w:color w:val="243447"/>
                <w:sz w:val="16"/>
              </w:rPr>
              <w:t>Build runtime from scratch</w:t>
            </w:r>
          </w:p>
        </w:tc>
        <w:tc>
          <w:tcPr>
            <w:tcW w:type="dxa" w:w="1440"/>
            <w:tcMar>
              <w:top w:w="80" w:type="dxa"/>
              <w:start w:w="120" w:type="dxa"/>
              <w:bottom w:w="80" w:type="dxa"/>
              <w:end w:w="120" w:type="dxa"/>
            </w:tcMar>
            <w:vAlign w:val="top"/>
            <w:shd w:fill="FAFBFC"/>
          </w:tcPr>
          <w:p>
            <w:pPr>
              <w:spacing w:after="0" w:line="240" w:lineRule="auto"/>
            </w:pPr>
            <w:r>
              <w:rPr>
                <w:rFonts w:ascii="Arial" w:hAnsi="Arial"/>
                <w:color w:val="243447"/>
                <w:sz w:val="16"/>
              </w:rPr>
              <w:t>Rejected</w:t>
            </w:r>
          </w:p>
        </w:tc>
        <w:tc>
          <w:tcPr>
            <w:tcW w:type="dxa" w:w="5328"/>
            <w:tcMar>
              <w:top w:w="80" w:type="dxa"/>
              <w:start w:w="120" w:type="dxa"/>
              <w:bottom w:w="80" w:type="dxa"/>
              <w:end w:w="120" w:type="dxa"/>
            </w:tcMar>
            <w:vAlign w:val="top"/>
            <w:shd w:fill="FAFBFC"/>
          </w:tcPr>
          <w:p>
            <w:pPr>
              <w:spacing w:after="0" w:line="240" w:lineRule="auto"/>
            </w:pPr>
            <w:r>
              <w:rPr>
                <w:rFonts w:ascii="Arial" w:hAnsi="Arial"/>
                <w:color w:val="243447"/>
                <w:sz w:val="16"/>
              </w:rPr>
              <w:t>Low differentiation and high correctness burden.</w:t>
            </w:r>
          </w:p>
        </w:tc>
      </w:tr>
    </w:tbl>
    <w:p>
      <w:pPr>
        <w:spacing w:after="0"/>
      </w:pPr>
    </w:p>
    <w:p>
      <w:r>
        <w:br w:type="page"/>
      </w:r>
    </w:p>
    <w:p>
      <w:pPr>
        <w:pStyle w:val="Heading1"/>
      </w:pPr>
      <w:r>
        <w:t>Appendix D. Codex test-harness mapping</w:t>
      </w:r>
    </w:p>
    <w:p>
      <w:pPr>
        <w:keepLines w:val="0"/>
      </w:pPr>
      <w:r>
        <w:t>The companion prompt CERTIn_Elastic_Evidence_Harness_Prompt.md turns this architecture into a single-case experiment. It is intentionally a harness contract rather than a long role-play prompt: objective, state boundaries, team contracts, spawning policy, evidence requirements, stopping policy and outputs are each stated once.[15]</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232"/>
            <w:tcMar>
              <w:top w:w="80" w:type="dxa"/>
              <w:start w:w="120" w:type="dxa"/>
              <w:bottom w:w="80" w:type="dxa"/>
              <w:end w:w="120" w:type="dxa"/>
            </w:tcMar>
            <w:shd w:fill="F2F4F7"/>
            <w:vAlign w:val="center"/>
          </w:tcPr>
          <w:p>
            <w:pPr>
              <w:spacing w:after="0"/>
            </w:pPr>
            <w:r>
              <w:rPr>
                <w:rFonts w:ascii="Arial" w:hAnsi="Arial"/>
                <w:b/>
                <w:color w:val="17365D"/>
                <w:sz w:val="16"/>
              </w:rPr>
              <w:t>Architecture concept</w:t>
            </w:r>
          </w:p>
        </w:tc>
        <w:tc>
          <w:tcPr>
            <w:tcW w:type="dxa" w:w="6912"/>
            <w:tcMar>
              <w:top w:w="80" w:type="dxa"/>
              <w:start w:w="120" w:type="dxa"/>
              <w:bottom w:w="80" w:type="dxa"/>
              <w:end w:w="120" w:type="dxa"/>
            </w:tcMar>
            <w:shd w:fill="F2F4F7"/>
            <w:vAlign w:val="center"/>
          </w:tcPr>
          <w:p>
            <w:pPr>
              <w:spacing w:after="0"/>
            </w:pPr>
            <w:r>
              <w:rPr>
                <w:rFonts w:ascii="Arial" w:hAnsi="Arial"/>
                <w:b/>
                <w:color w:val="17365D"/>
                <w:sz w:val="16"/>
              </w:rPr>
              <w:t>Codex test behavior</w:t>
            </w:r>
          </w:p>
        </w:tc>
      </w:tr>
      <w:tr>
        <w:tc>
          <w:tcPr>
            <w:tcW w:type="dxa" w:w="2232"/>
            <w:tcMar>
              <w:top w:w="80" w:type="dxa"/>
              <w:start w:w="120" w:type="dxa"/>
              <w:bottom w:w="80" w:type="dxa"/>
              <w:end w:w="120" w:type="dxa"/>
            </w:tcMar>
            <w:vAlign w:val="top"/>
          </w:tcPr>
          <w:p>
            <w:pPr>
              <w:spacing w:after="0" w:line="240" w:lineRule="auto"/>
            </w:pPr>
            <w:r>
              <w:rPr>
                <w:rFonts w:ascii="Arial" w:hAnsi="Arial"/>
                <w:color w:val="243447"/>
                <w:sz w:val="16"/>
              </w:rPr>
              <w:t>Case controller</w:t>
            </w:r>
          </w:p>
        </w:tc>
        <w:tc>
          <w:tcPr>
            <w:tcW w:type="dxa" w:w="6912"/>
            <w:tcMar>
              <w:top w:w="80" w:type="dxa"/>
              <w:start w:w="120" w:type="dxa"/>
              <w:bottom w:w="80" w:type="dxa"/>
              <w:end w:w="120" w:type="dxa"/>
            </w:tcMar>
            <w:vAlign w:val="top"/>
          </w:tcPr>
          <w:p>
            <w:pPr>
              <w:spacing w:after="0" w:line="240" w:lineRule="auto"/>
            </w:pPr>
            <w:r>
              <w:rPr>
                <w:rFonts w:ascii="Arial" w:hAnsi="Arial"/>
                <w:color w:val="243447"/>
                <w:sz w:val="16"/>
              </w:rPr>
              <w:t>The parent agent owns session state, authorizes bounded team waves, merges deltas and reports closure or blockers.</w:t>
            </w:r>
          </w:p>
        </w:tc>
      </w:tr>
      <w:tr>
        <w:tc>
          <w:tcPr>
            <w:tcW w:type="dxa" w:w="2232"/>
            <w:tcMar>
              <w:top w:w="80" w:type="dxa"/>
              <w:start w:w="120" w:type="dxa"/>
              <w:bottom w:w="80" w:type="dxa"/>
              <w:end w:w="120" w:type="dxa"/>
            </w:tcMar>
            <w:vAlign w:val="top"/>
            <w:shd w:fill="FAFBFC"/>
          </w:tcPr>
          <w:p>
            <w:pPr>
              <w:spacing w:after="0" w:line="240" w:lineRule="auto"/>
            </w:pPr>
            <w:r>
              <w:rPr>
                <w:rFonts w:ascii="Arial" w:hAnsi="Arial"/>
                <w:color w:val="243447"/>
                <w:sz w:val="16"/>
              </w:rPr>
              <w:t>Team subgraph</w:t>
            </w:r>
          </w:p>
        </w:tc>
        <w:tc>
          <w:tcPr>
            <w:tcW w:type="dxa" w:w="6912"/>
            <w:tcMar>
              <w:top w:w="80" w:type="dxa"/>
              <w:start w:w="120" w:type="dxa"/>
              <w:bottom w:w="80" w:type="dxa"/>
              <w:end w:w="120" w:type="dxa"/>
            </w:tcMar>
            <w:vAlign w:val="top"/>
            <w:shd w:fill="FAFBFC"/>
          </w:tcPr>
          <w:p>
            <w:pPr>
              <w:spacing w:after="0" w:line="240" w:lineRule="auto"/>
            </w:pPr>
            <w:r>
              <w:rPr>
                <w:rFonts w:ascii="Arial" w:hAnsi="Arial"/>
                <w:color w:val="243447"/>
                <w:sz w:val="16"/>
              </w:rPr>
              <w:t>A named specialist mission with a scout/planner, N isolated work shards and one reducer contract.</w:t>
            </w:r>
          </w:p>
        </w:tc>
      </w:tr>
      <w:tr>
        <w:tc>
          <w:tcPr>
            <w:tcW w:type="dxa" w:w="2232"/>
            <w:tcMar>
              <w:top w:w="80" w:type="dxa"/>
              <w:start w:w="120" w:type="dxa"/>
              <w:bottom w:w="80" w:type="dxa"/>
              <w:end w:w="120" w:type="dxa"/>
            </w:tcMar>
            <w:vAlign w:val="top"/>
          </w:tcPr>
          <w:p>
            <w:pPr>
              <w:spacing w:after="0" w:line="240" w:lineRule="auto"/>
            </w:pPr>
            <w:r>
              <w:rPr>
                <w:rFonts w:ascii="Arial" w:hAnsi="Arial"/>
                <w:color w:val="243447"/>
                <w:sz w:val="16"/>
              </w:rPr>
              <w:t>Run-local memory</w:t>
            </w:r>
          </w:p>
        </w:tc>
        <w:tc>
          <w:tcPr>
            <w:tcW w:type="dxa" w:w="6912"/>
            <w:tcMar>
              <w:top w:w="80" w:type="dxa"/>
              <w:start w:w="120" w:type="dxa"/>
              <w:bottom w:w="80" w:type="dxa"/>
              <w:end w:w="120" w:type="dxa"/>
            </w:tcMar>
            <w:vAlign w:val="top"/>
          </w:tcPr>
          <w:p>
            <w:pPr>
              <w:spacing w:after="0" w:line="240" w:lineRule="auto"/>
            </w:pPr>
            <w:r>
              <w:rPr>
                <w:rFonts w:ascii="Arial" w:hAnsi="Arial"/>
                <w:color w:val="243447"/>
                <w:sz w:val="16"/>
              </w:rPr>
              <w:t>A subagent receives only its shard, blackboard snapshot and tool policy; it returns EvidenceDelta.</w:t>
            </w:r>
          </w:p>
        </w:tc>
      </w:tr>
      <w:tr>
        <w:tc>
          <w:tcPr>
            <w:tcW w:type="dxa" w:w="2232"/>
            <w:tcMar>
              <w:top w:w="80" w:type="dxa"/>
              <w:start w:w="120" w:type="dxa"/>
              <w:bottom w:w="80" w:type="dxa"/>
              <w:end w:w="120" w:type="dxa"/>
            </w:tcMar>
            <w:vAlign w:val="top"/>
            <w:shd w:fill="FAFBFC"/>
          </w:tcPr>
          <w:p>
            <w:pPr>
              <w:spacing w:after="0" w:line="240" w:lineRule="auto"/>
            </w:pPr>
            <w:r>
              <w:rPr>
                <w:rFonts w:ascii="Arial" w:hAnsi="Arial"/>
                <w:color w:val="243447"/>
                <w:sz w:val="16"/>
              </w:rPr>
              <w:t>Team memory</w:t>
            </w:r>
          </w:p>
        </w:tc>
        <w:tc>
          <w:tcPr>
            <w:tcW w:type="dxa" w:w="6912"/>
            <w:tcMar>
              <w:top w:w="80" w:type="dxa"/>
              <w:start w:w="120" w:type="dxa"/>
              <w:bottom w:w="80" w:type="dxa"/>
              <w:end w:w="120" w:type="dxa"/>
            </w:tcMar>
            <w:vAlign w:val="top"/>
            <w:shd w:fill="FAFBFC"/>
          </w:tcPr>
          <w:p>
            <w:pPr>
              <w:spacing w:after="0" w:line="240" w:lineRule="auto"/>
            </w:pPr>
            <w:r>
              <w:rPr>
                <w:rFonts w:ascii="Arial" w:hAnsi="Arial"/>
                <w:color w:val="243447"/>
                <w:sz w:val="16"/>
              </w:rPr>
              <w:t>Explicit mission JSON tracks shards, leases, coverage gain, failures and frontier requests across waves.</w:t>
            </w:r>
          </w:p>
        </w:tc>
      </w:tr>
      <w:tr>
        <w:tc>
          <w:tcPr>
            <w:tcW w:type="dxa" w:w="2232"/>
            <w:tcMar>
              <w:top w:w="80" w:type="dxa"/>
              <w:start w:w="120" w:type="dxa"/>
              <w:bottom w:w="80" w:type="dxa"/>
              <w:end w:w="120" w:type="dxa"/>
            </w:tcMar>
            <w:vAlign w:val="top"/>
          </w:tcPr>
          <w:p>
            <w:pPr>
              <w:spacing w:after="0" w:line="240" w:lineRule="auto"/>
            </w:pPr>
            <w:r>
              <w:rPr>
                <w:rFonts w:ascii="Arial" w:hAnsi="Arial"/>
                <w:color w:val="243447"/>
                <w:sz w:val="16"/>
              </w:rPr>
              <w:t>Shared session memory</w:t>
            </w:r>
          </w:p>
        </w:tc>
        <w:tc>
          <w:tcPr>
            <w:tcW w:type="dxa" w:w="6912"/>
            <w:tcMar>
              <w:top w:w="80" w:type="dxa"/>
              <w:start w:w="120" w:type="dxa"/>
              <w:bottom w:w="80" w:type="dxa"/>
              <w:end w:w="120" w:type="dxa"/>
            </w:tcMar>
            <w:vAlign w:val="top"/>
          </w:tcPr>
          <w:p>
            <w:pPr>
              <w:spacing w:after="0" w:line="240" w:lineRule="auto"/>
            </w:pPr>
            <w:r>
              <w:rPr>
                <w:rFonts w:ascii="Arial" w:hAnsi="Arial"/>
                <w:color w:val="243447"/>
                <w:sz w:val="16"/>
              </w:rPr>
              <w:t>A compact controller snapshot tracks case coverage, gaps, budgets, interrupts and the blackboard head.</w:t>
            </w:r>
          </w:p>
        </w:tc>
      </w:tr>
      <w:tr>
        <w:tc>
          <w:tcPr>
            <w:tcW w:type="dxa" w:w="2232"/>
            <w:tcMar>
              <w:top w:w="80" w:type="dxa"/>
              <w:start w:w="120" w:type="dxa"/>
              <w:bottom w:w="80" w:type="dxa"/>
              <w:end w:w="120" w:type="dxa"/>
            </w:tcMar>
            <w:vAlign w:val="top"/>
            <w:shd w:fill="FAFBFC"/>
          </w:tcPr>
          <w:p>
            <w:pPr>
              <w:spacing w:after="0" w:line="240" w:lineRule="auto"/>
            </w:pPr>
            <w:r>
              <w:rPr>
                <w:rFonts w:ascii="Arial" w:hAnsi="Arial"/>
                <w:color w:val="243447"/>
                <w:sz w:val="16"/>
              </w:rPr>
              <w:t>Blackboard</w:t>
            </w:r>
          </w:p>
        </w:tc>
        <w:tc>
          <w:tcPr>
            <w:tcW w:type="dxa" w:w="6912"/>
            <w:tcMar>
              <w:top w:w="80" w:type="dxa"/>
              <w:start w:w="120" w:type="dxa"/>
              <w:bottom w:w="80" w:type="dxa"/>
              <w:end w:w="120" w:type="dxa"/>
            </w:tcMar>
            <w:vAlign w:val="top"/>
            <w:shd w:fill="FAFBFC"/>
          </w:tcPr>
          <w:p>
            <w:pPr>
              <w:spacing w:after="0" w:line="240" w:lineRule="auto"/>
            </w:pPr>
            <w:r>
              <w:rPr>
                <w:rFonts w:ascii="Arial" w:hAnsi="Arial"/>
                <w:color w:val="243447"/>
                <w:sz w:val="16"/>
              </w:rPr>
              <w:t>A JSON artifact is rematerialized after accepted deltas and is the only shared case view read by later runs.</w:t>
            </w:r>
          </w:p>
        </w:tc>
      </w:tr>
      <w:tr>
        <w:tc>
          <w:tcPr>
            <w:tcW w:type="dxa" w:w="2232"/>
            <w:tcMar>
              <w:top w:w="80" w:type="dxa"/>
              <w:start w:w="120" w:type="dxa"/>
              <w:bottom w:w="80" w:type="dxa"/>
              <w:end w:w="120" w:type="dxa"/>
            </w:tcMar>
            <w:vAlign w:val="top"/>
          </w:tcPr>
          <w:p>
            <w:pPr>
              <w:spacing w:after="0" w:line="240" w:lineRule="auto"/>
            </w:pPr>
            <w:r>
              <w:rPr>
                <w:rFonts w:ascii="Arial" w:hAnsi="Arial"/>
                <w:color w:val="243447"/>
                <w:sz w:val="16"/>
              </w:rPr>
              <w:t>Audit</w:t>
            </w:r>
          </w:p>
        </w:tc>
        <w:tc>
          <w:tcPr>
            <w:tcW w:type="dxa" w:w="6912"/>
            <w:tcMar>
              <w:top w:w="80" w:type="dxa"/>
              <w:start w:w="120" w:type="dxa"/>
              <w:bottom w:w="80" w:type="dxa"/>
              <w:end w:w="120" w:type="dxa"/>
            </w:tcMar>
            <w:vAlign w:val="top"/>
          </w:tcPr>
          <w:p>
            <w:pPr>
              <w:spacing w:after="0" w:line="240" w:lineRule="auto"/>
            </w:pPr>
            <w:r>
              <w:rPr>
                <w:rFonts w:ascii="Arial" w:hAnsi="Arial"/>
                <w:color w:val="243447"/>
                <w:sz w:val="16"/>
              </w:rPr>
              <w:t>Every result records source URL, retrieval time, artifact/locator, extraction method and run identity; unsupported claims remain gaps.</w:t>
            </w:r>
          </w:p>
        </w:tc>
      </w:tr>
      <w:tr>
        <w:tc>
          <w:tcPr>
            <w:tcW w:type="dxa" w:w="2232"/>
            <w:tcMar>
              <w:top w:w="80" w:type="dxa"/>
              <w:start w:w="120" w:type="dxa"/>
              <w:bottom w:w="80" w:type="dxa"/>
              <w:end w:w="120" w:type="dxa"/>
            </w:tcMar>
            <w:vAlign w:val="top"/>
            <w:shd w:fill="FAFBFC"/>
          </w:tcPr>
          <w:p>
            <w:pPr>
              <w:spacing w:after="0" w:line="240" w:lineRule="auto"/>
            </w:pPr>
            <w:r>
              <w:rPr>
                <w:rFonts w:ascii="Arial" w:hAnsi="Arial"/>
                <w:color w:val="243447"/>
                <w:sz w:val="16"/>
              </w:rPr>
              <w:t>Fallback</w:t>
            </w:r>
          </w:p>
        </w:tc>
        <w:tc>
          <w:tcPr>
            <w:tcW w:type="dxa" w:w="6912"/>
            <w:tcMar>
              <w:top w:w="80" w:type="dxa"/>
              <w:start w:w="120" w:type="dxa"/>
              <w:bottom w:w="80" w:type="dxa"/>
              <w:end w:w="120" w:type="dxa"/>
            </w:tcMar>
            <w:vAlign w:val="top"/>
            <w:shd w:fill="FAFBFC"/>
          </w:tcPr>
          <w:p>
            <w:pPr>
              <w:spacing w:after="0" w:line="240" w:lineRule="auto"/>
            </w:pPr>
            <w:r>
              <w:rPr>
                <w:rFonts w:ascii="Arial" w:hAnsi="Arial"/>
                <w:color w:val="243447"/>
                <w:sz w:val="16"/>
              </w:rPr>
              <w:t>If subagent tools are unavailable, execute the same shards sequentially without changing state or evidence contracts.</w:t>
            </w:r>
          </w:p>
        </w:tc>
      </w:tr>
    </w:tbl>
    <w:p>
      <w:pPr>
        <w:spacing w:after="0"/>
      </w:pPr>
    </w:p>
    <w:tbl>
      <w:tblPr>
        <w:tblW w:type="auto" w:w="0"/>
        <w:jc w:val="center"/>
        <w:tblLayout w:type="fixed"/>
        <w:tblLook w:firstColumn="1" w:firstRow="1" w:lastColumn="0" w:lastRow="0" w:noHBand="0" w:noVBand="1" w:val="04A0"/>
      </w:tblPr>
      <w:tblGrid>
        <w:gridCol w:w="9144"/>
      </w:tblGrid>
      <w:tr>
        <w:trPr>
          <w:cantSplit/>
        </w:trPr>
        <w:tc>
          <w:tcPr>
            <w:tcW w:type="dxa" w:w="9144"/>
            <w:tcMar>
              <w:top w:w="140" w:type="dxa"/>
              <w:start w:w="160" w:type="dxa"/>
              <w:bottom w:w="140" w:type="dxa"/>
              <w:end w:w="160" w:type="dxa"/>
            </w:tcMar>
            <w:shd w:fill="FFF4D6"/>
            <w:tcBorders>
              <w:top w:sz="10" w:val="single" w:color="D89C2B" w:space="0"/>
              <w:left w:sz="10" w:val="single" w:color="D89C2B" w:space="0"/>
              <w:bottom w:sz="10" w:val="single" w:color="D89C2B" w:space="0"/>
              <w:right w:sz="10" w:val="single" w:color="D89C2B" w:space="0"/>
            </w:tcBorders>
          </w:tcPr>
          <w:p>
            <w:pPr>
              <w:spacing w:after="60"/>
            </w:pPr>
            <w:r>
              <w:rPr>
                <w:rFonts w:ascii="Arial" w:hAnsi="Arial"/>
                <w:b/>
                <w:color w:val="17365D"/>
                <w:sz w:val="22"/>
              </w:rPr>
              <w:t>Test boundary</w:t>
            </w:r>
          </w:p>
          <w:p>
            <w:pPr>
              <w:spacing w:after="0" w:line="252" w:lineRule="auto"/>
            </w:pPr>
            <w:r>
              <w:t>The prompt authorizes read-only public research and local artifact creation. It does not authorize credential bypass, ticket creation, messaging, production changes or destructive actions. A remediation ticket is a proposed artifact until separately approved.</w:t>
            </w:r>
          </w:p>
        </w:tc>
      </w:tr>
    </w:tbl>
    <w:sectPr w:rsidR="00FC693F" w:rsidRPr="0006063C" w:rsidSect="00034616">
      <w:headerReference w:type="default" r:id="rId9"/>
      <w:footerReference w:type="default" r:id="rId10"/>
      <w:pgSz w:w="12240" w:h="15840"/>
      <w:pgMar w:top="1238" w:right="1440" w:bottom="1181" w:left="1440" w:header="518"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Pr>
    <w:r>
      <w:rPr>
        <w:rFonts w:ascii="Arial" w:hAnsi="Arial"/>
        <w:i/>
        <w:color w:val="667085"/>
        <w:sz w:val="15"/>
      </w:rPr>
      <w:t xml:space="preserve">Footer note — checkpoints recover execution; the case event ledger proves decisions. </w:t>
    </w:r>
    <w:r>
      <w:rPr>
        <w:rFonts w:ascii="Arial" w:hAnsi="Arial"/>
        <w:color w:val="667085"/>
        <w:sz w:val="15"/>
      </w:rPr>
      <w:t xml:space="preserve">   Page </w:t>
      <w:fldChar w:fldCharType="begin"/>
      <w:instrText xml:space="preserve">PAGE</w:instrText>
      <w:fldChar w:fldCharType="separate"/>
      <w:t>1</w:t>
      <w:fldChar w:fldCharType="end"/>
    </w:r>
    <w:r>
      <w:rPr>
        <w:rFonts w:ascii="Arial" w:hAnsi="Arial"/>
        <w:color w:val="667085"/>
        <w:sz w:val="15"/>
      </w:rPr>
      <w:t xml:space="preserve"> of </w:t>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12" w:space="3" w:color="2E74B5"/>
      </w:pBdr>
    </w:pPr>
    <w:r>
      <w:rPr>
        <w:rFonts w:ascii="Arial" w:hAnsi="Arial"/>
        <w:b/>
        <w:color w:val="17365D"/>
        <w:sz w:val="17"/>
      </w:rPr>
      <w:t>ARCHITECTURE DECISION RECORD</w:t>
    </w:r>
    <w:r>
      <w:rPr>
        <w:rFonts w:ascii="Arial" w:hAnsi="Arial"/>
        <w:color w:val="667085"/>
        <w:sz w:val="17"/>
      </w:rPr>
      <w:t xml:space="preserve">   |   CERT-In evidence orchestration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rial" w:hAnsi="Arial"/>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b w:val="0"/>
      <w:i/>
      <w:iCs/>
      <w:color w:val="667085"/>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2" w:lineRule="auto"/>
      <w:contextualSpacing/>
    </w:pPr>
    <w:rPr>
      <w:rFonts w:ascii="Arial" w:hAnsi="Arial"/>
      <w:sz w:val="20"/>
    </w:rPr>
  </w:style>
  <w:style w:type="paragraph" w:styleId="ListBullet2">
    <w:name w:val="List Bullet 2"/>
    <w:basedOn w:val="Normal"/>
    <w:uiPriority w:val="99"/>
    <w:unhideWhenUsed/>
    <w:rsid w:val="00326F90"/>
    <w:pPr>
      <w:numPr>
        <w:numId w:val="2"/>
      </w:numPr>
      <w:spacing w:after="80" w:line="252" w:lineRule="auto"/>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2" w:lineRule="auto"/>
      <w:contextualSpacing/>
    </w:pPr>
    <w:rPr>
      <w:rFonts w:ascii="Arial" w:hAnsi="Arial"/>
      <w:sz w:val="20"/>
    </w:rPr>
  </w:style>
  <w:style w:type="paragraph" w:styleId="ListNumber2">
    <w:name w:val="List Number 2"/>
    <w:basedOn w:val="Normal"/>
    <w:uiPriority w:val="99"/>
    <w:unhideWhenUsed/>
    <w:rsid w:val="0029639D"/>
    <w:pPr>
      <w:numPr>
        <w:numId w:val="6"/>
      </w:numPr>
      <w:spacing w:after="80" w:line="252" w:lineRule="auto"/>
      <w:contextualSpacing/>
    </w:pPr>
    <w:rPr>
      <w:rFonts w:ascii="Arial" w:hAnsi="Arial"/>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Evidence Orchestration Harness</dc:title>
  <dc:subject>Architecture decision and build specification</dc:subject>
  <dc:creator>Architecture working group</dc:creator>
  <cp:keywords>CERT-In, multi-agent, LangGraph, audit trail, vulnerability intelligence</cp:keywords>
  <dc:description>generated by python-docx</dc:description>
  <cp:lastModifiedBy/>
  <cp:revision>1</cp:revision>
  <dcterms:created xsi:type="dcterms:W3CDTF">2013-12-23T23:15:00Z</dcterms:created>
  <dcterms:modified xsi:type="dcterms:W3CDTF">2013-12-23T23:15:00Z</dcterms:modified>
  <cp:category/>
</cp:coreProperties>
</file>