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sz w:val="44"/>
          <w:szCs w:val="44"/>
        </w:rPr>
        <w:t>SentinelHome101</w:t>
      </w:r>
    </w:p>
    <w:p>
      <w:pPr>
        <w:pStyle w:val="Normal"/>
        <w:spacing w:before="0" w:after="80"/>
        <w:rPr/>
      </w:pPr>
      <w:r>
        <w:rPr>
          <w:rFonts w:eastAsia="Arial" w:cs="Arial"/>
          <w:b/>
          <w:bCs/>
          <w:color w:val="374151"/>
          <w:sz w:val="26"/>
          <w:szCs w:val="26"/>
        </w:rPr>
        <w:t>INTELLECTUAL PROPERTY &amp; SOFTWARE LAW BRIEFING PACKAGE</w:t>
      </w:r>
    </w:p>
    <w:p>
      <w:pPr>
        <w:pStyle w:val="Normal"/>
        <w:spacing w:before="0" w:after="120"/>
        <w:rPr/>
      </w:pPr>
      <w:r>
        <w:rPr>
          <w:color w:val="8B949E"/>
          <w:sz w:val="20"/>
          <w:szCs w:val="20"/>
        </w:rPr>
        <w:t>Version 1.0.0  ·  Prepared: May 19, 2026  ·  Confidential</w:t>
      </w:r>
    </w:p>
    <w:p>
      <w:pPr>
        <w:pStyle w:val="Normal"/>
        <w:spacing w:before="0" w:after="120"/>
        <w:rPr/>
      </w:pPr>
      <w:r>
        <w:rPr/>
      </w:r>
    </w:p>
    <w:p>
      <w:pPr>
        <w:pStyle w:val="Normal"/>
        <w:spacing w:before="0" w:after="200"/>
        <w:rPr/>
      </w:pPr>
      <w:r>
        <w:rPr>
          <w:rFonts w:eastAsia="Arial" w:cs="Arial"/>
          <w:i/>
          <w:iCs/>
          <w:color w:val="374151"/>
          <w:sz w:val="22"/>
          <w:szCs w:val="22"/>
        </w:rPr>
        <w:t>This document is prepared for review by intellectual property and software law counsel in connection with the commercial distribution of SentinelHome101. It summarizes the software's functionality, technical architecture, open source dependencies, current distribution model, and the legal matters on which counsel's guidance is sought.</w:t>
      </w:r>
    </w:p>
    <w:p>
      <w:pPr>
        <w:pStyle w:val="Heading1"/>
        <w:rPr/>
      </w:pPr>
      <w:r>
        <w:rPr/>
        <w:t>1. Product Overview</w:t>
      </w:r>
    </w:p>
    <w:p>
      <w:pPr>
        <w:pStyle w:val="Heading2"/>
        <w:rPr/>
      </w:pPr>
      <w:r>
        <w:rPr/>
        <w:t>1.1 Description</w:t>
      </w:r>
    </w:p>
    <w:p>
      <w:pPr>
        <w:pStyle w:val="Normal"/>
        <w:spacing w:before="0" w:after="120"/>
        <w:rPr/>
      </w:pPr>
      <w:r>
        <w:rPr/>
        <w:t>SentinelHome101 is a Windows desktop application that performs a 101-point security audit of a home network and the computer on which it runs. It discovers connected devices, checks security configuration, identifies threats, and produces plain-English findings with remediation guidance. It targets home users rather than IT professionals.</w:t>
      </w:r>
    </w:p>
    <w:p>
      <w:pPr>
        <w:pStyle w:val="Normal"/>
        <w:spacing w:before="0" w:after="120"/>
        <w:rPr/>
      </w:pPr>
      <w:r>
        <w:rPr/>
      </w:r>
    </w:p>
    <w:p>
      <w:pPr>
        <w:pStyle w:val="Heading2"/>
        <w:rPr/>
      </w:pPr>
      <w:r>
        <w:rPr/>
        <w:t>1.2 Target Market</w:t>
      </w:r>
    </w:p>
    <w:p>
      <w:pPr>
        <w:pStyle w:val="Normal"/>
        <w:spacing w:before="0" w:after="120"/>
        <w:rPr/>
      </w:pPr>
      <w:r>
        <w:rPr/>
        <w:t>Home users on Windows 10 and 11. The product fills a gap in the market: commercial security tools cost $2,000-$6,790 per year and require IT expertise; no comparable consumer-facing tool currently exists.</w:t>
      </w:r>
    </w:p>
    <w:p>
      <w:pPr>
        <w:pStyle w:val="Normal"/>
        <w:spacing w:before="0" w:after="120"/>
        <w:rPr/>
      </w:pPr>
      <w:r>
        <w:rPr/>
      </w:r>
    </w:p>
    <w:p>
      <w:pPr>
        <w:pStyle w:val="Heading2"/>
        <w:rPr/>
      </w:pPr>
      <w:r>
        <w:rPr/>
        <w:t>1.3 Development Status</w:t>
      </w:r>
    </w:p>
    <w:p>
      <w:pPr>
        <w:pStyle w:val="Normal"/>
        <w:spacing w:before="0" w:after="120"/>
        <w:rPr/>
      </w:pPr>
      <w:r>
        <w:rPr/>
        <w:t>Version 1.0.0 is complete and functional. The software has been tested on Windows 10 and 11. It is currently in Version A (personal use) distribution. Counsel is being engaged in preparation for Version B (free public distribution) and Version C (commercial sale).</w:t>
      </w:r>
    </w:p>
    <w:p>
      <w:pPr>
        <w:pStyle w:val="Normal"/>
        <w:spacing w:before="0" w:after="120"/>
        <w:rPr/>
      </w:pPr>
      <w:r>
        <w:rPr/>
      </w:r>
    </w:p>
    <w:p>
      <w:pPr>
        <w:pStyle w:val="Heading1"/>
        <w:rPr/>
      </w:pPr>
      <w:r>
        <w:rPr/>
        <w:t>2. Technical Architecture</w:t>
      </w:r>
    </w:p>
    <w:p>
      <w:pPr>
        <w:pStyle w:val="Heading2"/>
        <w:rPr/>
      </w:pPr>
      <w:r>
        <w:rPr/>
        <w:t>2.1 Language and Framework</w:t>
      </w:r>
    </w:p>
    <w:p>
      <w:pPr>
        <w:pStyle w:val="Normal"/>
        <w:spacing w:before="0" w:after="120"/>
        <w:rPr/>
      </w:pPr>
      <w:r>
        <w:rPr/>
        <w:t>Written in Python 3. User interface built with Tkinter (Python's standard GUI library). Data storage via SQLite3 (Python standard library). All core functionality uses Python standard library modules.</w:t>
      </w:r>
    </w:p>
    <w:p>
      <w:pPr>
        <w:pStyle w:val="Normal"/>
        <w:spacing w:before="0" w:after="120"/>
        <w:rPr/>
      </w:pPr>
      <w:r>
        <w:rPr/>
      </w:r>
    </w:p>
    <w:p>
      <w:pPr>
        <w:pStyle w:val="Heading2"/>
        <w:rPr/>
      </w:pPr>
      <w:r>
        <w:rPr/>
        <w:t>2.2 Distribution</w:t>
      </w:r>
    </w:p>
    <w:p>
      <w:pPr>
        <w:pStyle w:val="Normal"/>
        <w:spacing w:before="0" w:after="120"/>
        <w:rPr/>
      </w:pPr>
      <w:r>
        <w:rPr/>
        <w:t>Packaged as a standalone Windows executable (.exe) using PyInstaller. The exe is self-contained — no Python installation required on the user's machine.</w:t>
      </w:r>
    </w:p>
    <w:p>
      <w:pPr>
        <w:pStyle w:val="Normal"/>
        <w:spacing w:before="0" w:after="120"/>
        <w:rPr/>
      </w:pPr>
      <w:r>
        <w:rPr/>
      </w:r>
    </w:p>
    <w:p>
      <w:pPr>
        <w:pStyle w:val="Heading2"/>
        <w:rPr/>
      </w:pPr>
      <w:r>
        <w:rPr/>
        <w:t>2.3 Data Architecture</w:t>
      </w:r>
    </w:p>
    <w:p>
      <w:pPr>
        <w:pStyle w:val="Normal"/>
        <w:spacing w:before="0" w:after="120"/>
        <w:rPr/>
      </w:pPr>
      <w:r>
        <w:rPr/>
        <w:t>All user data is stored locally on the user's machine in the Windows AppData\Roaming folder. No data is transmitted to any external server except via the two explicitly opt-in features described in Section 4.</w:t>
      </w:r>
    </w:p>
    <w:p>
      <w:pPr>
        <w:pStyle w:val="Normal"/>
        <w:spacing w:before="0" w:after="120"/>
        <w:rPr/>
      </w:pPr>
      <w:r>
        <w:rPr/>
      </w:r>
    </w:p>
    <w:p>
      <w:pPr>
        <w:pStyle w:val="Heading1"/>
        <w:rPr/>
      </w:pPr>
      <w:r>
        <w:rPr/>
        <w:t>3. The 101 Security Features</w:t>
      </w:r>
    </w:p>
    <w:p>
      <w:pPr>
        <w:pStyle w:val="Normal"/>
        <w:spacing w:before="0" w:after="120"/>
        <w:rPr/>
      </w:pPr>
      <w:r>
        <w:rPr/>
        <w:t>The complete feature list by tier:</w:t>
      </w:r>
    </w:p>
    <w:p>
      <w:pPr>
        <w:pStyle w:val="Normal"/>
        <w:spacing w:before="0" w:after="120"/>
        <w:rPr/>
      </w:pPr>
      <w:r>
        <w:rPr/>
      </w:r>
    </w:p>
    <w:p>
      <w:pPr>
        <w:pStyle w:val="Heading2"/>
        <w:rPr/>
      </w:pPr>
      <w:r>
        <w:rPr/>
        <w:t>Tier 1 — Critical Endpoint Security (Features 1-15)</w:t>
      </w:r>
    </w:p>
    <w:p>
      <w:pPr>
        <w:pStyle w:val="ListParagraph"/>
        <w:numPr>
          <w:ilvl w:val="0"/>
          <w:numId w:val="3"/>
        </w:numPr>
        <w:spacing w:before="0" w:after="80"/>
        <w:rPr/>
      </w:pPr>
      <w:r>
        <w:rPr/>
        <w:t>Antivirus / endpoint protection status</w:t>
      </w:r>
    </w:p>
    <w:p>
      <w:pPr>
        <w:pStyle w:val="ListParagraph"/>
        <w:numPr>
          <w:ilvl w:val="0"/>
          <w:numId w:val="1"/>
        </w:numPr>
        <w:spacing w:before="0" w:after="80"/>
        <w:rPr/>
      </w:pPr>
      <w:r>
        <w:rPr/>
        <w:t>Windows Defender exclusions auditor</w:t>
      </w:r>
    </w:p>
    <w:p>
      <w:pPr>
        <w:pStyle w:val="ListParagraph"/>
        <w:numPr>
          <w:ilvl w:val="0"/>
          <w:numId w:val="1"/>
        </w:numPr>
        <w:spacing w:before="0" w:after="80"/>
        <w:rPr/>
      </w:pPr>
      <w:r>
        <w:rPr/>
        <w:t>Windows Event Log tampering detector</w:t>
      </w:r>
    </w:p>
    <w:p>
      <w:pPr>
        <w:pStyle w:val="ListParagraph"/>
        <w:numPr>
          <w:ilvl w:val="0"/>
          <w:numId w:val="1"/>
        </w:numPr>
        <w:spacing w:before="0" w:after="80"/>
        <w:rPr/>
      </w:pPr>
      <w:r>
        <w:rPr/>
        <w:t>OS patch level checker</w:t>
      </w:r>
    </w:p>
    <w:p>
      <w:pPr>
        <w:pStyle w:val="ListParagraph"/>
        <w:numPr>
          <w:ilvl w:val="0"/>
          <w:numId w:val="1"/>
        </w:numPr>
        <w:spacing w:before="0" w:after="80"/>
        <w:rPr/>
      </w:pPr>
      <w:r>
        <w:rPr/>
        <w:t>Backup status and 3-2-1 rule checker</w:t>
      </w:r>
    </w:p>
    <w:p>
      <w:pPr>
        <w:pStyle w:val="ListParagraph"/>
        <w:numPr>
          <w:ilvl w:val="0"/>
          <w:numId w:val="1"/>
        </w:numPr>
        <w:spacing w:before="0" w:after="80"/>
        <w:rPr/>
      </w:pPr>
      <w:r>
        <w:rPr/>
        <w:t>Ransomware canary file monitor</w:t>
      </w:r>
    </w:p>
    <w:p>
      <w:pPr>
        <w:pStyle w:val="ListParagraph"/>
        <w:numPr>
          <w:ilvl w:val="0"/>
          <w:numId w:val="1"/>
        </w:numPr>
        <w:spacing w:before="0" w:after="80"/>
        <w:rPr/>
      </w:pPr>
      <w:r>
        <w:rPr/>
        <w:t>Encryption at rest / BitLocker checker</w:t>
      </w:r>
    </w:p>
    <w:p>
      <w:pPr>
        <w:pStyle w:val="ListParagraph"/>
        <w:numPr>
          <w:ilvl w:val="0"/>
          <w:numId w:val="1"/>
        </w:numPr>
        <w:spacing w:before="0" w:after="80"/>
        <w:rPr/>
      </w:pPr>
      <w:r>
        <w:rPr/>
        <w:t>BIOS / Secure Boot checker</w:t>
      </w:r>
    </w:p>
    <w:p>
      <w:pPr>
        <w:pStyle w:val="ListParagraph"/>
        <w:numPr>
          <w:ilvl w:val="0"/>
          <w:numId w:val="1"/>
        </w:numPr>
        <w:spacing w:before="0" w:after="80"/>
        <w:rPr/>
      </w:pPr>
      <w:r>
        <w:rPr/>
        <w:t>Local user account auditor</w:t>
      </w:r>
    </w:p>
    <w:p>
      <w:pPr>
        <w:pStyle w:val="ListParagraph"/>
        <w:numPr>
          <w:ilvl w:val="0"/>
          <w:numId w:val="1"/>
        </w:numPr>
        <w:spacing w:before="0" w:after="80"/>
        <w:rPr/>
      </w:pPr>
      <w:r>
        <w:rPr/>
        <w:t>Windows Credential Manager audit</w:t>
      </w:r>
    </w:p>
    <w:p>
      <w:pPr>
        <w:pStyle w:val="ListParagraph"/>
        <w:numPr>
          <w:ilvl w:val="0"/>
          <w:numId w:val="1"/>
        </w:numPr>
        <w:spacing w:before="0" w:after="80"/>
        <w:rPr/>
      </w:pPr>
      <w:r>
        <w:rPr/>
        <w:t>Macro and script execution policy checker</w:t>
      </w:r>
    </w:p>
    <w:p>
      <w:pPr>
        <w:pStyle w:val="ListParagraph"/>
        <w:numPr>
          <w:ilvl w:val="0"/>
          <w:numId w:val="1"/>
        </w:numPr>
        <w:spacing w:before="0" w:after="80"/>
        <w:rPr/>
      </w:pPr>
      <w:r>
        <w:rPr/>
        <w:t>Windows Remote Registry service checker</w:t>
      </w:r>
    </w:p>
    <w:p>
      <w:pPr>
        <w:pStyle w:val="ListParagraph"/>
        <w:numPr>
          <w:ilvl w:val="0"/>
          <w:numId w:val="1"/>
        </w:numPr>
        <w:spacing w:before="0" w:after="80"/>
        <w:rPr/>
      </w:pPr>
      <w:r>
        <w:rPr/>
        <w:t>Audit log retention checker</w:t>
      </w:r>
    </w:p>
    <w:p>
      <w:pPr>
        <w:pStyle w:val="ListParagraph"/>
        <w:numPr>
          <w:ilvl w:val="0"/>
          <w:numId w:val="1"/>
        </w:numPr>
        <w:spacing w:before="0" w:after="80"/>
        <w:rPr/>
      </w:pPr>
      <w:r>
        <w:rPr/>
        <w:t>Screensaver / auto-lock policy checker</w:t>
      </w:r>
    </w:p>
    <w:p>
      <w:pPr>
        <w:pStyle w:val="ListParagraph"/>
        <w:numPr>
          <w:ilvl w:val="0"/>
          <w:numId w:val="1"/>
        </w:numPr>
        <w:spacing w:before="0" w:after="80"/>
        <w:rPr/>
      </w:pPr>
      <w:r>
        <w:rPr/>
        <w:t>Windows pagefile security checker</w:t>
      </w:r>
    </w:p>
    <w:p>
      <w:pPr>
        <w:pStyle w:val="Normal"/>
        <w:spacing w:before="0" w:after="120"/>
        <w:rPr/>
      </w:pPr>
      <w:r>
        <w:rPr/>
      </w:r>
    </w:p>
    <w:p>
      <w:pPr>
        <w:pStyle w:val="Heading2"/>
        <w:rPr/>
      </w:pPr>
      <w:r>
        <w:rPr/>
        <w:t>Tier 2 — Critical Network Perimeter (Features 16-30)</w:t>
      </w:r>
    </w:p>
    <w:p>
      <w:pPr>
        <w:pStyle w:val="ListParagraph"/>
        <w:numPr>
          <w:ilvl w:val="0"/>
          <w:numId w:val="1"/>
        </w:numPr>
        <w:spacing w:before="0" w:after="80"/>
        <w:rPr/>
      </w:pPr>
      <w:r>
        <w:rPr/>
        <w:t>Windows Firewall status checker</w:t>
      </w:r>
    </w:p>
    <w:p>
      <w:pPr>
        <w:pStyle w:val="ListParagraph"/>
        <w:numPr>
          <w:ilvl w:val="0"/>
          <w:numId w:val="1"/>
        </w:numPr>
        <w:spacing w:before="0" w:after="80"/>
        <w:rPr/>
      </w:pPr>
      <w:r>
        <w:rPr/>
        <w:t>WiFi security protocol checker</w:t>
      </w:r>
    </w:p>
    <w:p>
      <w:pPr>
        <w:pStyle w:val="ListParagraph"/>
        <w:numPr>
          <w:ilvl w:val="0"/>
          <w:numId w:val="1"/>
        </w:numPr>
        <w:spacing w:before="0" w:after="80"/>
        <w:rPr/>
      </w:pPr>
      <w:r>
        <w:rPr/>
        <w:t>Weak / default WiFi password detector</w:t>
      </w:r>
    </w:p>
    <w:p>
      <w:pPr>
        <w:pStyle w:val="ListParagraph"/>
        <w:numPr>
          <w:ilvl w:val="0"/>
          <w:numId w:val="1"/>
        </w:numPr>
        <w:spacing w:before="0" w:after="80"/>
        <w:rPr/>
      </w:pPr>
      <w:r>
        <w:rPr/>
        <w:t>WiFi password entropy checker</w:t>
      </w:r>
    </w:p>
    <w:p>
      <w:pPr>
        <w:pStyle w:val="ListParagraph"/>
        <w:numPr>
          <w:ilvl w:val="0"/>
          <w:numId w:val="1"/>
        </w:numPr>
        <w:spacing w:before="0" w:after="80"/>
        <w:rPr/>
      </w:pPr>
      <w:r>
        <w:rPr/>
        <w:t>WPS status checker</w:t>
      </w:r>
    </w:p>
    <w:p>
      <w:pPr>
        <w:pStyle w:val="ListParagraph"/>
        <w:numPr>
          <w:ilvl w:val="0"/>
          <w:numId w:val="1"/>
        </w:numPr>
        <w:spacing w:before="0" w:after="80"/>
        <w:rPr/>
      </w:pPr>
      <w:r>
        <w:rPr/>
        <w:t>Router default credential checker</w:t>
      </w:r>
    </w:p>
    <w:p>
      <w:pPr>
        <w:pStyle w:val="ListParagraph"/>
        <w:numPr>
          <w:ilvl w:val="0"/>
          <w:numId w:val="1"/>
        </w:numPr>
        <w:spacing w:before="0" w:after="80"/>
        <w:rPr/>
      </w:pPr>
      <w:r>
        <w:rPr/>
        <w:t>Router age and end-of-life checker</w:t>
      </w:r>
    </w:p>
    <w:p>
      <w:pPr>
        <w:pStyle w:val="ListParagraph"/>
        <w:numPr>
          <w:ilvl w:val="0"/>
          <w:numId w:val="1"/>
        </w:numPr>
        <w:spacing w:before="0" w:after="80"/>
        <w:rPr/>
      </w:pPr>
      <w:r>
        <w:rPr/>
        <w:t>Router firmware version checker</w:t>
      </w:r>
    </w:p>
    <w:p>
      <w:pPr>
        <w:pStyle w:val="ListParagraph"/>
        <w:numPr>
          <w:ilvl w:val="0"/>
          <w:numId w:val="1"/>
        </w:numPr>
        <w:spacing w:before="0" w:after="80"/>
        <w:rPr/>
      </w:pPr>
      <w:r>
        <w:rPr/>
        <w:t>DNS server checker and hijacking detector</w:t>
      </w:r>
    </w:p>
    <w:p>
      <w:pPr>
        <w:pStyle w:val="ListParagraph"/>
        <w:numPr>
          <w:ilvl w:val="0"/>
          <w:numId w:val="1"/>
        </w:numPr>
        <w:spacing w:before="0" w:after="80"/>
        <w:rPr/>
      </w:pPr>
      <w:r>
        <w:rPr/>
        <w:t>DNS over HTTPS (DoH) status checker</w:t>
      </w:r>
    </w:p>
    <w:p>
      <w:pPr>
        <w:pStyle w:val="ListParagraph"/>
        <w:numPr>
          <w:ilvl w:val="0"/>
          <w:numId w:val="1"/>
        </w:numPr>
        <w:spacing w:before="0" w:after="80"/>
        <w:rPr/>
      </w:pPr>
      <w:r>
        <w:rPr/>
        <w:t>Router DNS rebinding protection check</w:t>
      </w:r>
    </w:p>
    <w:p>
      <w:pPr>
        <w:pStyle w:val="ListParagraph"/>
        <w:numPr>
          <w:ilvl w:val="0"/>
          <w:numId w:val="1"/>
        </w:numPr>
        <w:spacing w:before="0" w:after="80"/>
        <w:rPr/>
      </w:pPr>
      <w:r>
        <w:rPr/>
        <w:t>HTTPS downgrade attack detector</w:t>
      </w:r>
    </w:p>
    <w:p>
      <w:pPr>
        <w:pStyle w:val="ListParagraph"/>
        <w:numPr>
          <w:ilvl w:val="0"/>
          <w:numId w:val="1"/>
        </w:numPr>
        <w:spacing w:before="0" w:after="80"/>
        <w:rPr/>
      </w:pPr>
      <w:r>
        <w:rPr/>
        <w:t>TLS version checker</w:t>
      </w:r>
    </w:p>
    <w:p>
      <w:pPr>
        <w:pStyle w:val="ListParagraph"/>
        <w:numPr>
          <w:ilvl w:val="0"/>
          <w:numId w:val="1"/>
        </w:numPr>
        <w:spacing w:before="0" w:after="80"/>
        <w:rPr/>
      </w:pPr>
      <w:r>
        <w:rPr/>
        <w:t>NTP / time sync checker</w:t>
      </w:r>
    </w:p>
    <w:p>
      <w:pPr>
        <w:pStyle w:val="ListParagraph"/>
        <w:numPr>
          <w:ilvl w:val="0"/>
          <w:numId w:val="1"/>
        </w:numPr>
        <w:spacing w:before="0" w:after="80"/>
        <w:rPr/>
      </w:pPr>
      <w:r>
        <w:rPr/>
        <w:t>Network clock drift detector</w:t>
      </w:r>
    </w:p>
    <w:p>
      <w:pPr>
        <w:pStyle w:val="Normal"/>
        <w:spacing w:before="0" w:after="120"/>
        <w:rPr/>
      </w:pPr>
      <w:r>
        <w:rPr/>
      </w:r>
    </w:p>
    <w:p>
      <w:pPr>
        <w:pStyle w:val="Heading2"/>
        <w:rPr/>
      </w:pPr>
      <w:r>
        <w:rPr/>
        <w:t>Tier 3 — Critical Threat Detection (Features 31-41)</w:t>
      </w:r>
    </w:p>
    <w:p>
      <w:pPr>
        <w:pStyle w:val="ListParagraph"/>
        <w:numPr>
          <w:ilvl w:val="0"/>
          <w:numId w:val="1"/>
        </w:numPr>
        <w:spacing w:before="0" w:after="80"/>
        <w:rPr/>
      </w:pPr>
      <w:r>
        <w:rPr/>
        <w:t>Botnet / compromised device behavior detector</w:t>
      </w:r>
    </w:p>
    <w:p>
      <w:pPr>
        <w:pStyle w:val="ListParagraph"/>
        <w:numPr>
          <w:ilvl w:val="0"/>
          <w:numId w:val="1"/>
        </w:numPr>
        <w:spacing w:before="0" w:after="80"/>
        <w:rPr/>
      </w:pPr>
      <w:r>
        <w:rPr/>
        <w:t>ARP spoofing / poisoning detector</w:t>
      </w:r>
    </w:p>
    <w:p>
      <w:pPr>
        <w:pStyle w:val="ListParagraph"/>
        <w:numPr>
          <w:ilvl w:val="0"/>
          <w:numId w:val="1"/>
        </w:numPr>
        <w:spacing w:before="0" w:after="80"/>
        <w:rPr/>
      </w:pPr>
      <w:r>
        <w:rPr/>
        <w:t>Rogue DHCP server detector</w:t>
      </w:r>
    </w:p>
    <w:p>
      <w:pPr>
        <w:pStyle w:val="ListParagraph"/>
        <w:numPr>
          <w:ilvl w:val="0"/>
          <w:numId w:val="1"/>
        </w:numPr>
        <w:spacing w:before="0" w:after="80"/>
        <w:rPr/>
      </w:pPr>
      <w:r>
        <w:rPr/>
        <w:t>Network interface promiscuous mode detector</w:t>
      </w:r>
    </w:p>
    <w:p>
      <w:pPr>
        <w:pStyle w:val="ListParagraph"/>
        <w:numPr>
          <w:ilvl w:val="0"/>
          <w:numId w:val="1"/>
        </w:numPr>
        <w:spacing w:before="0" w:after="80"/>
        <w:rPr/>
      </w:pPr>
      <w:r>
        <w:rPr/>
        <w:t>Cleartext protocol usage monitor</w:t>
      </w:r>
    </w:p>
    <w:p>
      <w:pPr>
        <w:pStyle w:val="ListParagraph"/>
        <w:numPr>
          <w:ilvl w:val="0"/>
          <w:numId w:val="1"/>
        </w:numPr>
        <w:spacing w:before="0" w:after="80"/>
        <w:rPr/>
      </w:pPr>
      <w:r>
        <w:rPr/>
        <w:t>Network packet capture sampler</w:t>
      </w:r>
    </w:p>
    <w:p>
      <w:pPr>
        <w:pStyle w:val="ListParagraph"/>
        <w:numPr>
          <w:ilvl w:val="0"/>
          <w:numId w:val="1"/>
        </w:numPr>
        <w:spacing w:before="0" w:after="80"/>
        <w:rPr/>
      </w:pPr>
      <w:r>
        <w:rPr/>
        <w:t>Credential exposure / HaveIBeenPwned check</w:t>
      </w:r>
    </w:p>
    <w:p>
      <w:pPr>
        <w:pStyle w:val="ListParagraph"/>
        <w:numPr>
          <w:ilvl w:val="0"/>
          <w:numId w:val="1"/>
        </w:numPr>
        <w:spacing w:before="0" w:after="80"/>
        <w:rPr/>
      </w:pPr>
      <w:r>
        <w:rPr/>
        <w:t>Log review assistant</w:t>
      </w:r>
    </w:p>
    <w:p>
      <w:pPr>
        <w:pStyle w:val="ListParagraph"/>
        <w:numPr>
          <w:ilvl w:val="0"/>
          <w:numId w:val="1"/>
        </w:numPr>
        <w:spacing w:before="0" w:after="80"/>
        <w:rPr/>
      </w:pPr>
      <w:r>
        <w:rPr/>
        <w:t>Network traffic anomaly baseline</w:t>
      </w:r>
    </w:p>
    <w:p>
      <w:pPr>
        <w:pStyle w:val="ListParagraph"/>
        <w:numPr>
          <w:ilvl w:val="0"/>
          <w:numId w:val="1"/>
        </w:numPr>
        <w:spacing w:before="0" w:after="80"/>
        <w:rPr/>
      </w:pPr>
      <w:r>
        <w:rPr/>
        <w:t>Time-based access pattern analyzer</w:t>
      </w:r>
    </w:p>
    <w:p>
      <w:pPr>
        <w:pStyle w:val="ListParagraph"/>
        <w:numPr>
          <w:ilvl w:val="0"/>
          <w:numId w:val="1"/>
        </w:numPr>
        <w:spacing w:before="0" w:after="80"/>
        <w:rPr/>
      </w:pPr>
      <w:r>
        <w:rPr/>
        <w:t>Public IP reputation check</w:t>
      </w:r>
    </w:p>
    <w:p>
      <w:pPr>
        <w:pStyle w:val="Normal"/>
        <w:spacing w:before="0" w:after="120"/>
        <w:rPr/>
      </w:pPr>
      <w:r>
        <w:rPr/>
      </w:r>
    </w:p>
    <w:p>
      <w:pPr>
        <w:pStyle w:val="Heading2"/>
        <w:rPr/>
      </w:pPr>
      <w:r>
        <w:rPr/>
        <w:t>Tiers 4-10 — Additional Features (Features 42-101)</w:t>
      </w:r>
    </w:p>
    <w:p>
      <w:pPr>
        <w:pStyle w:val="Normal"/>
        <w:spacing w:before="0" w:after="120"/>
        <w:rPr/>
      </w:pPr>
      <w:r>
        <w:rPr/>
        <w:t>Covering device identification, browser security, VPN leak checking, scan history, device risk scoring, IoT awareness, network performance, scan profiles, visual topology, email alerts, HTML report export, one-click remediation, help panel, dark/light mode toggle, and post-quantum cryptography readiness check.</w:t>
      </w:r>
    </w:p>
    <w:p>
      <w:pPr>
        <w:pStyle w:val="Normal"/>
        <w:spacing w:before="0" w:after="120"/>
        <w:rPr/>
      </w:pPr>
      <w:r>
        <w:rPr/>
      </w:r>
    </w:p>
    <w:p>
      <w:pPr>
        <w:pStyle w:val="Heading1"/>
        <w:rPr/>
      </w:pPr>
      <w:r>
        <w:rPr/>
        <w:t>4. External Service Connections</w:t>
      </w:r>
    </w:p>
    <w:p>
      <w:pPr>
        <w:pStyle w:val="Normal"/>
        <w:spacing w:before="0" w:after="120"/>
        <w:rPr/>
      </w:pPr>
      <w:r>
        <w:rPr/>
        <w:t>Two features connect to external services. Both are disabled by default and require explicit user opt-in:</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2401"/>
        <w:gridCol w:w="2400"/>
        <w:gridCol w:w="2359"/>
      </w:tblGrid>
      <w:tr>
        <w:trPr/>
        <w:tc>
          <w:tcPr>
            <w:tcW w:w="2199"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Feature</w:t>
            </w:r>
          </w:p>
        </w:tc>
        <w:tc>
          <w:tcPr>
            <w:tcW w:w="2401"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External Service</w:t>
            </w:r>
          </w:p>
        </w:tc>
        <w:tc>
          <w:tcPr>
            <w:tcW w:w="240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Data Transmitted</w:t>
            </w:r>
          </w:p>
        </w:tc>
        <w:tc>
          <w:tcPr>
            <w:tcW w:w="2359"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Default State</w:t>
            </w:r>
          </w:p>
        </w:tc>
      </w:tr>
      <w:tr>
        <w:trPr/>
        <w:tc>
          <w:tcPr>
            <w:tcW w:w="21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Internet Speed Test</w:t>
            </w:r>
          </w:p>
        </w:tc>
        <w:tc>
          <w:tcPr>
            <w:tcW w:w="2401"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Speedtest.net</w:t>
            </w:r>
          </w:p>
        </w:tc>
        <w:tc>
          <w:tcPr>
            <w:tcW w:w="24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User IP address (implicit in connection)</w:t>
            </w:r>
          </w:p>
        </w:tc>
        <w:tc>
          <w:tcPr>
            <w:tcW w:w="235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Disabled — opt-in</w:t>
            </w:r>
          </w:p>
        </w:tc>
      </w:tr>
      <w:tr>
        <w:trPr/>
        <w:tc>
          <w:tcPr>
            <w:tcW w:w="21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Credential Breach Check</w:t>
            </w:r>
          </w:p>
        </w:tc>
        <w:tc>
          <w:tcPr>
            <w:tcW w:w="2401"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HaveIBeenPwned.com</w:t>
            </w:r>
          </w:p>
        </w:tc>
        <w:tc>
          <w:tcPr>
            <w:tcW w:w="24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First 5 chars of SHA-1 hash of email address only</w:t>
            </w:r>
          </w:p>
        </w:tc>
        <w:tc>
          <w:tcPr>
            <w:tcW w:w="235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Disabled — opt-in</w:t>
            </w:r>
          </w:p>
        </w:tc>
      </w:tr>
    </w:tbl>
    <w:p>
      <w:pPr>
        <w:pStyle w:val="Normal"/>
        <w:spacing w:before="0" w:after="120"/>
        <w:rPr/>
      </w:pPr>
      <w:r>
        <w:rPr/>
      </w:r>
    </w:p>
    <w:p>
      <w:pPr>
        <w:pStyle w:val="Heading1"/>
        <w:rPr/>
      </w:pPr>
      <w:r>
        <w:rPr/>
        <w:t>5. Open Source Dependencies</w:t>
      </w:r>
    </w:p>
    <w:p>
      <w:pPr>
        <w:pStyle w:val="Normal"/>
        <w:spacing w:before="0" w:after="120"/>
        <w:rPr/>
      </w:pPr>
      <w:r>
        <w:rPr/>
        <w:t>The following third-party libraries are used. Counsel should verify current license terms and confirm all are acceptable for commercial distribution under the proposed Version C model.</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000"/>
        <w:gridCol w:w="2000"/>
        <w:gridCol w:w="1999"/>
        <w:gridCol w:w="3360"/>
      </w:tblGrid>
      <w:tr>
        <w:trPr/>
        <w:tc>
          <w:tcPr>
            <w:tcW w:w="200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Library</w:t>
            </w:r>
          </w:p>
        </w:tc>
        <w:tc>
          <w:tcPr>
            <w:tcW w:w="200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Version</w:t>
            </w:r>
          </w:p>
        </w:tc>
        <w:tc>
          <w:tcPr>
            <w:tcW w:w="1999"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License</w:t>
            </w:r>
          </w:p>
        </w:tc>
        <w:tc>
          <w:tcPr>
            <w:tcW w:w="3360" w:type="dxa"/>
            <w:tcBorders>
              <w:top w:val="single" w:sz="2" w:space="0" w:color="E2E8F0"/>
              <w:start w:val="single" w:sz="2" w:space="0" w:color="E2E8F0"/>
              <w:bottom w:val="single" w:sz="2" w:space="0" w:color="E2E8F0"/>
              <w:end w:val="single" w:sz="2" w:space="0" w:color="E2E8F0"/>
            </w:tcBorders>
            <w:shd w:fill="F1F5F9" w:val="clear"/>
          </w:tcPr>
          <w:p>
            <w:pPr>
              <w:pStyle w:val="Normal"/>
              <w:rPr/>
            </w:pPr>
            <w:r>
              <w:rPr>
                <w:rFonts w:eastAsia="Arial" w:cs="Arial"/>
                <w:b/>
                <w:bCs/>
                <w:sz w:val="20"/>
                <w:szCs w:val="20"/>
              </w:rPr>
              <w:t>Usage</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PyInstaller</w:t>
            </w:r>
          </w:p>
        </w:tc>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&gt;=6.0.0</w:t>
            </w:r>
          </w:p>
        </w:tc>
        <w:tc>
          <w:tcPr>
            <w:tcW w:w="19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GPLv2 + bootloader exception</w:t>
            </w:r>
          </w:p>
        </w:tc>
        <w:tc>
          <w:tcPr>
            <w:tcW w:w="33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Packages app into .exe. Bootloader exception explicitly permits commercial use of packaged applications.</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speedtest-cli</w:t>
            </w:r>
          </w:p>
        </w:tc>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&gt;=2.1.3</w:t>
            </w:r>
          </w:p>
        </w:tc>
        <w:tc>
          <w:tcPr>
            <w:tcW w:w="19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Apache 2.0</w:t>
            </w:r>
          </w:p>
        </w:tc>
        <w:tc>
          <w:tcPr>
            <w:tcW w:w="33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Internet speed test feature. Apache 2.0 permits commercial use.</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requests</w:t>
            </w:r>
          </w:p>
        </w:tc>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&gt;=2.31.0</w:t>
            </w:r>
          </w:p>
        </w:tc>
        <w:tc>
          <w:tcPr>
            <w:tcW w:w="19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Apache 2.0</w:t>
            </w:r>
          </w:p>
        </w:tc>
        <w:tc>
          <w:tcPr>
            <w:tcW w:w="33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HTTP requests for HaveIBeenPwned API. Apache 2.0 permits commercial use.</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Pillow</w:t>
            </w:r>
          </w:p>
        </w:tc>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&gt;=10.0.0</w:t>
            </w:r>
          </w:p>
        </w:tc>
        <w:tc>
          <w:tcPr>
            <w:tcW w:w="19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HPND (PIL License)</w:t>
            </w:r>
          </w:p>
        </w:tc>
        <w:tc>
          <w:tcPr>
            <w:tcW w:w="33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Icon generation and image processing. HPND is permissive and permits commercial use.</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tkinter</w:t>
            </w:r>
          </w:p>
        </w:tc>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Python stdlib</w:t>
            </w:r>
          </w:p>
        </w:tc>
        <w:tc>
          <w:tcPr>
            <w:tcW w:w="19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Python Software Foundation License</w:t>
            </w:r>
          </w:p>
        </w:tc>
        <w:tc>
          <w:tcPr>
            <w:tcW w:w="33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GUI framework. Part of Python standard library. PSF license permits commercial use.</w:t>
            </w:r>
          </w:p>
        </w:tc>
      </w:tr>
      <w:tr>
        <w:trPr/>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sqlite3</w:t>
            </w:r>
          </w:p>
        </w:tc>
        <w:tc>
          <w:tcPr>
            <w:tcW w:w="200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Python stdlib</w:t>
            </w:r>
          </w:p>
        </w:tc>
        <w:tc>
          <w:tcPr>
            <w:tcW w:w="1999"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Public Domain</w:t>
            </w:r>
          </w:p>
        </w:tc>
        <w:tc>
          <w:tcPr>
            <w:tcW w:w="3360" w:type="dxa"/>
            <w:tcBorders>
              <w:top w:val="single" w:sz="2" w:space="0" w:color="E2E8F0"/>
              <w:start w:val="single" w:sz="2" w:space="0" w:color="E2E8F0"/>
              <w:bottom w:val="single" w:sz="2" w:space="0" w:color="E2E8F0"/>
              <w:end w:val="single" w:sz="2" w:space="0" w:color="E2E8F0"/>
            </w:tcBorders>
          </w:tcPr>
          <w:p>
            <w:pPr>
              <w:pStyle w:val="Normal"/>
              <w:rPr/>
            </w:pPr>
            <w:r>
              <w:rPr>
                <w:rFonts w:eastAsia="Arial" w:cs="Arial"/>
                <w:sz w:val="20"/>
                <w:szCs w:val="20"/>
              </w:rPr>
              <w:t>Local database. Public domain — no restrictions.</w:t>
            </w:r>
          </w:p>
        </w:tc>
      </w:tr>
    </w:tbl>
    <w:p>
      <w:pPr>
        <w:pStyle w:val="Normal"/>
        <w:spacing w:before="0" w:after="120"/>
        <w:rPr/>
      </w:pPr>
      <w:r>
        <w:rPr/>
      </w:r>
    </w:p>
    <w:p>
      <w:pPr>
        <w:pStyle w:val="Normal"/>
        <w:spacing w:before="0" w:after="120"/>
        <w:rPr/>
      </w:pPr>
      <w:r>
        <w:rPr>
          <w:color w:val="374151"/>
          <w:sz w:val="20"/>
          <w:szCs w:val="20"/>
        </w:rPr>
        <w:t>Note: All other modules used (socket, subprocess, winreg, ipaddress, hashlib, etc.) are Python standard library modules covered by the Python Software Foundation License, which permits commercial use.</w:t>
      </w:r>
    </w:p>
    <w:p>
      <w:pPr>
        <w:pStyle w:val="Normal"/>
        <w:spacing w:before="0" w:after="120"/>
        <w:rPr/>
      </w:pPr>
      <w:r>
        <w:rPr/>
      </w:r>
    </w:p>
    <w:p>
      <w:pPr>
        <w:pStyle w:val="Heading1"/>
        <w:rPr/>
      </w:pPr>
      <w:r>
        <w:rPr/>
        <w:t>6. Distribution Model</w:t>
      </w:r>
    </w:p>
    <w:p>
      <w:pPr>
        <w:pStyle w:val="Heading2"/>
        <w:rPr/>
      </w:pPr>
      <w:r>
        <w:rPr/>
        <w:t>Version A — Personal Use (Current)</w:t>
      </w:r>
    </w:p>
    <w:p>
      <w:pPr>
        <w:pStyle w:val="Normal"/>
        <w:spacing w:before="0" w:after="120"/>
        <w:rPr/>
      </w:pPr>
      <w:r>
        <w:rPr/>
        <w:t>The exe is distributed directly to known individuals. No code signing. No public listing. No commercial transaction. Governed by the EULA included with the software.</w:t>
      </w:r>
    </w:p>
    <w:p>
      <w:pPr>
        <w:pStyle w:val="Normal"/>
        <w:spacing w:before="0" w:after="120"/>
        <w:rPr/>
      </w:pPr>
      <w:r>
        <w:rPr/>
      </w:r>
    </w:p>
    <w:p>
      <w:pPr>
        <w:pStyle w:val="Heading2"/>
        <w:rPr/>
      </w:pPr>
      <w:r>
        <w:rPr/>
        <w:t>Version B — Free Public Distribution (Planned)</w:t>
      </w:r>
    </w:p>
    <w:p>
      <w:pPr>
        <w:pStyle w:val="Normal"/>
        <w:spacing w:before="0" w:after="120"/>
        <w:rPr/>
      </w:pPr>
      <w:r>
        <w:rPr/>
        <w:t>The exe is distributed publicly at no cost via the developer's website and/or GitHub. Requires code signing certificate (Sectigo or DigiCert individual certificate, approximately $200-500/year). Governed by the EULA. A Privacy Policy is included.</w:t>
      </w:r>
    </w:p>
    <w:p>
      <w:pPr>
        <w:pStyle w:val="Normal"/>
        <w:spacing w:before="0" w:after="120"/>
        <w:rPr/>
      </w:pPr>
      <w:r>
        <w:rPr/>
      </w:r>
    </w:p>
    <w:p>
      <w:pPr>
        <w:pStyle w:val="Heading2"/>
        <w:rPr/>
      </w:pPr>
      <w:r>
        <w:rPr/>
        <w:t>Version C — Commercial Sale (Planned)</w:t>
      </w:r>
    </w:p>
    <w:p>
      <w:pPr>
        <w:pStyle w:val="Normal"/>
        <w:spacing w:before="0" w:after="120"/>
        <w:rPr/>
      </w:pPr>
      <w:r>
        <w:rPr/>
        <w:t>The exe is sold to consumers via Gumroad or similar platform at a proposed price of $19.99-$49.99 (one-time purchase). Requires code signing, commercial software license agreement, and all elements listed in Section 7.</w:t>
      </w:r>
    </w:p>
    <w:p>
      <w:pPr>
        <w:pStyle w:val="Normal"/>
        <w:spacing w:before="0" w:after="120"/>
        <w:rPr/>
      </w:pPr>
      <w:r>
        <w:rPr/>
      </w:r>
    </w:p>
    <w:p>
      <w:pPr>
        <w:pStyle w:val="Heading1"/>
        <w:rPr/>
      </w:pPr>
      <w:r>
        <w:rPr/>
        <w:t>7. Legal Matters — Counsel's Input Requested</w:t>
      </w:r>
    </w:p>
    <w:p>
      <w:pPr>
        <w:pStyle w:val="Heading2"/>
        <w:rPr/>
      </w:pPr>
      <w:r>
        <w:rPr/>
        <w:t>7.1 IP Ownership Confirmation</w:t>
      </w:r>
    </w:p>
    <w:p>
      <w:pPr>
        <w:pStyle w:val="Normal"/>
        <w:spacing w:before="0" w:after="120"/>
        <w:rPr/>
      </w:pPr>
      <w:r>
        <w:rPr/>
        <w:t>The software was developed by the owner using AI-assisted code generation tools (Anthropic Claude). Counsel's guidance is sought on: (a) ownership of AI-assisted work product under current applicable law, (b) any documentation recommended to establish clear IP ownership, and (c) whether a copyright registration is advisable prior to Version B or C release.</w:t>
      </w:r>
    </w:p>
    <w:p>
      <w:pPr>
        <w:pStyle w:val="Normal"/>
        <w:spacing w:before="0" w:after="120"/>
        <w:rPr/>
      </w:pPr>
      <w:r>
        <w:rPr/>
      </w:r>
    </w:p>
    <w:p>
      <w:pPr>
        <w:pStyle w:val="Heading2"/>
        <w:rPr/>
      </w:pPr>
      <w:r>
        <w:rPr/>
        <w:t>7.2 Open Source License Compliance</w:t>
      </w:r>
    </w:p>
    <w:p>
      <w:pPr>
        <w:pStyle w:val="Normal"/>
        <w:spacing w:before="0" w:after="120"/>
        <w:rPr/>
      </w:pPr>
      <w:r>
        <w:rPr/>
        <w:t>Counsel should review the dependency licenses in Section 5 and confirm: (a) all licenses are compatible with commercial distribution, (b) any attribution requirements are identified and satisfied, (c) the PyInstaller GPLv2 bootloader exception is confirmed to cover the intended distribution model.</w:t>
      </w:r>
    </w:p>
    <w:p>
      <w:pPr>
        <w:pStyle w:val="Normal"/>
        <w:spacing w:before="0" w:after="120"/>
        <w:rPr/>
      </w:pPr>
      <w:r>
        <w:rPr/>
      </w:r>
    </w:p>
    <w:p>
      <w:pPr>
        <w:pStyle w:val="Heading2"/>
        <w:rPr/>
      </w:pPr>
      <w:r>
        <w:rPr/>
        <w:t>7.3 EULA Review</w:t>
      </w:r>
    </w:p>
    <w:p>
      <w:pPr>
        <w:pStyle w:val="Normal"/>
        <w:spacing w:before="0" w:after="120"/>
        <w:rPr/>
      </w:pPr>
      <w:r>
        <w:rPr/>
        <w:t>A draft EULA is included in this package. Counsel should review and advise on: (a) adequacy of limitation of liability provisions for a security software product, (b) jurisdiction and governing law clause, (c) any additional provisions recommended for a security tool specifically.</w:t>
      </w:r>
    </w:p>
    <w:p>
      <w:pPr>
        <w:pStyle w:val="Normal"/>
        <w:spacing w:before="0" w:after="120"/>
        <w:rPr/>
      </w:pPr>
      <w:r>
        <w:rPr/>
      </w:r>
    </w:p>
    <w:p>
      <w:pPr>
        <w:pStyle w:val="Heading2"/>
        <w:rPr/>
      </w:pPr>
      <w:r>
        <w:rPr/>
        <w:t>7.4 Software License Agreement for Version C</w:t>
      </w:r>
    </w:p>
    <w:p>
      <w:pPr>
        <w:pStyle w:val="Normal"/>
        <w:spacing w:before="0" w:after="120"/>
        <w:rPr/>
      </w:pPr>
      <w:r>
        <w:rPr/>
        <w:t>A commercial software license agreement needs to be drafted for Version C. Key terms to address: single-user vs multi-device licensing, prohibited commercial use by end users, update and support terms, refund policy, and enforcement mechanisms.</w:t>
      </w:r>
    </w:p>
    <w:p>
      <w:pPr>
        <w:pStyle w:val="Normal"/>
        <w:spacing w:before="0" w:after="120"/>
        <w:rPr/>
      </w:pPr>
      <w:r>
        <w:rPr/>
      </w:r>
    </w:p>
    <w:p>
      <w:pPr>
        <w:pStyle w:val="Heading2"/>
        <w:rPr/>
      </w:pPr>
      <w:r>
        <w:rPr/>
        <w:t>7.5 Privacy Policy Adequacy</w:t>
      </w:r>
    </w:p>
    <w:p>
      <w:pPr>
        <w:pStyle w:val="Normal"/>
        <w:spacing w:before="0" w:after="120"/>
        <w:rPr/>
      </w:pPr>
      <w:r>
        <w:rPr/>
        <w:t>A draft Privacy Policy is included. Counsel should advise on: (a) adequacy under applicable US state privacy laws (Texas, California CCPA, etc.), (b) whether the two opt-in external service connections require additional disclosures, (c) any requirements for the HaveIBeenPwned email hash transmission specifically.</w:t>
      </w:r>
    </w:p>
    <w:p>
      <w:pPr>
        <w:pStyle w:val="Normal"/>
        <w:spacing w:before="0" w:after="120"/>
        <w:rPr/>
      </w:pPr>
      <w:r>
        <w:rPr/>
      </w:r>
    </w:p>
    <w:p>
      <w:pPr>
        <w:pStyle w:val="Heading2"/>
        <w:rPr/>
      </w:pPr>
      <w:r>
        <w:rPr/>
        <w:t>7.6 Product Name and Trademark</w:t>
      </w:r>
    </w:p>
    <w:p>
      <w:pPr>
        <w:pStyle w:val="Normal"/>
        <w:spacing w:before="0" w:after="120"/>
        <w:rPr/>
      </w:pPr>
      <w:r>
        <w:rPr/>
        <w:t>The product name SentinelHome101 was researched and no conflicting software products were found. Counsel should advise on: (a) advisability of trademark registration, (b) trademark class(es) applicable to security software, (c) whether the domain registration at sentinelhome101.com supports trademark position.</w:t>
      </w:r>
    </w:p>
    <w:p>
      <w:pPr>
        <w:pStyle w:val="Normal"/>
        <w:spacing w:before="0" w:after="120"/>
        <w:rPr/>
      </w:pPr>
      <w:r>
        <w:rPr/>
      </w:r>
    </w:p>
    <w:p>
      <w:pPr>
        <w:pStyle w:val="Heading2"/>
        <w:rPr/>
      </w:pPr>
      <w:r>
        <w:rPr/>
        <w:t>7.7 Security Tool Liability Exposure</w:t>
      </w:r>
    </w:p>
    <w:p>
      <w:pPr>
        <w:pStyle w:val="Normal"/>
        <w:spacing w:before="0" w:after="120"/>
        <w:rPr/>
      </w:pPr>
      <w:r>
        <w:rPr/>
        <w:t>The software is a security audit tool that makes representations about a user's network security posture. Counsel should advise on: (a) liability exposure if a user suffers a security incident after receiving a clean report, (b) adequacy of the disclaimer of warranties provision, (c) whether any additional risk mitigation language is recommended.</w:t>
      </w:r>
    </w:p>
    <w:p>
      <w:pPr>
        <w:pStyle w:val="Normal"/>
        <w:spacing w:before="0" w:after="120"/>
        <w:rPr/>
      </w:pPr>
      <w:r>
        <w:rPr/>
      </w:r>
    </w:p>
    <w:p>
      <w:pPr>
        <w:pStyle w:val="Heading1"/>
        <w:rPr/>
      </w:pPr>
      <w:r>
        <w:rPr/>
        <w:t>8. Contact</w:t>
      </w:r>
    </w:p>
    <w:p>
      <w:pPr>
        <w:pStyle w:val="Normal"/>
        <w:spacing w:before="0" w:after="120"/>
        <w:rPr/>
      </w:pPr>
      <w:r>
        <w:rPr/>
        <w:t>Email: support@sentinelhome101.com</w:t>
      </w:r>
    </w:p>
    <w:p>
      <w:pPr>
        <w:pStyle w:val="Normal"/>
        <w:spacing w:before="0" w:after="120"/>
        <w:rPr/>
      </w:pPr>
      <w:r>
        <w:rPr/>
        <w:t>Website: sentinelhome101.com</w:t>
      </w:r>
    </w:p>
    <w:p>
      <w:pPr>
        <w:pStyle w:val="Normal"/>
        <w:spacing w:before="0" w:after="120"/>
        <w:rPr/>
      </w:pPr>
      <w:r>
        <w:rPr/>
      </w:r>
    </w:p>
    <w:p>
      <w:pPr>
        <w:pStyle w:val="Normal"/>
        <w:spacing w:before="0" w:after="120"/>
        <w:rPr/>
      </w:pPr>
      <w:r>
        <w:rPr>
          <w:i/>
          <w:iCs/>
          <w:color w:val="8B949E"/>
          <w:sz w:val="20"/>
          <w:szCs w:val="20"/>
        </w:rPr>
        <w:t>This briefing package is confidential and intended solely for review by legal counsel retained by the developer.</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charset w:val="00" w:characterSet="iso-8859-1"/>
    <w:family w:val="roman"/>
    <w:pitch w:val="variable"/>
  </w:font>
  <w:font w:name="Liberation Sans">
    <w:altName w:val="Arial"/>
    <w:charset w:val="00" w:characterSet="iso-8859-1"/>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Attorney Briefing Package</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rPr/>
    </w:pPr>
    <w:r>
      <w:rPr>
        <w:color w:val="8B949E"/>
        <w:sz w:val="16"/>
        <w:szCs w:val="16"/>
      </w:rPr>
      <w:t>SentinelHome101 v1.0.0</w:t>
      <w:tab/>
      <w:t>Attorney Briefing Package</w:t>
      <w:tab/>
      <w:t xml:space="preserve">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rPr>
    </w:lvl>
    <w:lvl w:ilvl="1">
      <w:start w:val="1"/>
      <w:numFmt w:val="bullet"/>
      <w:lvlText w:val="◦"/>
      <w:lvlJc w:val="start"/>
      <w:pPr>
        <w:tabs>
          <w:tab w:val="num" w:pos="0"/>
        </w:tabs>
        <w:ind w:start="1080" w:hanging="360"/>
      </w:pPr>
      <w:rPr>
        <w:rFonts w:ascii="Arial" w:hAnsi="Arial" w:cs="Aria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0D1117"/>
      <w:sz w:val="36"/>
      <w:szCs w:val="36"/>
    </w:rPr>
  </w:style>
  <w:style w:type="paragraph" w:styleId="Heading2">
    <w:name w:val="Heading 2"/>
    <w:basedOn w:val="Heading"/>
    <w:qFormat/>
    <w:pPr>
      <w:spacing w:before="240" w:after="80"/>
      <w:outlineLvl w:val="1"/>
    </w:pPr>
    <w:rPr>
      <w:rFonts w:ascii="Arial" w:hAnsi="Arial" w:eastAsia="Arial" w:cs="Arial"/>
      <w:b/>
      <w:bCs/>
      <w:color w:val="0D1117"/>
      <w:sz w:val="28"/>
      <w:szCs w:val="28"/>
    </w:rPr>
  </w:style>
  <w:style w:type="paragraph" w:styleId="Heading3">
    <w:name w:val="Heading 3"/>
    <w:basedOn w:val="Heading"/>
    <w:qFormat/>
    <w:pPr>
      <w:spacing w:before="180" w:after="60"/>
      <w:outlineLvl w:val="2"/>
    </w:pPr>
    <w:rPr>
      <w:rFonts w:ascii="Arial" w:hAnsi="Arial" w:eastAsia="Arial"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2026-05-19T21:28:37Z</dcterms:created>
  <dc:creator>Un-named</dc:creator>
  <dc:description/>
  <dc:language>en-US</dc:language>
  <cp:lastModifiedBy>Un-named</cp:lastModifiedBy>
  <dcterms:modified xsi:type="dcterms:W3CDTF">2026-05-19T21:28:37Z</dcterms:modified>
  <cp:revision>1</cp:revision>
  <dc:subject/>
  <dc:title/>
</cp:coreProperties>
</file>