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1F6F6B"/>
          <w:sz w:val="20"/>
          <w:szCs w:val="20"/>
        </w:rPr>
        <w:t xml:space="preserve">SENTINELS VR HOSTAGE-RESCUE TRAINER</w:t>
      </w:r>
    </w:p>
    <w:p>
      <w:pPr>
        <w:spacing w:after="60"/>
        <w:jc w:val="center"/>
      </w:pPr>
      <w:r>
        <w:rPr>
          <w:b/>
          <w:bCs/>
          <w:color w:val="14181A"/>
          <w:sz w:val="44"/>
          <w:szCs w:val="44"/>
        </w:rPr>
        <w:t xml:space="preserve">Module 4 — Performance Metrics</w:t>
      </w:r>
    </w:p>
    <w:p>
      <w:pPr>
        <w:spacing w:after="40"/>
        <w:jc w:val="center"/>
      </w:pPr>
      <w:r>
        <w:rPr>
          <w:i/>
          <w:iCs/>
          <w:color w:val="4B524E"/>
          <w:sz w:val="26"/>
          <w:szCs w:val="26"/>
        </w:rPr>
        <w:t xml:space="preserve">Equations, Research References &amp; Expert-Value Comparison</w:t>
      </w:r>
    </w:p>
    <w:p>
      <w:pPr>
        <w:spacing w:after="400"/>
        <w:jc w:val="center"/>
      </w:pPr>
      <w:r>
        <w:rPr>
          <w:color w:val="7B837E"/>
          <w:sz w:val="18"/>
          <w:szCs w:val="18"/>
        </w:rPr>
        <w:t xml:space="preserve">University of Moratuwa  ·  Prepared 2026-08-01</w:t>
      </w:r>
    </w:p>
    <w:p>
      <w:pPr>
        <w:spacing w:after="160"/>
      </w:pPr>
      <w:r>
        <w:t xml:space="preserve">This document lists all five Module 4 performance-score equations exactly as implemented in PerformanceCalculator.cs, the research papers used to source their parameters, and the expert/benchmark values each score can be checked against. Where no published benchmark exists for a metric, that is stated explicitly rather than substituted with an invented number.</w:t>
      </w:r>
    </w:p>
    <w:p>
      <w:r>
        <w:br w:type="page"/>
      </w:r>
    </w:p>
    <w:p>
      <w:pPr>
        <w:pStyle w:val="Heading1"/>
        <w:pBdr>
          <w:bottom w:val="single" w:color="1F6F6B" w:sz="6" w:space="4"/>
        </w:pBdr>
        <w:spacing w:after="200" w:before="480"/>
      </w:pPr>
      <w:r>
        <w:t xml:space="preserve">1. Accuracy Score</w:t>
      </w:r>
    </w:p>
    <w:p>
      <w:pPr>
        <w:spacing w:after="200"/>
      </w:pPr>
      <w:r>
        <w:rPr>
          <w:b/>
          <w:bCs/>
          <w:color w:val="FFFFFF"/>
          <w:shd w:fill="2F7A54" w:val="clear"/>
        </w:rPr>
        <w:t xml:space="preserve">  VALIDATED — direct numeric reference standard exists  </w:t>
      </w:r>
    </w:p>
    <w:p>
      <w:pPr>
        <w:pStyle w:val="Heading2"/>
        <w:spacing w:after="120" w:before="280"/>
      </w:pPr>
      <w:r>
        <w:t xml:space="preserve">Equation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EEF1EF" w:val="clear"/>
        <w:spacing w:after="240" w:before="10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accuracyScore = totalShots &gt; 0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? clamp01( hitRate / ExpectedHitRate(avgEngagementDistance) 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: 0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hitRate = hits / totalShots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ExpectedHitRate(distance):</w:t>
      </w:r>
      <w:r>
        <w:rPr>
          <w:rFonts w:ascii="Consolas" w:cs="Consolas" w:eastAsia="Consolas" w:hAnsi="Consolas"/>
          <w:sz w:val="20"/>
          <w:szCs w:val="20"/>
        </w:rPr>
        <w:br/>
        <w:t xml:space="preserve">   &lt; 3 m   -&gt; 0.50</w:t>
      </w:r>
      <w:r>
        <w:rPr>
          <w:rFonts w:ascii="Consolas" w:cs="Consolas" w:eastAsia="Consolas" w:hAnsi="Consolas"/>
          <w:sz w:val="20"/>
          <w:szCs w:val="20"/>
        </w:rPr>
        <w:br/>
        <w:t xml:space="preserve">   &lt; 7 m   -&gt; 0.125</w:t>
      </w:r>
      <w:r>
        <w:rPr>
          <w:rFonts w:ascii="Consolas" w:cs="Consolas" w:eastAsia="Consolas" w:hAnsi="Consolas"/>
          <w:sz w:val="20"/>
          <w:szCs w:val="20"/>
        </w:rPr>
        <w:br/>
        <w:t xml:space="preserve">   &lt; 15 m  -&gt; 0.06</w:t>
      </w:r>
      <w:r>
        <w:rPr>
          <w:rFonts w:ascii="Consolas" w:cs="Consolas" w:eastAsia="Consolas" w:hAnsi="Consolas"/>
          <w:sz w:val="20"/>
          <w:szCs w:val="20"/>
        </w:rPr>
        <w:br/>
        <w:t xml:space="preserve">   &lt; 25 m  -&gt; 0.045</w:t>
      </w:r>
      <w:r>
        <w:rPr>
          <w:rFonts w:ascii="Consolas" w:cs="Consolas" w:eastAsia="Consolas" w:hAnsi="Consolas"/>
          <w:sz w:val="20"/>
          <w:szCs w:val="20"/>
        </w:rPr>
        <w:br/>
        <w:t xml:space="preserve">   else    -&gt; 0.03</w:t>
      </w:r>
    </w:p>
    <w:p>
      <w:pPr>
        <w:pStyle w:val="Heading2"/>
        <w:spacing w:after="120" w:before="280"/>
      </w:pPr>
      <w:r>
        <w:t xml:space="preserve">Expert Value (Reference Standard)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Engagement Distance</w:t>
            </w:r>
          </w:p>
        </w:tc>
        <w:tc>
          <w:tcPr>
            <w:tcW w:type="pct" w:w="30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4 Value</w:t>
            </w:r>
          </w:p>
        </w:tc>
        <w:tc>
          <w:tcPr>
            <w:tcW w:type="pct" w:w="30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Expert Value (NYPD SOP-9)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 3 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50.0%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~45–55%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3–7 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12.5%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~10–15%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7–15 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6.0%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~4–8%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15–25 m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4.5%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~3–6%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 m+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3.0%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~2–4%</w:t>
            </w:r>
          </w:p>
        </w:tc>
      </w:tr>
    </w:tbl>
    <w:p>
      <w:pPr>
        <w:pStyle w:val="Heading2"/>
        <w:spacing w:after="120" w:before="280"/>
      </w:pPr>
      <w:r>
        <w:t xml:space="preserve">Research Papers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ml3oo-rht0zbbrih2xa3q">
        <w:r>
          <w:rPr>
            <w:color w:val="1155CC"/>
            <w:u w:val="single"/>
          </w:rPr>
          <w:t xml:space="preserve">NYPD SOP-9 statistics — Officer-Involved Shootings, annual firearms discharge report</w:t>
        </w:r>
      </w:hyperlink>
      <w:r>
        <w:rPr>
          <w:color w:val="666666"/>
          <w:sz w:val="16"/>
          <w:szCs w:val="16"/>
        </w:rPr>
        <w:t xml:space="preserve">  (https://www.floridaconcealedcarry.com/threads/nypd-sop-9-statistics.8546/)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mngb59qgmwyfg8kt-0tsq">
        <w:r>
          <w:rPr>
            <w:color w:val="1155CC"/>
            <w:u w:val="single"/>
          </w:rPr>
          <w:t xml:space="preserve">“Officer-Involved Shootings: What We Didn’t Know” — corroborating stress-shooting hit-rate data</w:t>
        </w:r>
      </w:hyperlink>
      <w:r>
        <w:rPr>
          <w:color w:val="666666"/>
          <w:sz w:val="16"/>
          <w:szCs w:val="16"/>
        </w:rPr>
        <w:t xml:space="preserve">  (http://www.hptc-pro.com/wp-content/uploads/2014/01/Officer-Involved-Shootings-What-We-Didnt-Know.pdf)</w:t>
      </w:r>
    </w:p>
    <w:p>
      <w:pPr>
        <w:pStyle w:val="Heading2"/>
        <w:spacing w:after="120" w:before="280"/>
      </w:pPr>
      <w:r>
        <w:t xml:space="preserve">Evaluation Note</w:t>
      </w:r>
    </w:p>
    <w:p>
      <w:pPr>
        <w:spacing w:after="160"/>
      </w:pPr>
      <w:r>
        <w:t xml:space="preserve">Bucket real session hits by the five distance bands above and compare the raw hit rate against the NYPD range directly. This is a straightforward construct-validity check with a hard numeric target — no statistical test is required, just a range comparison.</w:t>
      </w:r>
    </w:p>
    <w:p>
      <w:r>
        <w:br w:type="page"/>
      </w:r>
    </w:p>
    <w:p>
      <w:pPr>
        <w:pStyle w:val="Heading1"/>
        <w:pBdr>
          <w:bottom w:val="single" w:color="1F6F6B" w:sz="6" w:space="4"/>
        </w:pBdr>
        <w:spacing w:after="200" w:before="480"/>
      </w:pPr>
      <w:r>
        <w:t xml:space="preserve">2. Hostage Safety Score</w:t>
      </w:r>
    </w:p>
    <w:p>
      <w:pPr>
        <w:spacing w:after="200"/>
      </w:pPr>
      <w:r>
        <w:rPr>
          <w:b/>
          <w:bCs/>
          <w:color w:val="FFFFFF"/>
          <w:shd w:fill="2F7A54" w:val="clear"/>
        </w:rPr>
        <w:t xml:space="preserve">  VALIDATED — direct numeric reference standard exists  </w:t>
      </w:r>
    </w:p>
    <w:p>
      <w:pPr>
        <w:pStyle w:val="Heading2"/>
        <w:spacing w:after="120" w:before="280"/>
      </w:pPr>
      <w:r>
        <w:t xml:space="preserve">Equation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EEF1EF" w:val="clear"/>
        <w:spacing w:after="240" w:before="10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safetyScore = clamp01( (hostagesSaved / hostagesTotal) * 0.61^friendlyFireCount )</w:t>
      </w:r>
    </w:p>
    <w:p>
      <w:pPr>
        <w:pStyle w:val="Heading2"/>
        <w:spacing w:after="120" w:before="280"/>
      </w:pPr>
      <w:r>
        <w:t xml:space="preserve">Expert Value — Rescue Outcome (RAND)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5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 Approach</w:t>
            </w:r>
          </w:p>
        </w:tc>
        <w:tc>
          <w:tcPr>
            <w:tcW w:type="pct" w:w="35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Expert Survival Rate</w:t>
            </w:r>
          </w:p>
        </w:tc>
      </w:tr>
      <w:tr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Negotiated / controlled resolution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~85–90%</w:t>
            </w:r>
          </w:p>
        </w:tc>
      </w:tr>
      <w:tr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Tactical rescue assault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~70–75%</w:t>
            </w:r>
          </w:p>
        </w:tc>
      </w:tr>
      <w:tr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intervention / abandoned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&lt;40%</w:t>
            </w:r>
          </w:p>
        </w:tc>
      </w:tr>
      <w:tr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Real-world average, all methods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~80%</w:t>
            </w:r>
          </w:p>
        </w:tc>
      </w:tr>
    </w:tbl>
    <w:p>
      <w:pPr>
        <w:pStyle w:val="Heading2"/>
        <w:spacing w:after="120" w:before="280"/>
      </w:pPr>
      <w:r>
        <w:t xml:space="preserve">Expert Value — Friendly Fire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5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pct" w:w="35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Real-World Fratricide Rate</w:t>
            </w:r>
          </w:p>
        </w:tc>
      </w:tr>
      <w:tr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Vietnam War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~5%</w:t>
            </w:r>
          </w:p>
        </w:tc>
      </w:tr>
      <w:tr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Gulf War (Desert Storm)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~17–23%</w:t>
            </w:r>
          </w:p>
        </w:tc>
      </w:tr>
      <w:tr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Modern trained units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&lt;2%</w:t>
            </w:r>
          </w:p>
        </w:tc>
      </w:tr>
    </w:tbl>
    <w:p>
      <w:pPr>
        <w:spacing w:after="160"/>
      </w:pPr>
      <w:r>
        <w:t xml:space="preserve">Module 4's penalty curve (0% / 39% / 63% / 78% for 0–3 incidents) fits the pattern 1 − 0.61ⁿ — a saturating decay endorsed for its steep first-incident penalty, matching how seriously fratricide is treated operationally.</w:t>
      </w:r>
    </w:p>
    <w:p>
      <w:pPr>
        <w:pStyle w:val="Heading2"/>
        <w:spacing w:after="120" w:before="280"/>
      </w:pPr>
      <w:r>
        <w:t xml:space="preserve">Research Papers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b-ldmjf99tk9nilfgkqhf">
        <w:r>
          <w:rPr>
            <w:color w:val="1155CC"/>
            <w:u w:val="single"/>
          </w:rPr>
          <w:t xml:space="preserve">RAND — “A Grim Choice: the attempted rescue of hostages”</w:t>
        </w:r>
      </w:hyperlink>
      <w:r>
        <w:rPr>
          <w:color w:val="666666"/>
          <w:sz w:val="16"/>
          <w:szCs w:val="16"/>
        </w:rPr>
        <w:t xml:space="preserve">  (https://www.rand.org/pubs/commentary/2014/12/a-grim-choice-the-attempted-rescue-of-hostages.html)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e6zsxm3cerffubedg64sm">
        <w:r>
          <w:rPr>
            <w:color w:val="1155CC"/>
            <w:u w:val="single"/>
          </w:rPr>
          <w:t xml:space="preserve">Crisis negotiation success rates — 85–90% resolved without violence</w:t>
        </w:r>
      </w:hyperlink>
      <w:r>
        <w:rPr>
          <w:color w:val="666666"/>
          <w:sz w:val="16"/>
          <w:szCs w:val="16"/>
        </w:rPr>
        <w:t xml:space="preserve">  (https://www.newswise.com/articles/as-hostage-situation-continues-crisis-expert-says-85-to-90-percent-of-crisis-negotiations-are-resolved-nonviolently)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_9gxtnhzqf6og3tzugsxx">
        <w:r>
          <w:rPr>
            <w:color w:val="1155CC"/>
            <w:u w:val="single"/>
          </w:rPr>
          <w:t xml:space="preserve">“Friendly Fire: Facts, Myths and Misperceptions” — U.S. Naval Institute</w:t>
        </w:r>
      </w:hyperlink>
      <w:r>
        <w:rPr>
          <w:color w:val="666666"/>
          <w:sz w:val="16"/>
          <w:szCs w:val="16"/>
        </w:rPr>
        <w:t xml:space="preserve">  (https://www.usni.org/magazines/proceedings/1994/june/friendly-fire-facts-myths-and-misperceptions)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nknlg894c9bmzd63d5n7u">
        <w:r>
          <w:rPr>
            <w:color w:val="1155CC"/>
            <w:u w:val="single"/>
          </w:rPr>
          <w:t xml:space="preserve">Friendly-fire trends since Desert Storm</w:t>
        </w:r>
      </w:hyperlink>
      <w:r>
        <w:rPr>
          <w:color w:val="666666"/>
          <w:sz w:val="16"/>
          <w:szCs w:val="16"/>
        </w:rPr>
        <w:t xml:space="preserve">  (https://www.airandspaceforces.com/article/1291friendly/)</w:t>
      </w:r>
    </w:p>
    <w:p>
      <w:pPr>
        <w:pStyle w:val="Heading2"/>
        <w:spacing w:after="120" w:before="280"/>
      </w:pPr>
      <w:r>
        <w:t xml:space="preserve">Evaluation Note</w:t>
      </w:r>
    </w:p>
    <w:p>
      <w:pPr>
        <w:spacing w:after="160"/>
      </w:pPr>
      <w:r>
        <w:t xml:space="preserve">Compute the aggregate rescue-success rate across many sessions and check it lands near 70–90% for competent trainees. Separately, group sessions by 0/1/2/3 friendly-fire incidents and compare the average score ratio between groups against the 1 − 0.61ⁿ curve.</w:t>
      </w:r>
    </w:p>
    <w:p>
      <w:r>
        <w:br w:type="page"/>
      </w:r>
    </w:p>
    <w:p>
      <w:pPr>
        <w:pStyle w:val="Heading1"/>
        <w:pBdr>
          <w:bottom w:val="single" w:color="1F6F6B" w:sz="6" w:space="4"/>
        </w:pBdr>
        <w:spacing w:after="200" w:before="480"/>
      </w:pPr>
      <w:r>
        <w:t xml:space="preserve">3. Speed Score</w:t>
      </w:r>
    </w:p>
    <w:p>
      <w:pPr>
        <w:spacing w:after="200"/>
      </w:pPr>
      <w:r>
        <w:rPr>
          <w:b/>
          <w:bCs/>
          <w:color w:val="FFFFFF"/>
          <w:shd w:fill="9B4638" w:val="clear"/>
        </w:rPr>
        <w:t xml:space="preserve">  NO REFERENCE STANDARD — no published benchmark for this task  </w:t>
      </w:r>
    </w:p>
    <w:p>
      <w:pPr>
        <w:pStyle w:val="Heading2"/>
        <w:spacing w:after="120" w:before="280"/>
      </w:pPr>
      <w:r>
        <w:t xml:space="preserve">Equation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EEF1EF" w:val="clear"/>
        <w:spacing w:after="240" w:before="10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speedScore = 1 - clamp01( missionDuration / (2 * targetTime) 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targetTime = 30 + 5*rooms + 20*terrorists + difficultyBonus(AI tier)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= 300   (flat fallback when no scenario metadata is available)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difficultyBonus:  "dumb" -&gt; 0,  "medium" -&gt; 30,  "full" -&gt; 60</w:t>
      </w:r>
    </w:p>
    <w:p>
      <w:pPr>
        <w:pStyle w:val="Heading2"/>
        <w:spacing w:after="120" w:before="280"/>
      </w:pPr>
      <w:r>
        <w:t xml:space="preserve">Expert Value</w:t>
      </w:r>
    </w:p>
    <w:p>
      <w:pPr>
        <w:spacing w:after="160"/>
      </w:pPr>
      <w:r>
        <w:t xml:space="preserve">None found. No published study quantifies an expected completion time for a hostage-rescue mission of a given room/threat count — this is a genuine literature gap, not a search failure. The nearest theoretical precedent is the GOMS / Keystroke-Level Model (total task time ≈ sum of subtask times + fixed overhead), which justifies the additive shape of targetTime but supplies none of its four numeric coefficients (30 / 5 / 20 / 30-per-tier). Those coefficients are project design defaults.</w:t>
      </w:r>
    </w:p>
    <w:p>
      <w:pPr>
        <w:pStyle w:val="Heading2"/>
        <w:spacing w:after="120" w:before="280"/>
      </w:pPr>
      <w:r>
        <w:t xml:space="preserve">Research Papers</w:t>
      </w:r>
    </w:p>
    <w:p>
      <w:pPr>
        <w:spacing w:after="160"/>
      </w:pPr>
      <w:r>
        <w:rPr>
          <w:i/>
          <w:iCs/>
          <w:color w:val="4B524E"/>
        </w:rPr>
        <w:t xml:space="preserve">No paper supplies a numeric mission-completion-time benchmark for this task. The following are related literature that inform reaction-speed sub-components elsewhere in Module 4, but do not set a target for overall mission duration: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dd6ylqqfmgidatag-p3u0">
        <w:r>
          <w:rPr>
            <w:color w:val="1155CC"/>
            <w:u w:val="single"/>
          </w:rPr>
          <w:t xml:space="preserve">Speed-accuracy tradeoff in Fitts’ law tasks</w:t>
        </w:r>
      </w:hyperlink>
      <w:r>
        <w:rPr>
          <w:color w:val="666666"/>
          <w:sz w:val="16"/>
          <w:szCs w:val="16"/>
        </w:rPr>
        <w:t xml:space="preserve">  (https://www.sciencedirect.com/science/article/abs/pii/S1071581904001028)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vn5e1sjxjynpd6kjpjgpx">
        <w:r>
          <w:rPr>
            <w:color w:val="1155CC"/>
            <w:u w:val="single"/>
          </w:rPr>
          <w:t xml:space="preserve">Hick’s Law (Wikipedia) — choice-reaction-time curve shape</w:t>
        </w:r>
      </w:hyperlink>
      <w:r>
        <w:rPr>
          <w:color w:val="666666"/>
          <w:sz w:val="16"/>
          <w:szCs w:val="16"/>
        </w:rPr>
        <w:t xml:space="preserve">  (https://en.wikipedia.org/wiki/Hick's_law)</w:t>
      </w:r>
    </w:p>
    <w:p>
      <w:pPr>
        <w:pStyle w:val="Heading2"/>
        <w:spacing w:after="120" w:before="280"/>
      </w:pPr>
      <w:r>
        <w:t xml:space="preserve">Evaluation Note</w:t>
      </w:r>
    </w:p>
    <w:p>
      <w:pPr>
        <w:spacing w:after="160"/>
      </w:pPr>
      <w:r>
        <w:t xml:space="preserve">Construct validity is not available for this instrument. Substitute discriminant validity instead — run the Friedman/Wilcoxon panel already built into the dashboard's Evaluation page across AI-difficulty tiers, and check that Speed scores differ the way harder scenarios should predict.</w:t>
      </w:r>
    </w:p>
    <w:p>
      <w:r>
        <w:br w:type="page"/>
      </w:r>
    </w:p>
    <w:p>
      <w:pPr>
        <w:pStyle w:val="Heading1"/>
        <w:pBdr>
          <w:bottom w:val="single" w:color="1F6F6B" w:sz="6" w:space="4"/>
        </w:pBdr>
        <w:spacing w:after="200" w:before="480"/>
      </w:pPr>
      <w:r>
        <w:t xml:space="preserve">4. Operator Safety Score</w:t>
      </w:r>
    </w:p>
    <w:p>
      <w:pPr>
        <w:spacing w:after="200"/>
      </w:pPr>
      <w:r>
        <w:rPr>
          <w:b/>
          <w:bCs/>
          <w:color w:val="FFFFFF"/>
          <w:shd w:fill="A6791F" w:val="clear"/>
        </w:rPr>
        <w:t xml:space="preserve">  PARTIAL — parameters grounded, exact weights are not  </w:t>
      </w:r>
    </w:p>
    <w:p>
      <w:pPr>
        <w:pStyle w:val="Heading2"/>
        <w:spacing w:after="120" w:before="280"/>
      </w:pPr>
      <w:r>
        <w:t xml:space="preserve">Equation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EEF1EF" w:val="clear"/>
        <w:spacing w:after="240" w:before="10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operatorSafetyScore = 0.25*Survivability + 0.25*ExposureControl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 + 0.25*WeaponDiscipline + 0.25*ThreatResponse</w:t>
      </w:r>
      <w:r>
        <w:rPr>
          <w:rFonts w:ascii="Consolas" w:cs="Consolas" w:eastAsia="Consolas" w:hAnsi="Consolas"/>
          <w:sz w:val="20"/>
          <w:szCs w:val="20"/>
        </w:rPr>
        <w:br/>
        <w:t xml:space="preserve">capped at 0.20 if the trainee died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Survivability     = died ? 0 : clamp01(finalHealth / maxHealth)</w:t>
      </w:r>
      <w:r>
        <w:rPr>
          <w:rFonts w:ascii="Consolas" w:cs="Consolas" w:eastAsia="Consolas" w:hAnsi="Consolas"/>
          <w:sz w:val="20"/>
          <w:szCs w:val="20"/>
        </w:rPr>
        <w:br/>
        <w:t xml:space="preserve">ExposureControl   = 1 - clamp01(exposedSeconds / (engagedSeconds * 0.5))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       - 0.1 * (extra simultaneous observers)</w:t>
      </w:r>
      <w:r>
        <w:rPr>
          <w:rFonts w:ascii="Consolas" w:cs="Consolas" w:eastAsia="Consolas" w:hAnsi="Consolas"/>
          <w:sz w:val="20"/>
          <w:szCs w:val="20"/>
        </w:rPr>
        <w:br/>
        <w:t xml:space="preserve">WeaponDiscipline  = clamp01( 0.61^friendlyFire * negligentDischargeFactor )</w:t>
      </w:r>
      <w:r>
        <w:rPr>
          <w:rFonts w:ascii="Consolas" w:cs="Consolas" w:eastAsia="Consolas" w:hAnsi="Consolas"/>
          <w:sz w:val="20"/>
          <w:szCs w:val="20"/>
        </w:rPr>
        <w:br/>
        <w:t xml:space="preserve">  negligentDischargeFactor = clamp01(1 - (ndRate - 0.17) / (0.61 - 0.17))</w:t>
      </w:r>
      <w:r>
        <w:rPr>
          <w:rFonts w:ascii="Consolas" w:cs="Consolas" w:eastAsia="Consolas" w:hAnsi="Consolas"/>
          <w:sz w:val="20"/>
          <w:szCs w:val="20"/>
        </w:rPr>
        <w:br/>
        <w:t xml:space="preserve">ThreatResponse    = clamp01(1 - (avgReactionTime - 0.3) / (0.7 - 0.3))</w:t>
      </w:r>
    </w:p>
    <w:p>
      <w:pPr>
        <w:pStyle w:val="Heading2"/>
        <w:spacing w:after="120" w:before="280"/>
      </w:pPr>
      <w:r>
        <w:t xml:space="preserve">Expert Value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Sub-Metric</w:t>
            </w:r>
          </w:p>
        </w:tc>
        <w:tc>
          <w:tcPr>
            <w:tcW w:type="pct" w:w="45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Expert Value</w:t>
            </w:r>
          </w:p>
        </w:tc>
      </w:tr>
      <w:tr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Negligent discharge rate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expert ≈ 17%  ·  novice ≈ 61%</w:t>
            </w:r>
          </w:p>
        </w:tc>
      </w:tr>
      <w:tr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Threat-response RT anchors (Hick’s Law)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0.26–0.46 s across 1–8 choices</w:t>
            </w:r>
          </w:p>
        </w:tc>
      </w:tr>
      <w:tr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Source instrument inter-rater reliability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ICC = .834</w:t>
            </w:r>
          </w:p>
        </w:tc>
      </w:tr>
    </w:tbl>
    <w:p>
      <w:pPr>
        <w:spacing w:after="160"/>
      </w:pPr>
      <w:r>
        <w:t xml:space="preserve">The four sub-scores map onto four of the five scales of a validated, peer-reviewed CQB tactical-performance instrument (Nieuwenhuys et al., 2024). Its equal-item scoring supports the equal 0.25 weighting; its flat per-mistake penalty (−7 for shooting a non-combatant) supports the saturating friendly-fire curve. The exact weight values themselves are not literature-derived — only the choice of equal weighting is.</w:t>
      </w:r>
    </w:p>
    <w:p>
      <w:pPr>
        <w:pStyle w:val="Heading2"/>
        <w:spacing w:after="120" w:before="280"/>
      </w:pPr>
      <w:r>
        <w:t xml:space="preserve">Research Papers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h_bnroro3aimwxexnym-g">
        <w:r>
          <w:rPr>
            <w:color w:val="1155CC"/>
            <w:u w:val="single"/>
          </w:rPr>
          <w:t xml:space="preserve">Nieuwenhuys et al. — “Predicting closed-quarters-battle capability,” Military Psychology, 2024</w:t>
        </w:r>
      </w:hyperlink>
      <w:r>
        <w:rPr>
          <w:color w:val="666666"/>
          <w:sz w:val="16"/>
          <w:szCs w:val="16"/>
        </w:rPr>
        <w:t xml:space="preserve">  (https://www.tandfonline.com/doi/full/10.1080/08995605.2024.2430578)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0qcuvw8zq4nudy9ugehps">
        <w:r>
          <w:rPr>
            <w:color w:val="1155CC"/>
            <w:u w:val="single"/>
          </w:rPr>
          <w:t xml:space="preserve">Same paper, full text (PMC)</w:t>
        </w:r>
      </w:hyperlink>
      <w:r>
        <w:rPr>
          <w:color w:val="666666"/>
          <w:sz w:val="16"/>
          <w:szCs w:val="16"/>
        </w:rPr>
        <w:t xml:space="preserve">  (https://pmc.ncbi.nlm.nih.gov/articles/PMC12785213/)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nmo49wjys4yijogcba_c6">
        <w:r>
          <w:rPr>
            <w:color w:val="1155CC"/>
            <w:u w:val="single"/>
          </w:rPr>
          <w:t xml:space="preserve">OJP/NIJ — Developing a Common Metric for Evaluating Police Performance in Deadly Force Situations</w:t>
        </w:r>
      </w:hyperlink>
      <w:r>
        <w:rPr>
          <w:color w:val="666666"/>
          <w:sz w:val="16"/>
          <w:szCs w:val="16"/>
        </w:rPr>
        <w:t xml:space="preserve">  (https://www.ojp.gov/ncjrs/virtual-library/abstracts/final-report-developing-common-metric-evaluating-police-performance)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ozr2wurjev_fkqkqq21zq">
        <w:r>
          <w:rPr>
            <w:color w:val="1155CC"/>
            <w:u w:val="single"/>
          </w:rPr>
          <w:t xml:space="preserve">Observational Behavior Assessment for Psychological Competencies in Police Officers</w:t>
        </w:r>
      </w:hyperlink>
      <w:r>
        <w:rPr>
          <w:color w:val="666666"/>
          <w:sz w:val="16"/>
          <w:szCs w:val="16"/>
        </w:rPr>
        <w:t xml:space="preserve">  (https://pmc.ncbi.nlm.nih.gov/articles/PMC7959728/)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lsfqcnnb9pvdbqwcmvneh">
        <w:r>
          <w:rPr>
            <w:color w:val="1155CC"/>
            <w:u w:val="single"/>
          </w:rPr>
          <w:t xml:space="preserve">Survivability-planning systems (exposure-to-threat as survivability metric), US Patent 9,240,001</w:t>
        </w:r>
      </w:hyperlink>
      <w:r>
        <w:rPr>
          <w:color w:val="666666"/>
          <w:sz w:val="16"/>
          <w:szCs w:val="16"/>
        </w:rPr>
        <w:t xml:space="preserve">  (https://image-ppubs.uspto.gov/dirsearch-public/print/downloadPdf/9240001)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gg27or_60ggtw5hwtxap4">
        <w:r>
          <w:rPr>
            <w:color w:val="1155CC"/>
            <w:u w:val="single"/>
          </w:rPr>
          <w:t xml:space="preserve">Chase Tactical — Best Practices for Law Enforcement Tactical Training</w:t>
        </w:r>
      </w:hyperlink>
      <w:r>
        <w:rPr>
          <w:color w:val="666666"/>
          <w:sz w:val="16"/>
          <w:szCs w:val="16"/>
        </w:rPr>
        <w:t xml:space="preserve">  (https://www.chasetactical.com/guides/best-practices-for-law-enforcement-tactical-training)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v--smv_vhp-rk2xjlqgti">
        <w:r>
          <w:rPr>
            <w:color w:val="1155CC"/>
            <w:u w:val="single"/>
          </w:rPr>
          <w:t xml:space="preserve">“300 Negligent Discharges” — comprehensive data study</w:t>
        </w:r>
      </w:hyperlink>
      <w:r>
        <w:rPr>
          <w:color w:val="666666"/>
          <w:sz w:val="16"/>
          <w:szCs w:val="16"/>
        </w:rPr>
        <w:t xml:space="preserve">  (https://www.concealedcarry.com/safety/300-negligent-discharges-comprehensive-data-science-reveals-gun-grabbers-and-gun-owners-are-both-wrong/)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lkzcxuqw8n8qsvips1wrw">
        <w:r>
          <w:rPr>
            <w:color w:val="1155CC"/>
            <w:u w:val="single"/>
          </w:rPr>
          <w:t xml:space="preserve">Force Science — “Can you really prevent unintentional discharges?”</w:t>
        </w:r>
      </w:hyperlink>
      <w:r>
        <w:rPr>
          <w:color w:val="666666"/>
          <w:sz w:val="16"/>
          <w:szCs w:val="16"/>
        </w:rPr>
        <w:t xml:space="preserve">  (https://www.forcescience.com/2004/12/can-you-really-prevent-unintentional-discharges/)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xaamnqi-ngrji5i3nchod">
        <w:r>
          <w:rPr>
            <w:color w:val="1155CC"/>
            <w:u w:val="single"/>
          </w:rPr>
          <w:t xml:space="preserve">Hick’s Law (Wikipedia)</w:t>
        </w:r>
      </w:hyperlink>
      <w:r>
        <w:rPr>
          <w:color w:val="666666"/>
          <w:sz w:val="16"/>
          <w:szCs w:val="16"/>
        </w:rPr>
        <w:t xml:space="preserve">  (https://en.wikipedia.org/wiki/Hick's_law)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xpb7e_s1yov5q2cmnk_jw">
        <w:r>
          <w:rPr>
            <w:color w:val="1155CC"/>
            <w:u w:val="single"/>
          </w:rPr>
          <w:t xml:space="preserve">Hick’s Law for Choice Reaction Time: A Review (Proctor &amp; Schneider)</w:t>
        </w:r>
      </w:hyperlink>
      <w:r>
        <w:rPr>
          <w:color w:val="666666"/>
          <w:sz w:val="16"/>
          <w:szCs w:val="16"/>
        </w:rPr>
        <w:t xml:space="preserve">  (https://web.ics.purdue.edu/~dws/pubs/ProctorSchneider_2018_QJEP.pdf)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kogdp3rkl8e6welrcqv0q">
        <w:r>
          <w:rPr>
            <w:color w:val="1155CC"/>
            <w:u w:val="single"/>
          </w:rPr>
          <w:t xml:space="preserve">Nieuwenhuys et al. (2022) — “Shoot or Don’t Shoot? Tactical Gaze Control and Visual Attention Training,” Frontiers in Psychology</w:t>
        </w:r>
      </w:hyperlink>
      <w:r>
        <w:rPr>
          <w:color w:val="666666"/>
          <w:sz w:val="16"/>
          <w:szCs w:val="16"/>
        </w:rPr>
        <w:t xml:space="preserve">  (https://www.ncbi.nlm.nih.gov/pmc/articles/PMC8905363/)</w:t>
      </w:r>
    </w:p>
    <w:p>
      <w:pPr>
        <w:pStyle w:val="Heading2"/>
        <w:spacing w:after="120" w:before="280"/>
      </w:pPr>
      <w:r>
        <w:t xml:space="preserve">Evaluation Note</w:t>
      </w:r>
    </w:p>
    <w:p>
      <w:pPr>
        <w:spacing w:after="160"/>
      </w:pPr>
      <w:r>
        <w:t xml:space="preserve">This is the one instrument with a path to criterion validity — have 1–2 CQB-experienced raters score recorded sessions with the Nieuwenhuys instrument, then correlate their rating against Module 4's automated score (the paper's own benchmark for “good” agreement is ICC = .834). Without access to raters, fall back to a weight-sensitivity analysis: perturb the four 0.25 weights and confirm trainee rankings stay stable.</w:t>
      </w:r>
    </w:p>
    <w:p>
      <w:r>
        <w:br w:type="page"/>
      </w:r>
    </w:p>
    <w:p>
      <w:pPr>
        <w:pStyle w:val="Heading1"/>
        <w:pBdr>
          <w:bottom w:val="single" w:color="1F6F6B" w:sz="6" w:space="4"/>
        </w:pBdr>
        <w:spacing w:after="200" w:before="480"/>
      </w:pPr>
      <w:r>
        <w:t xml:space="preserve">5. Overall Score</w:t>
      </w:r>
    </w:p>
    <w:p>
      <w:pPr>
        <w:spacing w:after="200"/>
      </w:pPr>
      <w:r>
        <w:rPr>
          <w:b/>
          <w:bCs/>
          <w:color w:val="FFFFFF"/>
          <w:shd w:fill="9B4638" w:val="clear"/>
        </w:rPr>
        <w:t xml:space="preserve">  NO REFERENCE STANDARD — composite weights are a design default  </w:t>
      </w:r>
    </w:p>
    <w:p>
      <w:pPr>
        <w:pStyle w:val="Heading2"/>
        <w:spacing w:after="120" w:before="280"/>
      </w:pPr>
      <w:r>
        <w:t xml:space="preserve">Equation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hd w:fill="EEF1EF" w:val="clear"/>
        <w:spacing w:after="240" w:before="100"/>
        <w:ind w:left="100" w:right="100"/>
      </w:pPr>
      <w:r>
        <w:rPr>
          <w:rFonts w:ascii="Consolas" w:cs="Consolas" w:eastAsia="Consolas" w:hAnsi="Consolas"/>
          <w:sz w:val="20"/>
          <w:szCs w:val="20"/>
        </w:rPr>
        <w:t xml:space="preserve">overallScore = 0.4*safetyScore + 0.3*accuracyScore + 0.2*speedScore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 + 0.1*(missionSuccess ? 1 : 0)</w:t>
      </w:r>
    </w:p>
    <w:p>
      <w:pPr>
        <w:pStyle w:val="Heading2"/>
        <w:spacing w:after="120" w:before="280"/>
      </w:pPr>
      <w:r>
        <w:t xml:space="preserve">Expert Value</w:t>
      </w:r>
    </w:p>
    <w:p>
      <w:pPr>
        <w:spacing w:after="160"/>
      </w:pPr>
      <w:r>
        <w:t xml:space="preserve">None. No paper publishes expert weights for combining hostage-rescue sub-scores into a single composite — 0.4 / 0.3 / 0.2 / 0.1 is a project-chosen default with no citation in the codebase or design documents. Its validity is entirely inherited from its four components: Accuracy and Hostage Safety are independently validated (Sections 1–2); Speed has no benchmark (Section 3); Operator Safety is partially grounded (Section 4) but is not itself one of the four terms in this particular equation.</w:t>
      </w:r>
    </w:p>
    <w:p>
      <w:pPr>
        <w:pStyle w:val="Heading2"/>
        <w:spacing w:after="120" w:before="280"/>
      </w:pPr>
      <w:r>
        <w:t xml:space="preserve">Research Papers</w:t>
      </w:r>
    </w:p>
    <w:p>
      <w:pPr>
        <w:spacing w:after="160"/>
      </w:pPr>
      <w:r>
        <w:rPr>
          <w:i/>
          <w:iCs/>
          <w:color w:val="4B524E"/>
        </w:rPr>
        <w:t xml:space="preserve">None apply directly to the composite weighting itself. See the reference lists in Sections 1, 2 and 4 for the papers backing the individual components this score combines.</w:t>
      </w:r>
    </w:p>
    <w:p>
      <w:pPr>
        <w:pStyle w:val="Heading2"/>
        <w:spacing w:after="120" w:before="280"/>
      </w:pPr>
      <w:r>
        <w:t xml:space="preserve">Evaluation Note</w:t>
      </w:r>
    </w:p>
    <w:p>
      <w:pPr>
        <w:spacing w:after="160"/>
      </w:pPr>
      <w:r>
        <w:t xml:space="preserve">No direct comparison is possible. Instead run (a) a sensitivity analysis — perturb the four weights (e.g. ±0.1 each, renormalized) and confirm trainee rankings by Overall score stay stable — and (b) the same discriminant-validity panel used for Speed, across AI-difficulty tiers (Friedman test, Wilcoxon signed-rank post-hoc).</w:t>
      </w:r>
    </w:p>
    <w:p>
      <w:r>
        <w:br w:type="page"/>
      </w:r>
    </w:p>
    <w:p>
      <w:pPr>
        <w:pStyle w:val="Heading1"/>
        <w:pBdr>
          <w:bottom w:val="single" w:color="1F6F6B" w:sz="6" w:space="4"/>
        </w:pBdr>
        <w:spacing w:after="200" w:before="480"/>
      </w:pPr>
      <w:r>
        <w:t xml:space="preserve">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7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20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Certification Status</w:t>
            </w:r>
          </w:p>
        </w:tc>
        <w:tc>
          <w:tcPr>
            <w:tcW w:type="pct" w:w="45%"/>
            <w:shd w:fill="1F6F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Reference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Accuracy Score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Validated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NYPD SOP-9 statistics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Hostage Safety Score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Validated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 hostage-rescue data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Speed Score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standard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GOMS/KLM (shape only, no numeric benchmark)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Operator Safety Score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Nieuwenhuys et al. 2024 (Military Psychology)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 Score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standard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— composite of the above</w:t>
            </w:r>
          </w:p>
        </w:tc>
      </w:tr>
    </w:tbl>
    <w:p>
      <w:pPr>
        <w:spacing w:before="300"/>
      </w:pPr>
      <w:r>
        <w:rPr>
          <w:b/>
          <w:bCs/>
        </w:rPr>
        <w:t xml:space="preserve">Primary source document: </w:t>
      </w:r>
      <w:r>
        <w:rPr>
          <w:rFonts w:ascii="Consolas" w:cs="Consolas" w:eastAsia="Consolas" w:hAnsi="Consolas"/>
        </w:rPr>
        <w:t xml:space="preserve">Module4_Documents/Expert Value Table.pdf</w:t>
      </w:r>
      <w:r>
        <w:t xml:space="preserve"> — all research-paper links above were extracted directly from that document's embedded citations.</w:t>
      </w:r>
    </w:p>
    <w:p>
      <w:pPr>
        <w:spacing w:before="100"/>
      </w:pPr>
      <w:r>
        <w:rPr>
          <w:b/>
          <w:bCs/>
        </w:rPr>
        <w:t xml:space="preserve">Companion documents: </w:t>
      </w:r>
      <w:r>
        <w:rPr>
          <w:rFonts w:ascii="Consolas" w:cs="Consolas" w:eastAsia="Consolas" w:hAnsi="Consolas"/>
        </w:rPr>
        <w:t xml:space="preserve">MODULE4_EVALUATION.md, PLAYER_SAFETY_SCORE.md, MODULE4_MOVEMENT_VALIDATION_METHODOLOGY.md, MODULE4_FULL_REPORT.md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0F3E3B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F6F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l3oo-rht0zbbrih2xa3q" Type="http://schemas.openxmlformats.org/officeDocument/2006/relationships/hyperlink" Target="https://www.floridaconcealedcarry.com/threads/nypd-sop-9-statistics.8546/" TargetMode="External"/><Relationship Id="rIdmngb59qgmwyfg8kt-0tsq" Type="http://schemas.openxmlformats.org/officeDocument/2006/relationships/hyperlink" Target="http://www.hptc-pro.com/wp-content/uploads/2014/01/Officer-Involved-Shootings-What-We-Didnt-Know.pdf" TargetMode="External"/><Relationship Id="rIdb-ldmjf99tk9nilfgkqhf" Type="http://schemas.openxmlformats.org/officeDocument/2006/relationships/hyperlink" Target="https://www.rand.org/pubs/commentary/2014/12/a-grim-choice-the-attempted-rescue-of-hostages.html" TargetMode="External"/><Relationship Id="rIde6zsxm3cerffubedg64sm" Type="http://schemas.openxmlformats.org/officeDocument/2006/relationships/hyperlink" Target="https://www.newswise.com/articles/as-hostage-situation-continues-crisis-expert-says-85-to-90-percent-of-crisis-negotiations-are-resolved-nonviolently" TargetMode="External"/><Relationship Id="rId_9gxtnhzqf6og3tzugsxx" Type="http://schemas.openxmlformats.org/officeDocument/2006/relationships/hyperlink" Target="https://www.usni.org/magazines/proceedings/1994/june/friendly-fire-facts-myths-and-misperceptions" TargetMode="External"/><Relationship Id="rIdnknlg894c9bmzd63d5n7u" Type="http://schemas.openxmlformats.org/officeDocument/2006/relationships/hyperlink" Target="https://www.airandspaceforces.com/article/1291friendly/" TargetMode="External"/><Relationship Id="rIddd6ylqqfmgidatag-p3u0" Type="http://schemas.openxmlformats.org/officeDocument/2006/relationships/hyperlink" Target="https://www.sciencedirect.com/science/article/abs/pii/S1071581904001028" TargetMode="External"/><Relationship Id="rIdvn5e1sjxjynpd6kjpjgpx" Type="http://schemas.openxmlformats.org/officeDocument/2006/relationships/hyperlink" Target="https://en.wikipedia.org/wiki/Hick&apos;s_law" TargetMode="External"/><Relationship Id="rIdh_bnroro3aimwxexnym-g" Type="http://schemas.openxmlformats.org/officeDocument/2006/relationships/hyperlink" Target="https://www.tandfonline.com/doi/full/10.1080/08995605.2024.2430578" TargetMode="External"/><Relationship Id="rId0qcuvw8zq4nudy9ugehps" Type="http://schemas.openxmlformats.org/officeDocument/2006/relationships/hyperlink" Target="https://pmc.ncbi.nlm.nih.gov/articles/PMC12785213/" TargetMode="External"/><Relationship Id="rIdnmo49wjys4yijogcba_c6" Type="http://schemas.openxmlformats.org/officeDocument/2006/relationships/hyperlink" Target="https://www.ojp.gov/ncjrs/virtual-library/abstracts/final-report-developing-common-metric-evaluating-police-performance" TargetMode="External"/><Relationship Id="rIdozr2wurjev_fkqkqq21zq" Type="http://schemas.openxmlformats.org/officeDocument/2006/relationships/hyperlink" Target="https://pmc.ncbi.nlm.nih.gov/articles/PMC7959728/" TargetMode="External"/><Relationship Id="rIdlsfqcnnb9pvdbqwcmvneh" Type="http://schemas.openxmlformats.org/officeDocument/2006/relationships/hyperlink" Target="https://image-ppubs.uspto.gov/dirsearch-public/print/downloadPdf/9240001" TargetMode="External"/><Relationship Id="rIdgg27or_60ggtw5hwtxap4" Type="http://schemas.openxmlformats.org/officeDocument/2006/relationships/hyperlink" Target="https://www.chasetactical.com/guides/best-practices-for-law-enforcement-tactical-training" TargetMode="External"/><Relationship Id="rIdv--smv_vhp-rk2xjlqgti" Type="http://schemas.openxmlformats.org/officeDocument/2006/relationships/hyperlink" Target="https://www.concealedcarry.com/safety/300-negligent-discharges-comprehensive-data-science-reveals-gun-grabbers-and-gun-owners-are-both-wrong/" TargetMode="External"/><Relationship Id="rIdlkzcxuqw8n8qsvips1wrw" Type="http://schemas.openxmlformats.org/officeDocument/2006/relationships/hyperlink" Target="https://www.forcescience.com/2004/12/can-you-really-prevent-unintentional-discharges/" TargetMode="External"/><Relationship Id="rIdxaamnqi-ngrji5i3nchod" Type="http://schemas.openxmlformats.org/officeDocument/2006/relationships/hyperlink" Target="https://en.wikipedia.org/wiki/Hick&apos;s_law" TargetMode="External"/><Relationship Id="rIdxpb7e_s1yov5q2cmnk_jw" Type="http://schemas.openxmlformats.org/officeDocument/2006/relationships/hyperlink" Target="https://web.ics.purdue.edu/~dws/pubs/ProctorSchneider_2018_QJEP.pdf" TargetMode="External"/><Relationship Id="rIdkogdp3rkl8e6welrcqv0q" Type="http://schemas.openxmlformats.org/officeDocument/2006/relationships/hyperlink" Target="https://www.ncbi.nlm.nih.gov/pmc/articles/PMC8905363/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2026-08-01T11:41:00.045Z</dcterms:created>
  <dcterms:modified xsi:type="dcterms:W3CDTF">2026-08-01T11:41:00.046Z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