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Times New Roman" w:cs="Times New Roman" w:eastAsia="Times New Roman" w:hAnsi="Times New Roman"/>
          <w:b/>
          <w:bCs/>
          <w:sz w:val="40"/>
          <w:szCs w:val="40"/>
        </w:rPr>
        <w:t xml:space="preserve">Literature Review</w:t>
      </w:r>
    </w:p>
    <w:p>
      <w:pPr>
        <w:spacing w:after="400"/>
        <w:jc w:val="center"/>
      </w:pPr>
      <w:r>
        <w:rPr>
          <w:rFonts w:ascii="Times New Roman" w:cs="Times New Roman" w:eastAsia="Times New Roman" w:hAnsi="Times New Roman"/>
          <w:b/>
          <w:bCs/>
          <w:sz w:val="28"/>
          <w:szCs w:val="28"/>
        </w:rPr>
        <w:t xml:space="preserve">Module 1: Dynamic Scenario Generation for VR-Based Military Training</w:t>
      </w:r>
    </w:p>
    <w:p>
      <w:pPr>
        <w:spacing w:after="200"/>
        <w:jc w:val="center"/>
      </w:pPr>
      <w:r>
        <w:rPr>
          <w:rFonts w:ascii="Times New Roman" w:cs="Times New Roman" w:eastAsia="Times New Roman" w:hAnsi="Times New Roman"/>
          <w:i/>
          <w:iCs/>
          <w:sz w:val="26"/>
          <w:szCs w:val="26"/>
        </w:rPr>
        <w:t xml:space="preserve">Team Sentinels</w:t>
      </w:r>
    </w:p>
    <w:p>
      <w:pPr>
        <w:spacing w:after="100"/>
        <w:jc w:val="center"/>
      </w:pPr>
      <w:r>
        <w:rPr>
          <w:rFonts w:ascii="Times New Roman" w:cs="Times New Roman" w:eastAsia="Times New Roman" w:hAnsi="Times New Roman"/>
          <w:sz w:val="24"/>
          <w:szCs w:val="24"/>
        </w:rPr>
        <w:t xml:space="preserve">Faculty of Information Technology, University of Moratuwa</w:t>
      </w:r>
    </w:p>
    <w:p>
      <w:pPr>
        <w:spacing w:after="100"/>
        <w:jc w:val="center"/>
      </w:pPr>
      <w:r>
        <w:rPr>
          <w:rFonts w:ascii="Times New Roman" w:cs="Times New Roman" w:eastAsia="Times New Roman" w:hAnsi="Times New Roman"/>
          <w:sz w:val="24"/>
          <w:szCs w:val="24"/>
        </w:rPr>
        <w:t xml:space="preserve">2026</w:t>
      </w:r>
    </w:p>
    <w:p>
      <w:r>
        <w:br w:type="page"/>
      </w:r>
    </w:p>
    <w:p>
      <w:pPr>
        <w:pStyle w:val="Heading1"/>
        <w:spacing w:after="240" w:before="360"/>
      </w:pPr>
      <w:r>
        <w:rPr>
          <w:rFonts w:ascii="Times New Roman" w:cs="Times New Roman" w:eastAsia="Times New Roman" w:hAnsi="Times New Roman"/>
          <w:b/>
          <w:bCs/>
          <w:sz w:val="32"/>
          <w:szCs w:val="32"/>
        </w:rPr>
        <w:t xml:space="preserve">1. Introduction</w:t>
      </w:r>
    </w:p>
    <w:p>
      <w:pPr>
        <w:spacing w:after="200" w:line="360"/>
        <w:jc w:val="both"/>
      </w:pPr>
      <w:r>
        <w:rPr>
          <w:rFonts w:ascii="Times New Roman" w:cs="Times New Roman" w:eastAsia="Times New Roman" w:hAnsi="Times New Roman"/>
          <w:sz w:val="24"/>
          <w:szCs w:val="24"/>
        </w:rPr>
        <w:t xml:space="preserve">This literature review examines the research landscape relevant to Module 1 of the Team Sentinels project: a parameter-driven scenario generation pipeline for VR-based military training. Module 1 is responsible for converting evaluator-defined inputs—such as layout preferences, room structure, entity counts, placement strategy, and difficulty settings—into a structured, validated Scenario JSON that downstream modules consume for runtime execution, cognitive analysis, and post-mission review. The review is organised into five thematic areas: (i) VR-based tactical training and its requirements for scenario variation, (ii) automated scenario generation for training applications, (iii) procedural content generation techniques for indoor environments, (iv) constraint satisfaction and validation approaches for generated content, and (v) post-generation evaluation of procedurally generated training content. The review concludes by identifying the research gap and formulating the research problem and questions that Module 1 addresses.</w:t>
      </w:r>
    </w:p>
    <w:p>
      <w:pPr>
        <w:pStyle w:val="Heading1"/>
        <w:spacing w:after="240" w:before="360"/>
      </w:pPr>
      <w:r>
        <w:rPr>
          <w:rFonts w:ascii="Times New Roman" w:cs="Times New Roman" w:eastAsia="Times New Roman" w:hAnsi="Times New Roman"/>
          <w:b/>
          <w:bCs/>
          <w:sz w:val="32"/>
          <w:szCs w:val="32"/>
        </w:rPr>
        <w:t xml:space="preserve">2. VR-Based Tactical Training and the Need for Scenario Variation</w:t>
      </w:r>
    </w:p>
    <w:p>
      <w:pPr>
        <w:pStyle w:val="Heading2"/>
        <w:spacing w:after="200" w:before="300"/>
      </w:pPr>
      <w:r>
        <w:rPr>
          <w:rFonts w:ascii="Times New Roman" w:cs="Times New Roman" w:eastAsia="Times New Roman" w:hAnsi="Times New Roman"/>
          <w:b/>
          <w:bCs/>
          <w:sz w:val="28"/>
          <w:szCs w:val="28"/>
        </w:rPr>
        <w:t xml:space="preserve">2.1 Effectiveness and Scope of VR Training</w:t>
      </w:r>
    </w:p>
    <w:p>
      <w:pPr>
        <w:spacing w:after="200" w:line="360"/>
        <w:jc w:val="both"/>
      </w:pPr>
      <w:r>
        <w:rPr>
          <w:rFonts w:ascii="Times New Roman" w:cs="Times New Roman" w:eastAsia="Times New Roman" w:hAnsi="Times New Roman"/>
          <w:sz w:val="24"/>
          <w:szCs w:val="24"/>
        </w:rPr>
        <w:t xml:space="preserve">Virtual reality has been validated as an effective training medium across multiple domains including first responder, medical, military, and interpersonal skills training. A comprehensive review of VR skill training applications identifies a three-stage creation pipeline: task analysis, training scenario sketching, and implementation [1]. This review explicitly recognises procedural generation as a mechanism for creating VR training content, describing a pipeline in which training scenarios are specified through parameters—including tasks, environments, baselines, and randomness level—and then generated automatically from those parameterised inputs. This pipeline description closely mirrors Module 1’s architecture of evaluator parameters to generation to Scenario JSON. Across all domains reviewed, the paper emphasises that VR’s advantage lies in creating varied, controllable, and repeatable scenarios at low cost, and that fixed or scripted scenarios diminish this advantage [1]. The review also identifies procedural generation as an underexplored area in VR training, noting that personalised scenario generation has been demonstrated in driving training and wheelchair scene synthesis but remains limited in tactical contexts.</w:t>
      </w:r>
    </w:p>
    <w:p>
      <w:pPr>
        <w:spacing w:after="200" w:line="360"/>
        <w:jc w:val="both"/>
      </w:pPr>
      <w:r>
        <w:rPr>
          <w:rFonts w:ascii="Times New Roman" w:cs="Times New Roman" w:eastAsia="Times New Roman" w:hAnsi="Times New Roman"/>
          <w:sz w:val="24"/>
          <w:szCs w:val="24"/>
        </w:rPr>
        <w:t xml:space="preserve">Research investigating whether increasing the fidelity and dimensionality of terrain representation improves military tactical comprehension compared a fully immersive 3D mixed reality display against a 2.5D augmented sand table and a flat 2D tablet [2]. The central finding—that the HoloLens produced significantly lower accuracy (M = 0.42 vs. M = 0.50 for tablet), significantly longer response times, lower usability scores, and higher cognitive workload than both other modalities—demonstrates that higher visual fidelity does not automatically translate into better training outcomes [2]. This result reinforces that scenario content and structure matter more than raw visual immersion and that the quality of what is generated is more important than the rendering fidelity of the display. For Module 1, this means that investment in generating tactically meaningful, well-structured scenarios is more critical than visual complexity.</w:t>
      </w:r>
    </w:p>
    <w:p>
      <w:pPr>
        <w:pStyle w:val="Heading2"/>
        <w:spacing w:after="200" w:before="300"/>
      </w:pPr>
      <w:r>
        <w:rPr>
          <w:rFonts w:ascii="Times New Roman" w:cs="Times New Roman" w:eastAsia="Times New Roman" w:hAnsi="Times New Roman"/>
          <w:b/>
          <w:bCs/>
          <w:sz w:val="28"/>
          <w:szCs w:val="28"/>
        </w:rPr>
        <w:t xml:space="preserve">2.2 Tactical VR Training: Requirements and Design Guidelines</w:t>
      </w:r>
    </w:p>
    <w:p>
      <w:pPr>
        <w:spacing w:after="200" w:line="360"/>
        <w:jc w:val="both"/>
      </w:pPr>
      <w:r>
        <w:rPr>
          <w:rFonts w:ascii="Times New Roman" w:cs="Times New Roman" w:eastAsia="Times New Roman" w:hAnsi="Times New Roman"/>
          <w:sz w:val="24"/>
          <w:szCs w:val="24"/>
        </w:rPr>
        <w:t xml:space="preserve">Findings synthesised from the three-year EU Horizon 2020 SHOTPROS project consolidate requirement workshops with 60 police officers and trainers, human factor studies, end-user feedback studies with 96 participants, and field trials with 234 participants [3]. This research produces a four-layer scenario design architecture: terrain, physical infrastructure, furnishing of public spaces, and NPCs/weapons/trigger zones. This layered decomposition validates Module 1’s approach of separating layout generation from entity placement and from NPC role and navigation assignment, allowing each layer to be generated and validated independently before composition into the final Scenario JSON.</w:t>
      </w:r>
    </w:p>
    <w:p>
      <w:pPr>
        <w:spacing w:after="200" w:line="360"/>
        <w:jc w:val="both"/>
      </w:pPr>
      <w:r>
        <w:rPr>
          <w:rFonts w:ascii="Times New Roman" w:cs="Times New Roman" w:eastAsia="Times New Roman" w:hAnsi="Times New Roman"/>
          <w:sz w:val="24"/>
          <w:szCs w:val="24"/>
        </w:rPr>
        <w:t xml:space="preserve">The SHOTPROS project also validates specific design requirements relevant to scenario generation. Tactical training and perception-and-action training received the highest suitability ratings (5/5 stars) for VR, while the didactical criterion of “variation and differentiation” was directly mapped to scenario editor capability—confirming that generating structurally different missions from the same parameter set is not merely a technical feature but a pedagogically grounded requirement [3]. A stress cue validation study with 22 police officers identified and ranked 13 audio-visual stressors, with a stranger suddenly entering a room ranking highest for both stress (mean 41.45) and anxiety (mean 28.41) [3]. These findings inform how Module 1’s placement strategy should position NPCs—for example, behind doors or in contextually surprising locations—when difficulty settings are elevated.</w:t>
      </w:r>
    </w:p>
    <w:p>
      <w:pPr>
        <w:spacing w:after="200" w:line="360"/>
        <w:jc w:val="both"/>
      </w:pPr>
      <w:r>
        <w:rPr>
          <w:rFonts w:ascii="Times New Roman" w:cs="Times New Roman" w:eastAsia="Times New Roman" w:hAnsi="Times New Roman"/>
          <w:sz w:val="24"/>
          <w:szCs w:val="24"/>
        </w:rPr>
        <w:t xml:space="preserve">An experimental investigation of the effect of after-action review (AAR) perspective type on police officers’ learning efficacy with 413 participants demonstrates that the bird’s eye combined with suspect perspective condition produced significantly higher learning efficacy than the bird’s eye view alone (mean difference = 0.186, p = 0.013) [4]. While primarily relevant to Module 4, this finding carries a direct implication for Module 1: generated scenarios must produce structured metadata—room identifiers, NPC placement rationale, zone labels—that the review module can later use to reconstruct perspectives and attach context-specific review features. Additionally, the finding that different AAR features are effective for different training objectives implies that Module 1’s evaluator inputs should include training objective selection, with the generation pipeline adjusting layout complexity and NPC placement accordingly [4].</w:t>
      </w:r>
    </w:p>
    <w:p>
      <w:pPr>
        <w:pStyle w:val="Heading1"/>
        <w:spacing w:after="240" w:before="360"/>
      </w:pPr>
      <w:r>
        <w:rPr>
          <w:rFonts w:ascii="Times New Roman" w:cs="Times New Roman" w:eastAsia="Times New Roman" w:hAnsi="Times New Roman"/>
          <w:b/>
          <w:bCs/>
          <w:sz w:val="32"/>
          <w:szCs w:val="32"/>
        </w:rPr>
        <w:t xml:space="preserve">3. Automated Scenario Generation for Training Applications</w:t>
      </w:r>
    </w:p>
    <w:p>
      <w:pPr>
        <w:pStyle w:val="Heading2"/>
        <w:spacing w:after="200" w:before="300"/>
      </w:pPr>
      <w:r>
        <w:rPr>
          <w:rFonts w:ascii="Times New Roman" w:cs="Times New Roman" w:eastAsia="Times New Roman" w:hAnsi="Times New Roman"/>
          <w:b/>
          <w:bCs/>
          <w:sz w:val="28"/>
          <w:szCs w:val="28"/>
        </w:rPr>
        <w:t xml:space="preserve">3.1 Mission-Based and Objective-Driven Generation</w:t>
      </w:r>
    </w:p>
    <w:p>
      <w:pPr>
        <w:spacing w:after="200" w:line="360"/>
        <w:jc w:val="both"/>
      </w:pPr>
      <w:r>
        <w:rPr>
          <w:rFonts w:ascii="Times New Roman" w:cs="Times New Roman" w:eastAsia="Times New Roman" w:hAnsi="Times New Roman"/>
          <w:sz w:val="24"/>
          <w:szCs w:val="24"/>
        </w:rPr>
        <w:t xml:space="preserve">A mission-based scenario modelling and generation framework that explicitly captures event effect propagation and incorporates timing impact into the generation process has been proposed [5]. The framework accepts trainer-specified mission objective (MO) intensities and trainee skill levels as inputs and generates scenarios optimised to match desired training profiles using a genetic algorithm (GA). The central contribution demonstrates that event timing and ordering significantly affect training outcomes: participants playing customised (timing-aware) scenarios achieved 23.25% average performance gain versus 11.86% for rescheduled scenarios on crowd anger control (p &lt; 0.0005), and 28.53% versus 15.46% on instigator identification (p &lt; 0.005) [5].</w:t>
      </w:r>
    </w:p>
    <w:p>
      <w:pPr>
        <w:spacing w:after="200" w:line="360"/>
        <w:jc w:val="both"/>
      </w:pPr>
      <w:r>
        <w:rPr>
          <w:rFonts w:ascii="Times New Roman" w:cs="Times New Roman" w:eastAsia="Times New Roman" w:hAnsi="Times New Roman"/>
          <w:sz w:val="24"/>
          <w:szCs w:val="24"/>
        </w:rPr>
        <w:t xml:space="preserve">For Module 1, this finding has direct spatial analogues. In a hostage-rescue scenario, the spatial proximity and clustering of terrorists, hostages, and environmental triggers (doors, sightlines, choke points) creates compounding effects analogous to the temporal clustering effects quantified in [5]. Terrorists placed in adjacent rooms create different tactical pressure than the same number spread across a building. Module 1’s placement strategy should therefore consider not just individual entity positions but the spatial relationships and proximity clustering that create emergent challenge profiles. The scenario beat construct—expert-defined groupings of events representing typical real-life situations—also provides a conceptual parallel to how Module 1 could organise generation using room clusters with pre-validated entity configurations as spatial building blocks [5].</w:t>
      </w:r>
    </w:p>
    <w:p>
      <w:pPr>
        <w:spacing w:after="200" w:line="360"/>
        <w:jc w:val="both"/>
      </w:pPr>
      <w:r>
        <w:rPr>
          <w:rFonts w:ascii="Times New Roman" w:cs="Times New Roman" w:eastAsia="Times New Roman" w:hAnsi="Times New Roman"/>
          <w:sz w:val="24"/>
          <w:szCs w:val="24"/>
        </w:rPr>
        <w:t xml:space="preserve">An automated scenario generation system for military training using a genetic algorithm for combinatorial optimisation defines three desiderata for scenario generation: replayability (preventing memorisation), tailoring to individuals (incorporating learner differences via Vygotsky’s Zone of Proximal Development), and adaptation to new conditions (easily reconfigurable knowledge structures) [6]. The system evaluates candidate scenarios against seven quality criteria including character use, event type variety, type flow, affinity use, scenario length, evaluation grammar match, and learner model fit. The GA rapidly achieves high-quality solutions and converges onto multiple different solution regions rather than variations on a single scenario, directly supporting Module 1’s replayability requirement [6].</w:t>
      </w:r>
    </w:p>
    <w:p>
      <w:pPr>
        <w:spacing w:after="200" w:line="360"/>
        <w:jc w:val="both"/>
      </w:pPr>
      <w:r>
        <w:rPr>
          <w:rFonts w:ascii="Times New Roman" w:cs="Times New Roman" w:eastAsia="Times New Roman" w:hAnsi="Times New Roman"/>
          <w:sz w:val="24"/>
          <w:szCs w:val="24"/>
        </w:rPr>
        <w:t xml:space="preserve">Critically, it is argued that GA-based optimisation is superior to planning-based approaches for scenario generation in ill-defined domains because planners prioritise solution correctness over author and learner criteria, and global evaluation criteria require complete sequences which only appear at leaves of a planner’s search space, causing expensive backtracking [6]. The two-stage architecture—GA optimisation followed by a planning-based post-processing stage for causal coherence—provides a design pattern for Module 1, where a generation stage optimises layout, placement, and role assignment against quality criteria while a separate validation stage ensures spatial coherence [6].</w:t>
      </w:r>
    </w:p>
    <w:p>
      <w:pPr>
        <w:pStyle w:val="Heading2"/>
        <w:spacing w:after="200" w:before="300"/>
      </w:pPr>
      <w:r>
        <w:rPr>
          <w:rFonts w:ascii="Times New Roman" w:cs="Times New Roman" w:eastAsia="Times New Roman" w:hAnsi="Times New Roman"/>
          <w:b/>
          <w:bCs/>
          <w:sz w:val="28"/>
          <w:szCs w:val="28"/>
        </w:rPr>
        <w:t xml:space="preserve">3.2 Scenario Adaptation and Hybrid Authoring Approaches</w:t>
      </w:r>
    </w:p>
    <w:p>
      <w:pPr>
        <w:spacing w:after="200" w:line="360"/>
        <w:jc w:val="both"/>
      </w:pPr>
      <w:r>
        <w:rPr>
          <w:rFonts w:ascii="Times New Roman" w:cs="Times New Roman" w:eastAsia="Times New Roman" w:hAnsi="Times New Roman"/>
          <w:sz w:val="24"/>
          <w:szCs w:val="24"/>
        </w:rPr>
        <w:t xml:space="preserve">Automated Scenario Adaptation has been proposed as a hybrid human-automation approach that takes a manually authored scenario and computationally rewrites it to suit individual learner needs [7]. The core argument—that fully manual authoring does not scale but fully automated generation lacks human narrative quality—directly supports Module 1’s design of parameter-driven generation from evaluator-defined inputs. Module 1 similarly occupies the middle ground: the evaluator provides structured configuration, and the system computationally generates varied mission instances from those parameters [7].</w:t>
      </w:r>
    </w:p>
    <w:p>
      <w:pPr>
        <w:spacing w:after="200" w:line="360"/>
        <w:jc w:val="both"/>
      </w:pPr>
      <w:r>
        <w:rPr>
          <w:rFonts w:ascii="Times New Roman" w:cs="Times New Roman" w:eastAsia="Times New Roman" w:hAnsi="Times New Roman"/>
          <w:sz w:val="24"/>
          <w:szCs w:val="24"/>
        </w:rPr>
        <w:t xml:space="preserve">The plan-based representation used in [7]—events with preconditions and effects, learning objectives aggregating primitive events, temporal constraints, and causal links—provides a theoretical foundation for formally verifiable scenario properties. While Module 1 uses spatial generation rather than narrative planning, the principle that generated scenarios should have formally verifiable properties (soundness and coherence) maps directly to Module 1’s validation requirements: ensuring rooms are reachable, entities do not overlap, hostages are accessible, and navigation allocations do not conflict. The explicit argument that offline scenario generation can manipulate global structure more optimally than real-time adaptation also supports Module 1’s design decision to generate the complete scenario package before runtime begins [7].</w:t>
      </w:r>
    </w:p>
    <w:p>
      <w:pPr>
        <w:pStyle w:val="Heading2"/>
        <w:spacing w:after="200" w:before="300"/>
      </w:pPr>
      <w:r>
        <w:rPr>
          <w:rFonts w:ascii="Times New Roman" w:cs="Times New Roman" w:eastAsia="Times New Roman" w:hAnsi="Times New Roman"/>
          <w:b/>
          <w:bCs/>
          <w:sz w:val="28"/>
          <w:szCs w:val="28"/>
        </w:rPr>
        <w:t xml:space="preserve">3.3 Novelty Search and Environmental Condition Generation</w:t>
      </w:r>
    </w:p>
    <w:p>
      <w:pPr>
        <w:spacing w:after="200" w:line="360"/>
        <w:jc w:val="both"/>
      </w:pPr>
      <w:r>
        <w:rPr>
          <w:rFonts w:ascii="Times New Roman" w:cs="Times New Roman" w:eastAsia="Times New Roman" w:hAnsi="Times New Roman"/>
          <w:sz w:val="24"/>
          <w:szCs w:val="24"/>
        </w:rPr>
        <w:t xml:space="preserve">An automated scenario generation process using a novelty search genetic algorithm has been presented to expand a small population of parent scenarios into a large, diverse set of child scenarios by varying environmental conditions [8]. The non-elitist approach successfully avoids premature convergence, and the process rapidly generates 300 plausible scenarios from a small parent population [8]. For Module 1, the novelty search mechanism is directly applicable to spatial generation parameters—room count variations, entity placement configurations, NPC role distributions, and layout topologies—to ensure that repeated generation from the same evaluator inputs produces structurally different missions. The parameter bounding strategy—constraining gene values to valid ranges rather than using complex post-generation filtering—provides a practical validation pattern: Module 1 could bound generation parameters to pre-validated ranges to ensure plausibility by construction [8].</w:t>
      </w:r>
    </w:p>
    <w:p>
      <w:pPr>
        <w:pStyle w:val="Heading1"/>
        <w:spacing w:after="240" w:before="360"/>
      </w:pPr>
      <w:r>
        <w:rPr>
          <w:rFonts w:ascii="Times New Roman" w:cs="Times New Roman" w:eastAsia="Times New Roman" w:hAnsi="Times New Roman"/>
          <w:b/>
          <w:bCs/>
          <w:sz w:val="32"/>
          <w:szCs w:val="32"/>
        </w:rPr>
        <w:t xml:space="preserve">4. Procedural Content Generation for Indoor Environments</w:t>
      </w:r>
    </w:p>
    <w:p>
      <w:pPr>
        <w:pStyle w:val="Heading2"/>
        <w:spacing w:after="200" w:before="300"/>
      </w:pPr>
      <w:r>
        <w:rPr>
          <w:rFonts w:ascii="Times New Roman" w:cs="Times New Roman" w:eastAsia="Times New Roman" w:hAnsi="Times New Roman"/>
          <w:b/>
          <w:bCs/>
          <w:sz w:val="28"/>
          <w:szCs w:val="28"/>
        </w:rPr>
        <w:t xml:space="preserve">4.1 Taxonomies and Foundational Frameworks</w:t>
      </w:r>
    </w:p>
    <w:p>
      <w:pPr>
        <w:spacing w:after="200" w:line="360"/>
        <w:jc w:val="both"/>
      </w:pPr>
      <w:r>
        <w:rPr>
          <w:rFonts w:ascii="Times New Roman" w:cs="Times New Roman" w:eastAsia="Times New Roman" w:hAnsi="Times New Roman"/>
          <w:sz w:val="24"/>
          <w:szCs w:val="24"/>
        </w:rPr>
        <w:t xml:space="preserve">The first systematic, taxonomy-driven survey of procedural content generation for games (PCG-G) introduces a six-layer content pyramid: Game Bits, Game Space, Game Systems, Game Scenarios, Game Design, and Derived Content [9]. The central finding—an inverse relationship between a content layer’s position in the pyramid and the maturity of its generation techniques—positions Module 1’s work at the Game Scenarios layer, where research contribution is more meaningful and the design space is less settled. The survey documents established approaches for generating indoor spaces including combinations of pseudo-random number generators with generative grammars for room graph construction, constraint-based search for spatially valid layouts, and parameter-guided generation to maintain coherence [9]. The taxonomy’s method classes (PRNG, generative grammars, spatial algorithms, constraint satisfaction, genetic algorithms) provide a precise vocabulary for describing and justifying Module 1’s generation choices.</w:t>
      </w:r>
    </w:p>
    <w:p>
      <w:pPr>
        <w:spacing w:after="200" w:line="360"/>
        <w:jc w:val="both"/>
      </w:pPr>
      <w:r>
        <w:rPr>
          <w:rFonts w:ascii="Times New Roman" w:cs="Times New Roman" w:eastAsia="Times New Roman" w:hAnsi="Times New Roman"/>
          <w:sz w:val="24"/>
          <w:szCs w:val="24"/>
        </w:rPr>
        <w:t xml:space="preserve">A taxonomy and survey of search-based procedural content generation (SBPCG) defines five key distinctions: online versus offline, necessary versus optional content, random seeds versus parameter vectors, stochastic versus deterministic, and constructive versus generate-and-test [10]. The analysis of necessary content generation—where generated content must always be valid for the player to progress—is directly applicable to Module 1, where the trainee cannot skip a broken room or ignore a misplaced NPC. This means Module 1 must prioritise validity guarantees above novelty or diversity, and the analysis directly justifies Module 1’s validation layer as a non-negotiable component [10]. The parameter vector versus random seed distinction characterises Module 1’s evaluator-facing input as firmly toward the parameter vector end, which is associated with higher designer control and more predictable generation outcomes—appropriate for a training system where the evaluator must be able to configure specific mission conditions [10].</w:t>
      </w:r>
    </w:p>
    <w:p>
      <w:pPr>
        <w:pStyle w:val="Heading2"/>
        <w:spacing w:after="200" w:before="300"/>
      </w:pPr>
      <w:r>
        <w:rPr>
          <w:rFonts w:ascii="Times New Roman" w:cs="Times New Roman" w:eastAsia="Times New Roman" w:hAnsi="Times New Roman"/>
          <w:b/>
          <w:bCs/>
          <w:sz w:val="28"/>
          <w:szCs w:val="28"/>
        </w:rPr>
        <w:t xml:space="preserve">4.2 Indoor Layout Generation Algorithms</w:t>
      </w:r>
    </w:p>
    <w:p>
      <w:pPr>
        <w:spacing w:after="200" w:line="360"/>
        <w:jc w:val="both"/>
      </w:pPr>
      <w:r>
        <w:rPr>
          <w:rFonts w:ascii="Times New Roman" w:cs="Times New Roman" w:eastAsia="Times New Roman" w:hAnsi="Times New Roman"/>
          <w:sz w:val="24"/>
          <w:szCs w:val="24"/>
        </w:rPr>
        <w:t xml:space="preserve">An algorithm for generating varied multi-story interior spaces from an existing building exterior proceeds through a hierarchical sequence: building skeleton construction, corridor placement, region division, sub-region allocation, room wall generation, room type allocation, and 3D geometry construction [11]. The building skeleton and corridor placement logic ensure that all generated rooms are accessible, directly mapping onto Module 1’s validation requirement that at least one valid path to all hostages must exist. The use of Space Syntax accessibility graphs for room type allocation—assigning private spaces at deep nodes and public spaces at shallow nodes—provides a direct precedent for Module 1’s NPC role assignment logic, where guard positions are placed at shallow, high-connectivity rooms near entry points and hostage locations at deep, low-connectivity rooms [11].</w:t>
      </w:r>
    </w:p>
    <w:p>
      <w:pPr>
        <w:spacing w:after="200" w:line="360"/>
        <w:jc w:val="both"/>
      </w:pPr>
      <w:r>
        <w:rPr>
          <w:rFonts w:ascii="Times New Roman" w:cs="Times New Roman" w:eastAsia="Times New Roman" w:hAnsi="Times New Roman"/>
          <w:sz w:val="24"/>
          <w:szCs w:val="24"/>
        </w:rPr>
        <w:t xml:space="preserve">A procedural interior generation framework divides the task into three sub-tasks: plan generation, layout assembly, and 3D content generation [12]. Five layout generation approaches are surveyed—tiling, dense packing, growth, inside-out, and GAN-based methods—with explicit tradeoffs for each. For Module 1’s indoor close-quarters training environment, the tiling approach (supporting pre-baked geometry at interaction points such as doors) and the dense packing approach (offering control over room dimensions) are identified as the most relevant candidates [12]. The implementation of a hybrid dense packing and inside-out algorithm produces variable and realistic multi-floor layouts without requiring real-world training data. However, the frank description of pipeline fragmentation—where file-based inter-component communication created brittleness—warns against a similar architecture for Module 1 and validates the use of structured JSON artifacts with stable schemas as defined interfaces [12].</w:t>
      </w:r>
    </w:p>
    <w:p>
      <w:pPr>
        <w:spacing w:after="200" w:line="360"/>
        <w:jc w:val="both"/>
      </w:pPr>
      <w:r>
        <w:rPr>
          <w:rFonts w:ascii="Times New Roman" w:cs="Times New Roman" w:eastAsia="Times New Roman" w:hAnsi="Times New Roman"/>
          <w:sz w:val="24"/>
          <w:szCs w:val="24"/>
        </w:rPr>
        <w:t xml:space="preserve">ProcTHOR, a framework for large-scale procedural generation of indoor environments for embodied AI, takes a high-level room specification—room count, room types, connectivity constraints—and converts it into a fully instantiated scene stored as compact JSON [13]. The Semantic Asset Groups (SAGs)—groups of objects placed as dependent units rather than independently—provide direct precedent for Module 1’s entity placement logic, where hostages and terrorists must be placed in configurations that reflect the intended mission structure [13]. The scale ablation study demonstrates that the number of distinct generated scenarios directly and substantially affects agent behaviour quality, with consistent improvement from 10 to 100 to 1,000 to 10,000 houses—providing quantitative evidence that scenario diversity is a functional property that shapes training effectiveness, supporting Module 1’s randomness level parameter [13].</w:t>
      </w:r>
    </w:p>
    <w:p>
      <w:pPr>
        <w:spacing w:after="200" w:line="360"/>
        <w:jc w:val="both"/>
      </w:pPr>
      <w:r>
        <w:rPr>
          <w:rFonts w:ascii="Times New Roman" w:cs="Times New Roman" w:eastAsia="Times New Roman" w:hAnsi="Times New Roman"/>
          <w:sz w:val="24"/>
          <w:szCs w:val="24"/>
        </w:rPr>
        <w:t xml:space="preserve">Infinigen Indoors, a fully procedural indoor scene generation system, introduces a Constraint Specification API—a domain-specific language for expressing complex geometric, semantic, and ergonomic arrangement rules declaratively—that directly addresses Module 1’s entity placement challenge at a higher level of abstraction than any prior work [14]. The three-stage hierarchical optimisation (large objects, then medium, then small) maps directly onto Module 1’s generation priority: room layout and corridor structure first, then major entity placement (terrorist patrol anchors, hostage locations), then fine-grained navigation context [14]. The room adjacency graph, generated from a probabilistic context-free grammar over room types, provides precedent for Module 1’s room connectivity structure, encoding which room types are eligible for hostage placement and which connection patterns are structurally plausible [14].</w:t>
      </w:r>
    </w:p>
    <w:p>
      <w:pPr>
        <w:pStyle w:val="Heading2"/>
        <w:spacing w:after="200" w:before="300"/>
      </w:pPr>
      <w:r>
        <w:rPr>
          <w:rFonts w:ascii="Times New Roman" w:cs="Times New Roman" w:eastAsia="Times New Roman" w:hAnsi="Times New Roman"/>
          <w:b/>
          <w:bCs/>
          <w:sz w:val="28"/>
          <w:szCs w:val="28"/>
        </w:rPr>
        <w:t xml:space="preserve">4.3 Constraint-Based and WFC-Inspired Generation</w:t>
      </w:r>
    </w:p>
    <w:p>
      <w:pPr>
        <w:spacing w:after="200" w:line="360"/>
        <w:jc w:val="both"/>
      </w:pPr>
      <w:r>
        <w:rPr>
          <w:rFonts w:ascii="Times New Roman" w:cs="Times New Roman" w:eastAsia="Times New Roman" w:hAnsi="Times New Roman"/>
          <w:sz w:val="24"/>
          <w:szCs w:val="24"/>
        </w:rPr>
        <w:t xml:space="preserve">A formal reexamination of WaveFunctionCollapse (WFC) through the lens of constraint solving demonstrates that constraint propagation—not the entropy heuristic—is the primary source of WFC’s practical effectiveness [15]. The central finding that WFC cannot enforce global reachability without local backtracking is directly applicable to Module 1’s validation requirement. The paper demonstrates experimentally that global reachability constraints cause hundreds of conflicts under WFC’s global-restart-only design and cannot be resolved within practical time bounds [15]. This provides a strong argument against using vanilla WFC as Module 1’s layout generation algorithm and published justification for either adding backtracking or adopting a two-stage design where layout structure is first generated and then validated through a separate reachability check [15].</w:t>
      </w:r>
    </w:p>
    <w:p>
      <w:pPr>
        <w:spacing w:after="200" w:line="360"/>
        <w:jc w:val="both"/>
      </w:pPr>
      <w:r>
        <w:rPr>
          <w:rFonts w:ascii="Times New Roman" w:cs="Times New Roman" w:eastAsia="Times New Roman" w:hAnsi="Times New Roman"/>
          <w:sz w:val="24"/>
          <w:szCs w:val="24"/>
        </w:rPr>
        <w:t xml:space="preserve">An extension of WFC adds four capabilities: an automatic rule expansion system, global count constraints, distance constraints between element types, and multi-layer generation with inter-layer constraints [16]. The distance constraint mechanism is directly relevant to Module 1’s hostage-risk placement logic—a high-risk scenario can enforce small maximum distance between hostages and terrorists, while a low-risk scenario can enforce large minimum distance, giving evaluator-defined parameters a precise generative effect [16]. The multi-layer model, where upper-layer elements are restricted to valid lower-layer tile types, corresponds to Module 1’s requirement that entity placement respects the generated room structure [16].</w:t>
      </w:r>
    </w:p>
    <w:p>
      <w:pPr>
        <w:spacing w:after="200" w:line="360"/>
        <w:jc w:val="both"/>
      </w:pPr>
      <w:r>
        <w:rPr>
          <w:rFonts w:ascii="Times New Roman" w:cs="Times New Roman" w:eastAsia="Times New Roman" w:hAnsi="Times New Roman"/>
          <w:sz w:val="24"/>
          <w:szCs w:val="24"/>
        </w:rPr>
        <w:t xml:space="preserve">Sturgeon, a tile-based procedural level generation system, proposes a mid-level constraint API separating constraint specification from solver choice [17]. The system supports four rule types—tile rules, pattern rules, distribution rules, and reachability rules—that can be combined freely and solved by whichever low-level solver is most efficient. The reachability rule encoding—representing path existence as Boolean variables on graph nodes and edges—maps directly onto Module 1’s validation requirement that navigable routes exist from the trainee’s spawn point to each hostage room [17]. The sequential generation flow, where functional structure is generated first and then constrains a second pass, directly supports Module 1’s staged architecture of generating layout before assigning NPC roles and navigation context [17].</w:t>
      </w:r>
    </w:p>
    <w:p>
      <w:pPr>
        <w:pStyle w:val="Heading1"/>
        <w:spacing w:after="240" w:before="360"/>
      </w:pPr>
      <w:r>
        <w:rPr>
          <w:rFonts w:ascii="Times New Roman" w:cs="Times New Roman" w:eastAsia="Times New Roman" w:hAnsi="Times New Roman"/>
          <w:b/>
          <w:bCs/>
          <w:sz w:val="32"/>
          <w:szCs w:val="32"/>
        </w:rPr>
        <w:t xml:space="preserve">5. Entity Placement, Validation, and Playability Guarantees</w:t>
      </w:r>
    </w:p>
    <w:p>
      <w:pPr>
        <w:pStyle w:val="Heading2"/>
        <w:spacing w:after="200" w:before="300"/>
      </w:pPr>
      <w:r>
        <w:rPr>
          <w:rFonts w:ascii="Times New Roman" w:cs="Times New Roman" w:eastAsia="Times New Roman" w:hAnsi="Times New Roman"/>
          <w:b/>
          <w:bCs/>
          <w:sz w:val="28"/>
          <w:szCs w:val="28"/>
        </w:rPr>
        <w:t xml:space="preserve">5.1 Constraint-Based Entity Placement with Playability Guarantees</w:t>
      </w:r>
    </w:p>
    <w:p>
      <w:pPr>
        <w:spacing w:after="200" w:line="360"/>
        <w:jc w:val="both"/>
      </w:pPr>
      <w:r>
        <w:rPr>
          <w:rFonts w:ascii="Times New Roman" w:cs="Times New Roman" w:eastAsia="Times New Roman" w:hAnsi="Times New Roman"/>
          <w:sz w:val="24"/>
          <w:szCs w:val="24"/>
        </w:rPr>
        <w:t xml:space="preserve">A system introducing path constraints that bound aggregate functions over all possible player paths through a level, paired with a hybrid interval-arithmetic constraint solver, achieves generation times between 94 microseconds and 55 milliseconds—fast enough for real-time procedural generation—with speedups of up to 17,000x over the Clingo answer-set solver [18].</w:t>
      </w:r>
    </w:p>
    <w:p>
      <w:pPr>
        <w:spacing w:after="200" w:line="360"/>
        <w:jc w:val="both"/>
      </w:pPr>
      <w:r>
        <w:rPr>
          <w:rFonts w:ascii="Times New Roman" w:cs="Times New Roman" w:eastAsia="Times New Roman" w:hAnsi="Times New Roman"/>
          <w:sz w:val="24"/>
          <w:szCs w:val="24"/>
        </w:rPr>
        <w:t xml:space="preserve">For Module 1, this framework provides the most technically precise treatment of entity placement with structural guarantees. Module 1’s requirement that every hostage is reachable from the trainee’s spawn point can be expressed as a reachability path constraint; the requirement that the trainee must be able to reach all hostages can be expressed as an ordering constraint analogous to the lock-and-key mechanism described in [18]. The cardinality constraint mechanism provides formal underpinning for Module 1’s evaluator-defined entity count parameters. The standard path DAG construction algorithm—using a resistor network analog to assign expected travel directions—provides an automatic method for determining flow direction through the generated layout, valuable not only for validation but also for NPC role assignment: rooms at high depth are natural guard positions, while rooms at shallow depth are natural patrol areas [18].</w:t>
      </w:r>
    </w:p>
    <w:p>
      <w:pPr>
        <w:pStyle w:val="Heading2"/>
        <w:spacing w:after="200" w:before="300"/>
      </w:pPr>
      <w:r>
        <w:rPr>
          <w:rFonts w:ascii="Times New Roman" w:cs="Times New Roman" w:eastAsia="Times New Roman" w:hAnsi="Times New Roman"/>
          <w:b/>
          <w:bCs/>
          <w:sz w:val="28"/>
          <w:szCs w:val="28"/>
        </w:rPr>
        <w:t xml:space="preserve">5.2 Goal-Driven Spatial Generation with Physical Consistency</w:t>
      </w:r>
    </w:p>
    <w:p>
      <w:pPr>
        <w:spacing w:after="200" w:line="360"/>
        <w:jc w:val="both"/>
      </w:pPr>
      <w:r>
        <w:rPr>
          <w:rFonts w:ascii="Times New Roman" w:cs="Times New Roman" w:eastAsia="Times New Roman" w:hAnsi="Times New Roman"/>
          <w:sz w:val="24"/>
          <w:szCs w:val="24"/>
        </w:rPr>
        <w:t xml:space="preserve">The application of Hierarchical Task Network (HTN) planning to decompose high-level training goals into concrete structural modifications while maintaining physical consistency has been demonstrated for emergency rescue training [19]. The system generates large numbers of internally consistent scenario variants from a single input structure and goal set, using qualitative physical reasoning—symbolic, common-sense reasoning about physical systems—to ensure that damage propagates believably [19]. The approach explicitly argues that constrained procedural generation produces superior results to random generation because it maintains internal consistency while still producing large variant counts [19].</w:t>
      </w:r>
    </w:p>
    <w:p>
      <w:pPr>
        <w:spacing w:after="200" w:line="360"/>
        <w:jc w:val="both"/>
      </w:pPr>
      <w:r>
        <w:rPr>
          <w:rFonts w:ascii="Times New Roman" w:cs="Times New Roman" w:eastAsia="Times New Roman" w:hAnsi="Times New Roman"/>
          <w:sz w:val="24"/>
          <w:szCs w:val="24"/>
        </w:rPr>
        <w:t xml:space="preserve">For Module 1, the HTN planning approach provides a validated model for goal-driven spatial generation: high-level evaluator goals could be decomposed into room generation, entity placement, and NPC role assignment subtasks, where each decomposition step preserves spatial validity [19]. The system’s scalability challenges—memory exhaustion on medium and large examples—also inform Module 1’s design: the system should generate and validate a single high-quality scenario per evaluator request rather than exhaustively enumerating the scenario space [19].</w:t>
      </w:r>
    </w:p>
    <w:p>
      <w:pPr>
        <w:pStyle w:val="Heading2"/>
        <w:spacing w:after="200" w:before="300"/>
      </w:pPr>
      <w:r>
        <w:rPr>
          <w:rFonts w:ascii="Times New Roman" w:cs="Times New Roman" w:eastAsia="Times New Roman" w:hAnsi="Times New Roman"/>
          <w:b/>
          <w:bCs/>
          <w:sz w:val="28"/>
          <w:szCs w:val="28"/>
        </w:rPr>
        <w:t xml:space="preserve">5.3 Fitness-Guided Generation with Rhythm and Challenge Models</w:t>
      </w:r>
    </w:p>
    <w:p>
      <w:pPr>
        <w:spacing w:after="200" w:line="360"/>
        <w:jc w:val="both"/>
      </w:pPr>
      <w:r>
        <w:rPr>
          <w:rFonts w:ascii="Times New Roman" w:cs="Times New Roman" w:eastAsia="Times New Roman" w:hAnsi="Times New Roman"/>
          <w:sz w:val="24"/>
          <w:szCs w:val="24"/>
        </w:rPr>
        <w:t xml:space="preserve">A top-down approach to procedural level generation separates the evaluation criterion—a computational model of player enjoyment based on rhythm groups—from the generative mechanism, using an evolutionary system with integrated constraint satisfaction [20]. The finding that representation choice dominates generation difficulty, independent of the number of design elements, is directly applicable to Module 1. The paper demonstrates that treating doors as separate design elements requiring spatial alignment made connectivity far harder to achieve than a formulation where doors are attributes of rooms [20]. Module 1 should similarly model room connectivity in an integrated way rather than placing door entities independently.</w:t>
      </w:r>
    </w:p>
    <w:p>
      <w:pPr>
        <w:spacing w:after="200" w:line="360"/>
        <w:jc w:val="both"/>
      </w:pPr>
      <w:r>
        <w:rPr>
          <w:rFonts w:ascii="Times New Roman" w:cs="Times New Roman" w:eastAsia="Times New Roman" w:hAnsi="Times New Roman"/>
          <w:sz w:val="24"/>
          <w:szCs w:val="24"/>
        </w:rPr>
        <w:t xml:space="preserve">The designer control mechanism—where the expected challenge density parameter M can be varied over the course of a level—maps onto Module 1’s difficulty-related settings [20]. By varying expected challenge density from room to room, Module 1 can produce missions with escalating or de-escalating encounter intensity, giving the evaluator control over the tactical arc. The two-tier constraint architecture—Tier 1 for local geometric constraints, Tier 2 for global path analysis—provides Module 1 with a principled approach to handling the distinction between locally checkable constraints (non-overlapping entities, room size bounds) and globally verifiable constraints (hostage reachability) [20].</w:t>
      </w:r>
    </w:p>
    <w:p>
      <w:pPr>
        <w:pStyle w:val="Heading1"/>
        <w:spacing w:after="240" w:before="360"/>
      </w:pPr>
      <w:r>
        <w:rPr>
          <w:rFonts w:ascii="Times New Roman" w:cs="Times New Roman" w:eastAsia="Times New Roman" w:hAnsi="Times New Roman"/>
          <w:b/>
          <w:bCs/>
          <w:sz w:val="32"/>
          <w:szCs w:val="32"/>
        </w:rPr>
        <w:t xml:space="preserve">6. Evaluation of Procedurally Generated Training Content</w:t>
      </w:r>
    </w:p>
    <w:p>
      <w:pPr>
        <w:spacing w:after="200" w:line="360"/>
        <w:jc w:val="both"/>
      </w:pPr>
      <w:r>
        <w:rPr>
          <w:rFonts w:ascii="Times New Roman" w:cs="Times New Roman" w:eastAsia="Times New Roman" w:hAnsi="Times New Roman"/>
          <w:sz w:val="24"/>
          <w:szCs w:val="24"/>
        </w:rPr>
        <w:t xml:space="preserve">A modular framework for automated evaluation of PCG integration in serious games using deep reinforcement learning (DRL) game testing agents demonstrates that agents trained on GA-based PCG versions achieved statistically significantly higher win rates than those trained on random content (p = 0.007) and peaked at 97% maximum win rate versus 94% for random generation [21]. The framework’s principle that DRL agents trained on different PCG versions exhibit measurably different performance characteristics provides a methodological template for evaluating Module 1’s generation output beyond manual inspection [21].</w:t>
      </w:r>
    </w:p>
    <w:p>
      <w:pPr>
        <w:spacing w:after="200" w:line="360"/>
        <w:jc w:val="both"/>
      </w:pPr>
      <w:r>
        <w:rPr>
          <w:rFonts w:ascii="Times New Roman" w:cs="Times New Roman" w:eastAsia="Times New Roman" w:hAnsi="Times New Roman"/>
          <w:sz w:val="24"/>
          <w:szCs w:val="24"/>
        </w:rPr>
        <w:t xml:space="preserve">The concept of small-batch PCG—a design philosophy where the generator produces a single output that the player engages with deeply, contrasted with the typical “infinite content” framing—directly applies to Module 1’s replayability goals [22]. Each generated scenario is meant to be taken seriously as a training environment rather than discarded. A critique of loose simulation-to-rendering coupling—where rendered details had no grounding in the simulation model, causing players to draw inferences the system could not support—is particularly relevant for training contexts [22]. If an evaluator interprets a layout feature as meaningful but that placement was arbitrary, the training evidence becomes unreliable. This validates Module 1’s requirement that generated entity placements, NPC roles, and navigation context should all be traceable back to the evaluator’s configured parameters [22].</w:t>
      </w:r>
    </w:p>
    <w:p>
      <w:pPr>
        <w:pStyle w:val="Heading1"/>
        <w:spacing w:after="240" w:before="360"/>
      </w:pPr>
      <w:r>
        <w:rPr>
          <w:rFonts w:ascii="Times New Roman" w:cs="Times New Roman" w:eastAsia="Times New Roman" w:hAnsi="Times New Roman"/>
          <w:b/>
          <w:bCs/>
          <w:sz w:val="32"/>
          <w:szCs w:val="32"/>
        </w:rPr>
        <w:t xml:space="preserve">7. Synthesis, Research Gap, and Research Questions</w:t>
      </w:r>
    </w:p>
    <w:p>
      <w:pPr>
        <w:pStyle w:val="Heading2"/>
        <w:spacing w:after="200" w:before="300"/>
      </w:pPr>
      <w:r>
        <w:rPr>
          <w:rFonts w:ascii="Times New Roman" w:cs="Times New Roman" w:eastAsia="Times New Roman" w:hAnsi="Times New Roman"/>
          <w:b/>
          <w:bCs/>
          <w:sz w:val="28"/>
          <w:szCs w:val="28"/>
        </w:rPr>
        <w:t xml:space="preserve">7.1 Synthesis of Findings</w:t>
      </w:r>
    </w:p>
    <w:p>
      <w:pPr>
        <w:spacing w:after="200" w:line="360"/>
        <w:jc w:val="both"/>
      </w:pPr>
      <w:r>
        <w:rPr>
          <w:rFonts w:ascii="Times New Roman" w:cs="Times New Roman" w:eastAsia="Times New Roman" w:hAnsi="Times New Roman"/>
          <w:sz w:val="24"/>
          <w:szCs w:val="24"/>
        </w:rPr>
        <w:t xml:space="preserve">The reviewed literature establishes several converging findings relevant to Module 1. First, VR-based tactical training is validated as effective, but its value depends on scenario variation rather than static exercises [1] [2] [3]. Second, automated scenario generation using genetic algorithms, HTN planning, and hybrid human-automation approaches can produce diverse, pedagogically grounded scenarios from parameterised inputs [5] [6] [7] [8]. Third, procedural generation of indoor environments is a well-developed area at the spatial level, with established algorithms for layout generation [11] [12] [13], constraint-based entity placement [14] [18], and WFC-inspired generation with global constraints [15] [16] [17]. Fourth, validation of generated content requires both local spatial checks and global path-based guarantees [17] [18] [20]. Fifth, evaluation frameworks using automated agents can systematically assess PCG effectiveness at scale [21].</w:t>
      </w:r>
    </w:p>
    <w:p>
      <w:pPr>
        <w:pStyle w:val="Heading2"/>
        <w:spacing w:after="200" w:before="300"/>
      </w:pPr>
      <w:r>
        <w:rPr>
          <w:rFonts w:ascii="Times New Roman" w:cs="Times New Roman" w:eastAsia="Times New Roman" w:hAnsi="Times New Roman"/>
          <w:b/>
          <w:bCs/>
          <w:sz w:val="28"/>
          <w:szCs w:val="28"/>
        </w:rPr>
        <w:t xml:space="preserve">7.2 Identified Research Gap</w:t>
      </w:r>
    </w:p>
    <w:p>
      <w:pPr>
        <w:spacing w:after="200" w:line="360"/>
        <w:jc w:val="both"/>
      </w:pPr>
      <w:r>
        <w:rPr>
          <w:rFonts w:ascii="Times New Roman" w:cs="Times New Roman" w:eastAsia="Times New Roman" w:hAnsi="Times New Roman"/>
          <w:sz w:val="24"/>
          <w:szCs w:val="24"/>
        </w:rPr>
        <w:t xml:space="preserve">Despite these advances, a significant gap exists at the intersection of these research streams. The scenario generation literature [5] [6] [7] focuses on temporal event sequences but does not generate the spatial environments in which those events unfold—spatial world generation is explicitly identified as a separate, complementary problem in [6]. The indoor generation literature [12] [13] [14] produces spatial layouts but does not address the tactical training-specific requirements of NPC role assignment, navigation context generation, mission coherence validation, or integration with downstream runtime behaviour and review systems. The VR training literature [1] [3] identifies the need for parameterised scenario variation but does not present systems that generate complete, validated indoor mission packages from evaluator-defined parameters.</w:t>
      </w:r>
    </w:p>
    <w:p>
      <w:pPr>
        <w:spacing w:after="200" w:line="360"/>
        <w:jc w:val="both"/>
      </w:pPr>
      <w:r>
        <w:rPr>
          <w:rFonts w:ascii="Times New Roman" w:cs="Times New Roman" w:eastAsia="Times New Roman" w:hAnsi="Times New Roman"/>
          <w:sz w:val="24"/>
          <w:szCs w:val="24"/>
        </w:rPr>
        <w:t xml:space="preserve">No existing system in the reviewed literature combines all of the following capabilities within a single integrated pipeline: (a) parameter-driven generation of indoor layouts from evaluator-defined inputs including room count, layout type, floor structure, and entry configuration; (b) entity placement with constraint-based spatial validation ensuring non-overlapping positions, reachability, and mission-appropriate distribution; (c) NPC role assignment and role-based navigation context generation (patrol anchors, guard zones, movement areas) derived from the generated spatial structure; (d) scenario validation ensuring that the generated mission is spatially valid, reachable, and loadable; and (e) output of a structured scenario artifact (Scenario JSON) that can be consumed by runtime NPC behaviour, cognitive analysis, and post-mission review modules within one unified system.</w:t>
      </w:r>
    </w:p>
    <w:p>
      <w:pPr>
        <w:spacing w:after="200" w:line="360"/>
        <w:jc w:val="both"/>
      </w:pPr>
      <w:r>
        <w:rPr>
          <w:rFonts w:ascii="Times New Roman" w:cs="Times New Roman" w:eastAsia="Times New Roman" w:hAnsi="Times New Roman"/>
          <w:sz w:val="24"/>
          <w:szCs w:val="24"/>
        </w:rPr>
        <w:t xml:space="preserve">The survey in [9] confirms that scenario-level PCG—where events and missions unfold dynamically—remains less mature and less commercially deployed than spatial generation, positioning Module 1’s work in an area where research contribution is meaningful. The survey in [10] further notes that generation of necessary content (as opposed to optional content) for training applications requires stronger validity guarantees than entertainment game generation, and that this constraint substantially shapes both representation and evaluation function design—a challenge that existing indoor generation systems do not address in the training context.</w:t>
      </w:r>
    </w:p>
    <w:p>
      <w:pPr>
        <w:pStyle w:val="Heading2"/>
        <w:spacing w:after="200" w:before="300"/>
      </w:pPr>
      <w:r>
        <w:rPr>
          <w:rFonts w:ascii="Times New Roman" w:cs="Times New Roman" w:eastAsia="Times New Roman" w:hAnsi="Times New Roman"/>
          <w:b/>
          <w:bCs/>
          <w:sz w:val="28"/>
          <w:szCs w:val="28"/>
        </w:rPr>
        <w:t xml:space="preserve">7.3 Research Problem</w:t>
      </w:r>
    </w:p>
    <w:p>
      <w:pPr>
        <w:spacing w:after="200" w:line="360"/>
        <w:jc w:val="both"/>
      </w:pPr>
      <w:r>
        <w:rPr>
          <w:rFonts w:ascii="Times New Roman" w:cs="Times New Roman" w:eastAsia="Times New Roman" w:hAnsi="Times New Roman"/>
          <w:sz w:val="24"/>
          <w:szCs w:val="24"/>
        </w:rPr>
        <w:t xml:space="preserve">The research problem addressed by Module 1 is: </w:t>
      </w:r>
      <w:r>
        <w:rPr>
          <w:rFonts w:ascii="Times New Roman" w:cs="Times New Roman" w:eastAsia="Times New Roman" w:hAnsi="Times New Roman"/>
          <w:b/>
          <w:bCs/>
          <w:i/>
          <w:iCs/>
          <w:sz w:val="24"/>
          <w:szCs w:val="24"/>
        </w:rPr>
        <w:t xml:space="preserve">How can a parameter-driven scenario generation pipeline produce valid, varied, and mission-coherent indoor training environments from evaluator-defined inputs, such that the generated scenario satisfies spatial validity constraints, supports meaningful NPC role and navigation context assignment, and outputs a structured artifact consumable by downstream runtime, analytical, and review modules within an integrated VR training system?</w:t>
      </w:r>
    </w:p>
    <w:p>
      <w:pPr>
        <w:pStyle w:val="Heading2"/>
        <w:spacing w:after="200" w:before="300"/>
      </w:pPr>
      <w:r>
        <w:rPr>
          <w:rFonts w:ascii="Times New Roman" w:cs="Times New Roman" w:eastAsia="Times New Roman" w:hAnsi="Times New Roman"/>
          <w:b/>
          <w:bCs/>
          <w:sz w:val="28"/>
          <w:szCs w:val="28"/>
        </w:rPr>
        <w:t xml:space="preserve">7.4 Research Questions</w:t>
      </w:r>
    </w:p>
    <w:p>
      <w:pPr>
        <w:spacing w:after="200" w:line="360"/>
        <w:jc w:val="both"/>
      </w:pPr>
      <w:r>
        <w:rPr>
          <w:rFonts w:ascii="Times New Roman" w:cs="Times New Roman" w:eastAsia="Times New Roman" w:hAnsi="Times New Roman"/>
          <w:b/>
          <w:bCs/>
          <w:sz w:val="24"/>
          <w:szCs w:val="24"/>
        </w:rPr>
        <w:t xml:space="preserve">RQ1: </w:t>
      </w:r>
      <w:r>
        <w:rPr>
          <w:rFonts w:ascii="Times New Roman" w:cs="Times New Roman" w:eastAsia="Times New Roman" w:hAnsi="Times New Roman"/>
          <w:sz w:val="24"/>
          <w:szCs w:val="24"/>
        </w:rPr>
        <w:t xml:space="preserve">How can evaluator-defined parameters (layout type, room count, floor structure, entity counts, placement strategy, difficulty settings, and randomness level) be translated into a generation pipeline that produces structurally varied indoor layouts while maintaining spatial validity constraints such as room reachability, non-overlapping entity placement, and navigable corridor connectivity?</w:t>
      </w:r>
    </w:p>
    <w:p>
      <w:pPr>
        <w:spacing w:after="200" w:line="360"/>
        <w:jc w:val="both"/>
      </w:pPr>
      <w:r>
        <w:rPr>
          <w:rFonts w:ascii="Times New Roman" w:cs="Times New Roman" w:eastAsia="Times New Roman" w:hAnsi="Times New Roman"/>
          <w:b/>
          <w:bCs/>
          <w:sz w:val="24"/>
          <w:szCs w:val="24"/>
        </w:rPr>
        <w:t xml:space="preserve">RQ2: </w:t>
      </w:r>
      <w:r>
        <w:rPr>
          <w:rFonts w:ascii="Times New Roman" w:cs="Times New Roman" w:eastAsia="Times New Roman" w:hAnsi="Times New Roman"/>
          <w:sz w:val="24"/>
          <w:szCs w:val="24"/>
        </w:rPr>
        <w:t xml:space="preserve">How can NPC role assignments and role-based navigation context (patrol anchors, guard zones, movement areas) be derived from the generated spatial structure in a way that produces semantically meaningful initial conditions for downstream runtime NPC behaviour, rather than arbitrary or random assignments?</w:t>
      </w:r>
    </w:p>
    <w:p>
      <w:pPr>
        <w:spacing w:after="200" w:line="360"/>
        <w:jc w:val="both"/>
      </w:pPr>
      <w:r>
        <w:rPr>
          <w:rFonts w:ascii="Times New Roman" w:cs="Times New Roman" w:eastAsia="Times New Roman" w:hAnsi="Times New Roman"/>
          <w:b/>
          <w:bCs/>
          <w:sz w:val="24"/>
          <w:szCs w:val="24"/>
        </w:rPr>
        <w:t xml:space="preserve">RQ3: </w:t>
      </w:r>
      <w:r>
        <w:rPr>
          <w:rFonts w:ascii="Times New Roman" w:cs="Times New Roman" w:eastAsia="Times New Roman" w:hAnsi="Times New Roman"/>
          <w:sz w:val="24"/>
          <w:szCs w:val="24"/>
        </w:rPr>
        <w:t xml:space="preserve">How can the generated scenario be validated to ensure that it is spatially coherent, mission-ready, and loadable by the runtime scene—addressing reachability of all hostage locations, non-conflicting navigation allocations, and compatibility with downstream modules—before the VR mission begins?</w:t>
      </w:r>
    </w:p>
    <w:p>
      <w:pPr>
        <w:spacing w:after="200" w:line="360"/>
        <w:jc w:val="both"/>
      </w:pPr>
      <w:r>
        <w:rPr>
          <w:rFonts w:ascii="Times New Roman" w:cs="Times New Roman" w:eastAsia="Times New Roman" w:hAnsi="Times New Roman"/>
          <w:b/>
          <w:bCs/>
          <w:sz w:val="24"/>
          <w:szCs w:val="24"/>
        </w:rPr>
        <w:t xml:space="preserve">RQ4: </w:t>
      </w:r>
      <w:r>
        <w:rPr>
          <w:rFonts w:ascii="Times New Roman" w:cs="Times New Roman" w:eastAsia="Times New Roman" w:hAnsi="Times New Roman"/>
          <w:sz w:val="24"/>
          <w:szCs w:val="24"/>
        </w:rPr>
        <w:t xml:space="preserve">To what extent does the generation pipeline produce meaningfully different scenarios across repeated generation requests with the same evaluator parameter set, and do different difficulty and randomness settings produce measurably different scenario structures in terms of layout complexity, entity distribution, and navigation context configuration?</w:t>
      </w:r>
    </w:p>
    <w:p>
      <w:r>
        <w:br w:type="page"/>
      </w:r>
    </w:p>
    <w:p>
      <w:pPr>
        <w:pStyle w:val="Heading1"/>
        <w:spacing w:after="240" w:before="360"/>
      </w:pPr>
      <w:r>
        <w:rPr>
          <w:rFonts w:ascii="Times New Roman" w:cs="Times New Roman" w:eastAsia="Times New Roman" w:hAnsi="Times New Roman"/>
          <w:b/>
          <w:bCs/>
          <w:sz w:val="32"/>
          <w:szCs w:val="32"/>
        </w:rPr>
        <w:t xml:space="preserve">8. References</w:t>
      </w:r>
    </w:p>
    <w:p>
      <w:pPr>
        <w:spacing w:after="120" w:line="276"/>
        <w:ind w:left="720" w:hanging="720"/>
      </w:pPr>
      <w:r>
        <w:rPr>
          <w:rFonts w:ascii="Times New Roman" w:cs="Times New Roman" w:eastAsia="Times New Roman" w:hAnsi="Times New Roman"/>
          <w:sz w:val="22"/>
          <w:szCs w:val="22"/>
        </w:rPr>
        <w:t xml:space="preserve">[1] B. Xie et al., “A Review on Virtual Reality Skill Training Applications,” Frontiers in Virtual Reality, vol. 2, Art. no. 645153, 2021, doi: 10.3389/frvir.2021.645153.</w:t>
      </w:r>
    </w:p>
    <w:p>
      <w:pPr>
        <w:spacing w:after="120" w:line="276"/>
        <w:ind w:left="720" w:hanging="720"/>
      </w:pPr>
      <w:r>
        <w:rPr>
          <w:rFonts w:ascii="Times New Roman" w:cs="Times New Roman" w:eastAsia="Times New Roman" w:hAnsi="Times New Roman"/>
          <w:sz w:val="22"/>
          <w:szCs w:val="22"/>
        </w:rPr>
        <w:t xml:space="preserve">[2] M. W. Boyce et al., “Enhancing Military Training Using Extended Reality: A Study of Military Tactics Comprehension,” Frontiers in Virtual Reality, vol. 3, Art. no. 754627, 2022, doi: 10.3389/frvir.2022.754627.</w:t>
      </w:r>
    </w:p>
    <w:p>
      <w:pPr>
        <w:spacing w:after="120" w:line="276"/>
        <w:ind w:left="720" w:hanging="720"/>
      </w:pPr>
      <w:r>
        <w:rPr>
          <w:rFonts w:ascii="Times New Roman" w:cs="Times New Roman" w:eastAsia="Times New Roman" w:hAnsi="Times New Roman"/>
          <w:sz w:val="22"/>
          <w:szCs w:val="22"/>
        </w:rPr>
        <w:t xml:space="preserve">[3] O. Zechner, L. Kleygrewe, E. Jaspaert, H. Schrom-Feiertag, R. I. V. Hutter, and M. Tscheligi, “Enhancing Operational Police Training in High Stress Situations with Virtual Reality: Experiences, Tools and Guidelines,” Multimodal Technologies and Interaction, vol. 7, no. 2, p. 14, 2023.</w:t>
      </w:r>
    </w:p>
    <w:p>
      <w:pPr>
        <w:spacing w:after="120" w:line="276"/>
        <w:ind w:left="720" w:hanging="720"/>
      </w:pPr>
      <w:r>
        <w:rPr>
          <w:rFonts w:ascii="Times New Roman" w:cs="Times New Roman" w:eastAsia="Times New Roman" w:hAnsi="Times New Roman"/>
          <w:sz w:val="22"/>
          <w:szCs w:val="22"/>
        </w:rPr>
        <w:t xml:space="preserve">[4] L. Kleygrewe, R. I. Vana Hutter, M. Koedijk, and R. R. D. Oudejans, “Changing Perspectives: Enhancing Learning Efficacy with the After-Action Review in Virtual Reality Training for Police,” Ergonomics, vol. 67, no. 5, pp. 628–637, 2024.</w:t>
      </w:r>
    </w:p>
    <w:p>
      <w:pPr>
        <w:spacing w:after="120" w:line="276"/>
        <w:ind w:left="720" w:hanging="720"/>
      </w:pPr>
      <w:r>
        <w:rPr>
          <w:rFonts w:ascii="Times New Roman" w:cs="Times New Roman" w:eastAsia="Times New Roman" w:hAnsi="Times New Roman"/>
          <w:sz w:val="22"/>
          <w:szCs w:val="22"/>
        </w:rPr>
        <w:t xml:space="preserve">[5] L. Luo, H. Yin, J. Zhong, W. Cai, M. Lees, and S. Zhou, “Mission-Based Scenario Modeling and Generation for Virtual Training,” in Proc. Ninth AAAI Conf. on AIIDE, 2013, pp. 44–50.</w:t>
      </w:r>
    </w:p>
    <w:p>
      <w:pPr>
        <w:spacing w:after="120" w:line="276"/>
        <w:ind w:left="720" w:hanging="720"/>
      </w:pPr>
      <w:r>
        <w:rPr>
          <w:rFonts w:ascii="Times New Roman" w:cs="Times New Roman" w:eastAsia="Times New Roman" w:hAnsi="Times New Roman"/>
          <w:sz w:val="22"/>
          <w:szCs w:val="22"/>
        </w:rPr>
        <w:t xml:space="preserve">[6] A. Zook, S. Lee-Urban, M. O. Riedl, H. K. Holden, R. A. Sottilare, and K. W. Brawner, “Automated Scenario Generation: Toward Tailored and Optimized Military Training in Virtual Environments,” in Proc. FDG ’12, 2012, pp. 164–171.</w:t>
      </w:r>
    </w:p>
    <w:p>
      <w:pPr>
        <w:spacing w:after="120" w:line="276"/>
        <w:ind w:left="720" w:hanging="720"/>
      </w:pPr>
      <w:r>
        <w:rPr>
          <w:rFonts w:ascii="Times New Roman" w:cs="Times New Roman" w:eastAsia="Times New Roman" w:hAnsi="Times New Roman"/>
          <w:sz w:val="22"/>
          <w:szCs w:val="22"/>
        </w:rPr>
        <w:t xml:space="preserve">[7] J. Niehaus, B. Li, and M. O. Riedl, “Automated Scenario Adaptation in Support of Intelligent Tutoring Systems,” in Proc. FLAIRS-24, 2011, pp. 531–536.</w:t>
      </w:r>
    </w:p>
    <w:p>
      <w:pPr>
        <w:spacing w:after="120" w:line="276"/>
        <w:ind w:left="720" w:hanging="720"/>
      </w:pPr>
      <w:r>
        <w:rPr>
          <w:rFonts w:ascii="Times New Roman" w:cs="Times New Roman" w:eastAsia="Times New Roman" w:hAnsi="Times New Roman"/>
          <w:sz w:val="22"/>
          <w:szCs w:val="22"/>
        </w:rPr>
        <w:t xml:space="preserve">[8] R. A. Sottilare, C. Ballinger, M. Litvinas, S. Hu, and C. McGroarty, “Using Genetic Algorithms to Automate Scenario Generation and Enhance the Training Value of Serious Games for Adaptive Instruction,” The International FLAIRS Conference Proceedings, vol. 37, no. 1, 2024.</w:t>
      </w:r>
    </w:p>
    <w:p>
      <w:pPr>
        <w:spacing w:after="120" w:line="276"/>
        <w:ind w:left="720" w:hanging="720"/>
      </w:pPr>
      <w:r>
        <w:rPr>
          <w:rFonts w:ascii="Times New Roman" w:cs="Times New Roman" w:eastAsia="Times New Roman" w:hAnsi="Times New Roman"/>
          <w:sz w:val="22"/>
          <w:szCs w:val="22"/>
        </w:rPr>
        <w:t xml:space="preserve">[9] M. Hendrikx, S. Meijer, J. van der Velden, and A. Iosup, “Procedural Content Generation for Games: A Survey,” ACM Transactions on Multimedia Computing, Communications, and Applications, vol. 9, no. 1, Art. 1, 2013.</w:t>
      </w:r>
    </w:p>
    <w:p>
      <w:pPr>
        <w:spacing w:after="120" w:line="276"/>
        <w:ind w:left="720" w:hanging="720"/>
      </w:pPr>
      <w:r>
        <w:rPr>
          <w:rFonts w:ascii="Times New Roman" w:cs="Times New Roman" w:eastAsia="Times New Roman" w:hAnsi="Times New Roman"/>
          <w:sz w:val="22"/>
          <w:szCs w:val="22"/>
        </w:rPr>
        <w:t xml:space="preserve">[10] J. Togelius, G. N. Yannakakis, K. O. Stanley, and C. Browne, “Search-Based Procedural Content Generation: A Taxonomy and Survey,” IEEE Transactions on Computational Intelligence and AI in Games, vol. 3, no. 3, pp. 172–186, 2011.</w:t>
      </w:r>
    </w:p>
    <w:p>
      <w:pPr>
        <w:spacing w:after="120" w:line="276"/>
        <w:ind w:left="720" w:hanging="720"/>
      </w:pPr>
      <w:r>
        <w:rPr>
          <w:rFonts w:ascii="Times New Roman" w:cs="Times New Roman" w:eastAsia="Times New Roman" w:hAnsi="Times New Roman"/>
          <w:sz w:val="22"/>
          <w:szCs w:val="22"/>
        </w:rPr>
        <w:t xml:space="preserve">[11] A. Dahl and L. Rinde, “Procedural Generation of Indoor Environments,” Master’s Thesis, Chalmers University of Technology, 2008.</w:t>
      </w:r>
    </w:p>
    <w:p>
      <w:pPr>
        <w:spacing w:after="120" w:line="276"/>
        <w:ind w:left="720" w:hanging="720"/>
      </w:pPr>
      <w:r>
        <w:rPr>
          <w:rFonts w:ascii="Times New Roman" w:cs="Times New Roman" w:eastAsia="Times New Roman" w:hAnsi="Times New Roman"/>
          <w:sz w:val="22"/>
          <w:szCs w:val="22"/>
        </w:rPr>
        <w:t xml:space="preserve">[12] E. D. Feklisov, M. V. Zingerenko, V. A. Frolov, and M. A. Trofimov, “Procedural Interior Generation for Artificial Intelligence Training and Computer Graphics,” in Proc. CPT Workshop, CEUR-WS, Vol. 2763, 2020.</w:t>
      </w:r>
    </w:p>
    <w:p>
      <w:pPr>
        <w:spacing w:after="120" w:line="276"/>
        <w:ind w:left="720" w:hanging="720"/>
      </w:pPr>
      <w:r>
        <w:rPr>
          <w:rFonts w:ascii="Times New Roman" w:cs="Times New Roman" w:eastAsia="Times New Roman" w:hAnsi="Times New Roman"/>
          <w:sz w:val="22"/>
          <w:szCs w:val="22"/>
        </w:rPr>
        <w:t xml:space="preserve">[13] M. Deitke et al., “ProcTHOR: Large-Scale Embodied AI Using Procedural Generation,” in Proc. NeurIPS, vol. 35, pp. 5982–5994, 2022.</w:t>
      </w:r>
    </w:p>
    <w:p>
      <w:pPr>
        <w:spacing w:after="120" w:line="276"/>
        <w:ind w:left="720" w:hanging="720"/>
      </w:pPr>
      <w:r>
        <w:rPr>
          <w:rFonts w:ascii="Times New Roman" w:cs="Times New Roman" w:eastAsia="Times New Roman" w:hAnsi="Times New Roman"/>
          <w:sz w:val="22"/>
          <w:szCs w:val="22"/>
        </w:rPr>
        <w:t xml:space="preserve">[14] A. Raistrick et al., “Infinigen Indoors: Photorealistic Indoor Scenes using Procedural Generation,” in Proc. CVPR, 2024.</w:t>
      </w:r>
    </w:p>
    <w:p>
      <w:pPr>
        <w:spacing w:after="120" w:line="276"/>
        <w:ind w:left="720" w:hanging="720"/>
      </w:pPr>
      <w:r>
        <w:rPr>
          <w:rFonts w:ascii="Times New Roman" w:cs="Times New Roman" w:eastAsia="Times New Roman" w:hAnsi="Times New Roman"/>
          <w:sz w:val="22"/>
          <w:szCs w:val="22"/>
        </w:rPr>
        <w:t xml:space="preserve">[15] I. Karth and A. M. Smith, “WaveFunctionCollapse is Constraint Solving in the Wild,” in Proc. FDG, 2017.</w:t>
      </w:r>
    </w:p>
    <w:p>
      <w:pPr>
        <w:spacing w:after="120" w:line="276"/>
        <w:ind w:left="720" w:hanging="720"/>
      </w:pPr>
      <w:r>
        <w:rPr>
          <w:rFonts w:ascii="Times New Roman" w:cs="Times New Roman" w:eastAsia="Times New Roman" w:hAnsi="Times New Roman"/>
          <w:sz w:val="22"/>
          <w:szCs w:val="22"/>
        </w:rPr>
        <w:t xml:space="preserve">[16] D. Cheng, H. Han, and G. Fei, “Automatic Generation of Game Levels Based on Controllable Wave Function Collapse Algorithm,” in Proc. ICEC, 2020.</w:t>
      </w:r>
    </w:p>
    <w:p>
      <w:pPr>
        <w:spacing w:after="120" w:line="276"/>
        <w:ind w:left="720" w:hanging="720"/>
      </w:pPr>
      <w:r>
        <w:rPr>
          <w:rFonts w:ascii="Times New Roman" w:cs="Times New Roman" w:eastAsia="Times New Roman" w:hAnsi="Times New Roman"/>
          <w:sz w:val="22"/>
          <w:szCs w:val="22"/>
        </w:rPr>
        <w:t xml:space="preserve">[17] S. Cooper, “Sturgeon: Tile-Based Procedural Level Generation via Learned and Designed Constraints,” in Proc. AIIDE, 2022.</w:t>
      </w:r>
    </w:p>
    <w:p>
      <w:pPr>
        <w:spacing w:after="120" w:line="276"/>
        <w:ind w:left="720" w:hanging="720"/>
      </w:pPr>
      <w:r>
        <w:rPr>
          <w:rFonts w:ascii="Times New Roman" w:cs="Times New Roman" w:eastAsia="Times New Roman" w:hAnsi="Times New Roman"/>
          <w:sz w:val="22"/>
          <w:szCs w:val="22"/>
        </w:rPr>
        <w:t xml:space="preserve">[18] I. Horswill and L. Foged, “Fast Procedural Level Population with Playability Constraints,” in Proc. AIIDE, 2012.</w:t>
      </w:r>
    </w:p>
    <w:p>
      <w:pPr>
        <w:spacing w:after="120" w:line="276"/>
        <w:ind w:left="720" w:hanging="720"/>
      </w:pPr>
      <w:r>
        <w:rPr>
          <w:rFonts w:ascii="Times New Roman" w:cs="Times New Roman" w:eastAsia="Times New Roman" w:hAnsi="Times New Roman"/>
          <w:sz w:val="22"/>
          <w:szCs w:val="22"/>
        </w:rPr>
        <w:t xml:space="preserve">[19] K. Hullett and M. Mateas, “Scenario Generation for Emergency Rescue Training Games,” in Proc. FDG ’09, 2009, pp. 99–106.</w:t>
      </w:r>
    </w:p>
    <w:p>
      <w:pPr>
        <w:spacing w:after="120" w:line="276"/>
        <w:ind w:left="720" w:hanging="720"/>
      </w:pPr>
      <w:r>
        <w:rPr>
          <w:rFonts w:ascii="Times New Roman" w:cs="Times New Roman" w:eastAsia="Times New Roman" w:hAnsi="Times New Roman"/>
          <w:sz w:val="22"/>
          <w:szCs w:val="22"/>
        </w:rPr>
        <w:t xml:space="preserve">[20] G. Smith and M. Whitehead, “Analyzing the Expressive Range of a Level Generator,” in Proc. PCG Workshop at FDG, 2010.</w:t>
      </w:r>
    </w:p>
    <w:p>
      <w:pPr>
        <w:spacing w:after="120" w:line="276"/>
        <w:ind w:left="720" w:hanging="720"/>
      </w:pPr>
      <w:r>
        <w:rPr>
          <w:rFonts w:ascii="Times New Roman" w:cs="Times New Roman" w:eastAsia="Times New Roman" w:hAnsi="Times New Roman"/>
          <w:sz w:val="22"/>
          <w:szCs w:val="22"/>
        </w:rPr>
        <w:t xml:space="preserve">[21] E. Kalafatis, K. Mitsis, K. Zarkogianni, M. Athanasiou, and K. Nikita, “A Modular Framework for Automated Evaluation of Procedural Content Generation in Serious Games with Deep Reinforcement Learning Agents,” arXiv preprint arXiv:2505.16801, 2025.</w:t>
      </w:r>
    </w:p>
    <w:p>
      <w:pPr>
        <w:spacing w:after="120" w:line="276"/>
        <w:ind w:left="720" w:hanging="720"/>
      </w:pPr>
      <w:r>
        <w:rPr>
          <w:rFonts w:ascii="Times New Roman" w:cs="Times New Roman" w:eastAsia="Times New Roman" w:hAnsi="Times New Roman"/>
          <w:sz w:val="22"/>
          <w:szCs w:val="22"/>
        </w:rPr>
        <w:t xml:space="preserve">[22] M. Cook, “Procedural Generation and Information Games,” in Proc. IEEE Conf. on Games (CoG), 2020, pp. 253–260.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200" w:before="3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60" w:before="24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2026-04-19T08:11:17.089Z</dcterms:created>
  <dcterms:modified xsi:type="dcterms:W3CDTF">2026-04-19T08:11:17.090Z</dcterms:modified>
</cp:coreProperties>
</file>

<file path=docProps/custom.xml><?xml version="1.0" encoding="utf-8"?>
<Properties xmlns="http://schemas.openxmlformats.org/officeDocument/2006/custom-properties" xmlns:vt="http://schemas.openxmlformats.org/officeDocument/2006/docPropsVTypes"/>
</file>