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0B0B"/>
        </w:rPr>
        <w:t>Module 2 — NPC Responder Selection: Where the Four Parameters Come From</w:t>
      </w:r>
    </w:p>
    <w:p>
      <w:r>
        <w:rPr>
          <w:i/>
          <w:color w:val="52514E"/>
          <w:sz w:val="24"/>
        </w:rPr>
        <w:t>Literature grounding, the honest gap, and how it was filled — 2026-08-02</w:t>
      </w:r>
    </w:p>
    <w:p/>
    <w:p>
      <w:r>
        <w:t>Purpose of this document. NPCSelector (the class that decides which NPC responds to an event) scores candidates on four parameters: distance, role, state-readiness, and line-of-sight. This document answers, precisely and honestly, the question: where does each of those four parameters come from — is it from a research paper, and if so, which one? It also explains what the project did to fill the gap where the literature could not supply an answer. Use this document as the direct answer if an evaluator asks "why these four factors, and why these numbers?"</w:t>
      </w:r>
    </w:p>
    <w:p>
      <w:r>
        <w:rPr>
          <w:b/>
        </w:rPr>
        <w:t>The short version, upfront:</w:t>
      </w:r>
    </w:p>
    <w:p>
      <w:pPr>
        <w:pStyle w:val="ListBullet"/>
      </w:pPr>
      <w:r>
        <w:t>The four-factor combination itself, and the exact numbers used, are this project's own design — no single paper describes this specific formula.</w:t>
      </w:r>
    </w:p>
    <w:p>
      <w:pPr>
        <w:pStyle w:val="ListBullet"/>
      </w:pPr>
      <w:r>
        <w:t>Each individual factor, and the general technique (score every candidate on weighted factors, pick the highest), is well-established and citable across three separate, real bodies of literature: game-AI utility theory, multi-robot task allocation, and military/emergency dispatch operations research.</w:t>
      </w:r>
    </w:p>
    <w:p>
      <w:pPr>
        <w:pStyle w:val="ListBullet"/>
      </w:pPr>
      <w:r>
        <w:t>Because the literature could not supply the exact weights, the project validated them empirically after building them — via the ablation study and the weight-sensitivity study — rather than citing a source that doesn't exist.</w:t>
      </w:r>
    </w:p>
    <w:p>
      <w:pPr>
        <w:pStyle w:val="ListBullet"/>
      </w:pPr>
      <w:r>
        <w:t>Separately, real trainees rated the AI tier that depends on this responder-selection mechanism as significantly more intelligent, life-like, and tactically realistic than the tier without it (n=9 complete triads, all p≤0.004, large effect sizes) — corroborating evidence from outside the code, scoped precisely in Section 11.</w:t>
      </w:r>
    </w:p>
    <w:p>
      <w:pPr>
        <w:pStyle w:val="Heading1"/>
      </w:pPr>
      <w:r>
        <w:t>1. What was actually checked</w:t>
      </w:r>
    </w:p>
    <w:p>
      <w:r>
        <w:t>Two things were searched, thoroughly, before writing this:</w:t>
      </w:r>
    </w:p>
    <w:p>
      <w:pPr>
        <w:pStyle w:val="ListNumber"/>
      </w:pPr>
      <w:r>
        <w:t>1. The project's own Literature_Review_Module2.docx — the formal literature review for Module 2's enemy-AI behaviour. Read in full. It covers react-to-contact doctrine, shared situational awareness, search theory (Point-Last-Seen), building-clearing doctrine, suppressive fire, morale collapse, the hostage-guard's fixed-asset dilemma, semi-trained calibration, and the F.E.A.R. GOAP architecture.</w:t>
      </w:r>
    </w:p>
    <w:p>
      <w:r>
        <w:rPr>
          <w:b/>
        </w:rPr>
        <w:t>It does not mention responder selection, distance-based scoring, role bonuses, state-readiness, or line-of-sight as selection criteria anywhere. This is a genuine, confirmed gap — not an oversight in searching, an absence in the source document.</w:t>
      </w:r>
    </w:p>
    <w:p>
      <w:pPr>
        <w:pStyle w:val="ListNumber"/>
      </w:pPr>
      <w:r>
        <w:t>2. A live web search for research and industry sources that use these same four factors — or the general technique — for choosing which of several candidate agents/units should respond to something. That search is summarised in Sections 2-6 below.</w:t>
      </w:r>
    </w:p>
    <w:p>
      <w:pPr>
        <w:pStyle w:val="Heading1"/>
      </w:pPr>
      <w:r>
        <w:t>2. The technique itself: utility-based multi-criteria scoring</w:t>
      </w:r>
    </w:p>
    <w:p>
      <w:r>
        <w:t>The overall shape of NPCSelector — normalize several factors, weight and sum them, pick the highest-scoring candidate — is not a novel invention. It is the textbook definition of Utility AI (also called utility-based decision making) in game AI:</w:t>
      </w:r>
    </w:p>
    <w:p>
      <w:pPr>
        <w:pStyle w:val="ListBullet"/>
      </w:pPr>
      <w:r>
        <w:t>Mark, D. (2009). Behavioral Mathematics for Game AI. The foundational text on this exact technique: score every candidate action/agent on several independent "considerations," weight them, and act on the highest total. Already cited in the project's own Module2_SlideContent.md as the closest published analogue.</w:t>
      </w:r>
    </w:p>
    <w:p>
      <w:pPr>
        <w:pStyle w:val="ListBullet"/>
      </w:pPr>
      <w:r>
        <w:t>Dill, K. (2010). "Improving AI Decision Making Using Utility Theory." GDC. The talk that popularized utility-based scoring as a mainstream game-AI architecture, as an alternative to hand-scripted FSMs/behaviour trees.</w:t>
      </w:r>
    </w:p>
    <w:p>
      <w:pPr>
        <w:pStyle w:val="ListBullet"/>
      </w:pPr>
      <w:r>
        <w:t>Dill, K. &amp; Martin, L. (2011). "A Game AI Approach to Autonomous Control of Virtual Characters." I/ITSEC. This is the single most on-domain citation available — a peer-reviewed conference paper about utility-based AI for virtual characters specifically for military training simulators, the same application domain as this project.</w:t>
      </w:r>
    </w:p>
    <w:p>
      <w:pPr>
        <w:pStyle w:val="ListBullet"/>
      </w:pPr>
      <w:r>
        <w:t>Dill, K. (2012). "Design Patterns for the Configuration of Utility-Based AI." I/ITSEC. A follow-up paper on structuring utility-based scoring systems, from the same author/venue.</w:t>
      </w:r>
    </w:p>
    <w:p>
      <w:pPr>
        <w:pStyle w:val="ListBullet"/>
      </w:pPr>
      <w:r>
        <w:t>Lewis, M. (2015). "Choosing Effective Utility-Based Considerations." In Game AI Pro 3, ch. 13. A practitioner reference that explicitly lists distance (with a linear falloff curve) and line-of-sight (as an on/off gating consideration) as standard scoring inputs — i.e., two of NPCSelector's four factors appear by name as textbook examples in this source.</w:t>
      </w:r>
    </w:p>
    <w:p>
      <w:r>
        <w:rPr>
          <w:b/>
        </w:rPr>
        <w:t xml:space="preserve">Conclusion for this section: </w:t>
      </w:r>
      <w:r>
        <w:t>the architecture — weighted multi-factor scoring to pick a responder — is standard, well-documented practice, backed by peer-reviewed and practitioner sources, including two papers from the exact domain (military training virtual characters).</w:t>
      </w:r>
    </w:p>
    <w:p>
      <w:pPr>
        <w:pStyle w:val="Heading1"/>
      </w:pPr>
      <w:r>
        <w:t>3. Distance — ubiquitous across every literature checked</w:t>
      </w:r>
    </w:p>
    <w:p>
      <w:r>
        <w:t>Distance-to-event as a scoring factor is the single most universally supported of the four parameters. It appears, independently, in:</w:t>
      </w:r>
    </w:p>
    <w:p>
      <w:pPr>
        <w:pStyle w:val="ListBullet"/>
      </w:pPr>
      <w:r>
        <w:t>Game AI: linear or curved falloff functions over distance are a standard "consideration" in utility AI (Lewis, Game AI Pro 3, ch. 13).</w:t>
      </w:r>
    </w:p>
    <w:p>
      <w:pPr>
        <w:pStyle w:val="ListBullet"/>
      </w:pPr>
      <w:r>
        <w:t>Multi-robot task allocation (MRTA): in auction-based task allocation, "distance to the task location is the major cost factor" driving which robot wins the bid (COMSTAR auction-allocation paper; 2024 ACM Computing Surveys systematic review of MRTA).</w:t>
      </w:r>
    </w:p>
    <w:p>
      <w:pPr>
        <w:pStyle w:val="ListBullet"/>
      </w:pPr>
      <w:r>
        <w:t>Military operations research: the Weapon-Target Assignment (WTA) problem's real-time heuristics include "closest distance" as a direct assignment rule.</w:t>
      </w:r>
    </w:p>
    <w:p>
      <w:pPr>
        <w:pStyle w:val="ListBullet"/>
      </w:pPr>
      <w:r>
        <w:t>Emergency dispatch: Computer-Aided Dispatch (CAD) systems for ambulance/police explicitly select "the closest, most appropriate unit," using live location data.</w:t>
      </w:r>
    </w:p>
    <w:p>
      <w:pPr>
        <w:pStyle w:val="Heading1"/>
      </w:pPr>
      <w:r>
        <w:t>4. Role — the capability/function-match factor</w:t>
      </w:r>
    </w:p>
    <w:p>
      <w:r>
        <w:t>NPCSelector's role-bonus table (Guard favoured for RoomBreached, Roamer for GunshotHeard, Leader for AllyDownSeen) matches a factor called capability matching or function matching in the wider literature:</w:t>
      </w:r>
    </w:p>
    <w:p>
      <w:pPr>
        <w:pStyle w:val="ListBullet"/>
      </w:pPr>
      <w:r>
        <w:t>MRTA literature: task allocation is explicitly framed as "assign tasks to the most suitable robot based on its function and capability" alongside distance and availability — role/capability is one of the three canonical MRTA factors.</w:t>
      </w:r>
    </w:p>
    <w:p>
      <w:pPr>
        <w:pStyle w:val="ListBullet"/>
      </w:pPr>
      <w:r>
        <w:t>Emergency dispatch: CAD systems dispatch based on unit certification/capability as well as distance — e.g. automatically routing to the nearest Advanced Life Support-certified unit rather than the nearest unit of any kind.</w:t>
      </w:r>
    </w:p>
    <w:p>
      <w:pPr>
        <w:pStyle w:val="ListBullet"/>
      </w:pPr>
      <w:r>
        <w:t>Weapon-Target Assignment: capability constraints (not every weapon type can engage every target) are a core constraint of the WTA formulation.</w:t>
      </w:r>
    </w:p>
    <w:p>
      <w:pPr>
        <w:pStyle w:val="Heading1"/>
      </w:pPr>
      <w:r>
        <w:t>5. State-readiness — the availability factor</w:t>
      </w:r>
    </w:p>
    <w:p>
      <w:r>
        <w:t>The FSM-state-derived StateScore (e.g. Idle=1.0 down to Engage=0.0) matches what MRTA and dispatch literature call availability or status:</w:t>
      </w:r>
    </w:p>
    <w:p>
      <w:pPr>
        <w:pStyle w:val="ListBullet"/>
      </w:pPr>
      <w:r>
        <w:t>MRTA literature: "availability" is the third canonical factor alongside distance and capability in most task-allocation formulations.</w:t>
      </w:r>
    </w:p>
    <w:p>
      <w:pPr>
        <w:pStyle w:val="ListBullet"/>
      </w:pPr>
      <w:r>
        <w:t>Emergency dispatch: CAD systems pick the best unit "based on location, crew certifications, and current status" — a unit already engaged elsewhere is filtered out or scored lower, exactly analogous to an Engage or Retreat NPC scoring near zero in NPCSelector.</w:t>
      </w:r>
    </w:p>
    <w:p>
      <w:pPr>
        <w:pStyle w:val="Heading1"/>
      </w:pPr>
      <w:r>
        <w:t>6. Line-of-sight — the perception factor</w:t>
      </w:r>
    </w:p>
    <w:p>
      <w:r>
        <w:t>Perception/visibility as a selection criterion (not just a detection trigger) is specifically documented in the game-AI target-selection literature:</w:t>
      </w:r>
    </w:p>
    <w:p>
      <w:pPr>
        <w:pStyle w:val="ListBullet"/>
      </w:pPr>
      <w:r>
        <w:t>Lewis (2015), Game AI Pro 3, ch. 13 — describes line-of-sight used as an on/off gating consideration in exactly this kind of multi-factor scoring formula, so an agent isn't scored highly for a target/event it cannot actually perceive.</w:t>
      </w:r>
    </w:p>
    <w:p>
      <w:pPr>
        <w:pStyle w:val="ListBullet"/>
      </w:pPr>
      <w:r>
        <w:t>Welsh, R., "Crytek's Target Tracks Perception System." Game AI Pro — a related practitioner source on incorporating perception/visibility into target/response scoring in a shipped commercial game engine.</w:t>
      </w:r>
    </w:p>
    <w:p>
      <w:pPr>
        <w:pStyle w:val="Heading1"/>
      </w:pPr>
      <w:r>
        <w:t>7. What the literature does NOT give you — stated plainly</w:t>
      </w:r>
    </w:p>
    <w:p>
      <w:r>
        <w:t>No source found — in the project's own literature review or in the wider search — specifies:</w:t>
      </w:r>
    </w:p>
    <w:p>
      <w:pPr>
        <w:pStyle w:val="ListBullet"/>
      </w:pPr>
      <w:r>
        <w:t>This exact four-factor combination (distance + role + state + LOS together) for NPC responder selection in a hostage-rescue/CQB context.</w:t>
      </w:r>
    </w:p>
    <w:p>
      <w:pPr>
        <w:pStyle w:val="ListBullet"/>
      </w:pPr>
      <w:r>
        <w:t>The specific weight values (DistanceWeight=2.0, RoleWeight=1.0, StateWeight=1.0, LosWeight=1.0) or the role-bonus magnitudes (3.0 / 2.0 / 1.5).</w:t>
      </w:r>
    </w:p>
    <w:p>
      <w:r>
        <w:t>This combination and these numbers are an original engineering design for this project — consistent with, but not derived from, the sources above. This is exactly analogous to how the project's own Literature_Review_Module2.docx already treats several other design choices (e.g. the hostage-guard's fixed-asset behaviour, Section 8; the exact lost-contact persistence duration, Section 12) — stating plainly where doctrine/literature ends and engineering judgement begins is standard, expected practice in this project, not a weakness unique to this one formula.</w:t>
      </w:r>
    </w:p>
    <w:p>
      <w:pPr>
        <w:pStyle w:val="Heading1"/>
      </w:pPr>
      <w:r>
        <w:t>8. How the gap was filled: empirical validation instead of citation</w:t>
      </w:r>
    </w:p>
    <w:p>
      <w:r>
        <w:t>Since no paper could supply the specific numbers, the project validated them empirically, after implementation, with two internal studies — summarized here, with full detail in their own reports:</w:t>
      </w:r>
    </w:p>
    <w:p>
      <w:pPr>
        <w:pStyle w:val="ListNumber"/>
      </w:pPr>
      <w:r>
        <w:t>MODULE2_ABLATION_STUDY_REPORT — switched each of the four factors fully on/off across 250 real selection decisions (50 events x 5 modes), establishing that each factor measurably changes who gets picked, and ranking their relative influence: Role (78% of decisions flip when removed) &gt;&gt; State (56%) &gt; LOS (20%) &gt; Distance (6%).</w:t>
      </w:r>
    </w:p>
    <w:p>
      <w:pPr>
        <w:pStyle w:val="ListNumber"/>
      </w:pPr>
      <w:r>
        <w:t>MODULE2_WEIGHT_SENSITIVITY_REPORT — swept each factor's weight across a 0-4x range across 25,200 real selection decisions (9 independent NPC layouts x 4 weights x 7 values x 100 events), establishing that the chosen values are not a fragile, arbitrary pick: three of the four factors (Distance, Role, State) are stable across a wide range around their defaults, while the fourth (LOS) was identified as the most sensitive, and specifically flagged for future re-tuning rather than hidden.</w:t>
      </w:r>
    </w:p>
    <w:p>
      <w:r>
        <w:t>Together, these two studies are the project's actual evidence for the formula — not a citation, but 250 + 25,200 = 25,450 real, reproducible selection decisions run against the project's own compiled code.</w:t>
      </w:r>
    </w:p>
    <w:p>
      <w:pPr>
        <w:pStyle w:val="Heading1"/>
      </w:pPr>
      <w:r>
        <w:t>9. The one-paragraph answer for an evaluator</w:t>
      </w:r>
    </w:p>
    <w:p>
      <w:r>
        <w:rPr>
          <w:b/>
          <w:i/>
        </w:rPr>
        <w:t>"The specific combination of distance, role, state-readiness, and line-of-sight — and the exact weights used — is our own design; no single paper prescribes this formula. However, each factor individually, and the overall technique of weighted multi-factor scoring, is well-established in three separate literatures: game-AI utility theory (Mark 2009; Dill 2011/2012, the latter specifically about virtual characters for military training simulators — our exact application domain), multi-robot task allocation (distance + capability + availability is the canonical three-factor pattern), and military/emergency dispatch operations research (Weapon-Target Assignment; Computer-Aided Dispatch). Since no source specifies the exact numbers for our specific combination, we validated them ourselves: an ablation study proving each factor matters, and a sensitivity study proving the chosen weights aren't fragile. That combination — literature-grounded technique, empirically-validated parameters — is the actual justification, and we can show the data behind both halves."</w:t>
      </w:r>
    </w:p>
    <w:p>
      <w:pPr>
        <w:pStyle w:val="Heading1"/>
      </w:pPr>
      <w:r>
        <w:t>10. References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CE6F5"/>
          </w:tcPr>
          <w:p>
            <w:pPr>
              <w:jc w:val="center"/>
            </w:pPr>
            <w:r>
              <w:rPr>
                <w:b/>
                <w:sz w:val="18"/>
              </w:rPr>
              <w:t>#</w:t>
            </w:r>
          </w:p>
        </w:tc>
        <w:tc>
          <w:tcPr>
            <w:tcW w:type="dxa" w:w="3216"/>
            <w:shd w:val="clear" w:color="auto" w:fill="DCE6F5"/>
          </w:tcPr>
          <w:p>
            <w:pPr>
              <w:jc w:val="center"/>
            </w:pPr>
            <w:r>
              <w:rPr>
                <w:b/>
                <w:sz w:val="18"/>
              </w:rPr>
              <w:t>Reference</w:t>
            </w:r>
          </w:p>
        </w:tc>
        <w:tc>
          <w:tcPr>
            <w:tcW w:type="dxa" w:w="3216"/>
            <w:shd w:val="clear" w:color="auto" w:fill="DCE6F5"/>
          </w:tcPr>
          <w:p>
            <w:pPr>
              <w:jc w:val="center"/>
            </w:pPr>
            <w:r>
              <w:rPr>
                <w:b/>
                <w:sz w:val="18"/>
              </w:rPr>
              <w:t>What it grounds</w:t>
            </w:r>
          </w:p>
        </w:tc>
      </w:tr>
      <w:tr>
        <w:tc>
          <w:tcPr>
            <w:tcW w:type="dxa" w:w="3216"/>
          </w:tcPr>
          <w:p>
            <w:r>
              <w:rPr>
                <w:sz w:val="18"/>
              </w:rPr>
              <w:t>1</w:t>
            </w:r>
          </w:p>
        </w:tc>
        <w:tc>
          <w:tcPr>
            <w:tcW w:type="dxa" w:w="3216"/>
          </w:tcPr>
          <w:p>
            <w:r>
              <w:rPr>
                <w:sz w:val="18"/>
              </w:rPr>
              <w:t>Mark, D. (2009). Behavioral Mathematics for Game AI.</w:t>
            </w:r>
          </w:p>
        </w:tc>
        <w:tc>
          <w:tcPr>
            <w:tcW w:type="dxa" w:w="3216"/>
          </w:tcPr>
          <w:p>
            <w:r>
              <w:rPr>
                <w:sz w:val="18"/>
              </w:rPr>
              <w:t>The utility-based multi-factor scoring technique itself</w:t>
            </w:r>
          </w:p>
        </w:tc>
      </w:tr>
      <w:tr>
        <w:tc>
          <w:tcPr>
            <w:tcW w:type="dxa" w:w="3216"/>
          </w:tcPr>
          <w:p>
            <w:r>
              <w:rPr>
                <w:sz w:val="18"/>
              </w:rPr>
              <w:t>2</w:t>
            </w:r>
          </w:p>
        </w:tc>
        <w:tc>
          <w:tcPr>
            <w:tcW w:type="dxa" w:w="3216"/>
          </w:tcPr>
          <w:p>
            <w:r>
              <w:rPr>
                <w:sz w:val="18"/>
              </w:rPr>
              <w:t>Dill, K. (2010). "Improving AI Decision Making Using Utility Theory." GDC.</w:t>
            </w:r>
          </w:p>
        </w:tc>
        <w:tc>
          <w:tcPr>
            <w:tcW w:type="dxa" w:w="3216"/>
          </w:tcPr>
          <w:p>
            <w:r>
              <w:rPr>
                <w:sz w:val="18"/>
              </w:rPr>
              <w:t>Utility AI as mainstream game-AI architecture</w:t>
            </w:r>
          </w:p>
        </w:tc>
      </w:tr>
      <w:tr>
        <w:tc>
          <w:tcPr>
            <w:tcW w:type="dxa" w:w="3216"/>
          </w:tcPr>
          <w:p>
            <w:r>
              <w:rPr>
                <w:sz w:val="18"/>
              </w:rPr>
              <w:t>3</w:t>
            </w:r>
          </w:p>
        </w:tc>
        <w:tc>
          <w:tcPr>
            <w:tcW w:type="dxa" w:w="3216"/>
          </w:tcPr>
          <w:p>
            <w:r>
              <w:rPr>
                <w:sz w:val="18"/>
              </w:rPr>
              <w:t>Dill, K. &amp; Martin, L. (2011). "A Game AI Approach to Autonomous Control of Virtual Characters." I/ITSEC.</w:t>
            </w:r>
          </w:p>
        </w:tc>
        <w:tc>
          <w:tcPr>
            <w:tcW w:type="dxa" w:w="3216"/>
          </w:tcPr>
          <w:p>
            <w:r>
              <w:rPr>
                <w:sz w:val="18"/>
              </w:rPr>
              <w:t>Utility-based scoring for military-training virtual characters — the exact domain of this project</w:t>
            </w:r>
          </w:p>
        </w:tc>
      </w:tr>
      <w:tr>
        <w:tc>
          <w:tcPr>
            <w:tcW w:type="dxa" w:w="3216"/>
          </w:tcPr>
          <w:p>
            <w:r>
              <w:rPr>
                <w:sz w:val="18"/>
              </w:rPr>
              <w:t>4</w:t>
            </w:r>
          </w:p>
        </w:tc>
        <w:tc>
          <w:tcPr>
            <w:tcW w:type="dxa" w:w="3216"/>
          </w:tcPr>
          <w:p>
            <w:r>
              <w:rPr>
                <w:sz w:val="18"/>
              </w:rPr>
              <w:t>Dill, K. (2012). "Design Patterns for the Configuration of Utility-Based AI." I/ITSEC.</w:t>
            </w:r>
          </w:p>
        </w:tc>
        <w:tc>
          <w:tcPr>
            <w:tcW w:type="dxa" w:w="3216"/>
          </w:tcPr>
          <w:p>
            <w:r>
              <w:rPr>
                <w:sz w:val="18"/>
              </w:rPr>
              <w:t>Structuring/configuring utility-based scoring systems</w:t>
            </w:r>
          </w:p>
        </w:tc>
      </w:tr>
      <w:tr>
        <w:tc>
          <w:tcPr>
            <w:tcW w:type="dxa" w:w="3216"/>
          </w:tcPr>
          <w:p>
            <w:r>
              <w:rPr>
                <w:sz w:val="18"/>
              </w:rPr>
              <w:t>5</w:t>
            </w:r>
          </w:p>
        </w:tc>
        <w:tc>
          <w:tcPr>
            <w:tcW w:type="dxa" w:w="3216"/>
          </w:tcPr>
          <w:p>
            <w:r>
              <w:rPr>
                <w:sz w:val="18"/>
              </w:rPr>
              <w:t>Lewis, M. (2015). "Choosing Effective Utility-Based Considerations." Game AI Pro 3, ch. 13.</w:t>
            </w:r>
          </w:p>
        </w:tc>
        <w:tc>
          <w:tcPr>
            <w:tcW w:type="dxa" w:w="3216"/>
          </w:tcPr>
          <w:p>
            <w:r>
              <w:rPr>
                <w:sz w:val="18"/>
              </w:rPr>
              <w:t>Distance and line-of-sight as named standard considerations</w:t>
            </w:r>
          </w:p>
        </w:tc>
      </w:tr>
      <w:tr>
        <w:tc>
          <w:tcPr>
            <w:tcW w:type="dxa" w:w="3216"/>
          </w:tcPr>
          <w:p>
            <w:r>
              <w:rPr>
                <w:sz w:val="18"/>
              </w:rPr>
              <w:t>6</w:t>
            </w:r>
          </w:p>
        </w:tc>
        <w:tc>
          <w:tcPr>
            <w:tcW w:type="dxa" w:w="3216"/>
          </w:tcPr>
          <w:p>
            <w:r>
              <w:rPr>
                <w:sz w:val="18"/>
              </w:rPr>
              <w:t>Welsh, R. "Crytek's Target Tracks Perception System." Game AI Pro.</w:t>
            </w:r>
          </w:p>
        </w:tc>
        <w:tc>
          <w:tcPr>
            <w:tcW w:type="dxa" w:w="3216"/>
          </w:tcPr>
          <w:p>
            <w:r>
              <w:rPr>
                <w:sz w:val="18"/>
              </w:rPr>
              <w:t>Perception/visibility incorporated into target/response scoring in a shipped engine</w:t>
            </w:r>
          </w:p>
        </w:tc>
      </w:tr>
      <w:tr>
        <w:tc>
          <w:tcPr>
            <w:tcW w:type="dxa" w:w="3216"/>
          </w:tcPr>
          <w:p>
            <w:r>
              <w:rPr>
                <w:sz w:val="18"/>
              </w:rPr>
              <w:t>7</w:t>
            </w:r>
          </w:p>
        </w:tc>
        <w:tc>
          <w:tcPr>
            <w:tcW w:type="dxa" w:w="3216"/>
          </w:tcPr>
          <w:p>
            <w:r>
              <w:rPr>
                <w:sz w:val="18"/>
              </w:rPr>
              <w:t>ACM Computing Surveys (2024). "A Systematic Literature Review on Multi-Robot Task Allocation."</w:t>
            </w:r>
          </w:p>
        </w:tc>
        <w:tc>
          <w:tcPr>
            <w:tcW w:type="dxa" w:w="3216"/>
          </w:tcPr>
          <w:p>
            <w:r>
              <w:rPr>
                <w:sz w:val="18"/>
              </w:rPr>
              <w:t>Distance + capability + availability as the canonical MRTA factor set</w:t>
            </w:r>
          </w:p>
        </w:tc>
      </w:tr>
      <w:tr>
        <w:tc>
          <w:tcPr>
            <w:tcW w:type="dxa" w:w="3216"/>
          </w:tcPr>
          <w:p>
            <w:r>
              <w:rPr>
                <w:sz w:val="18"/>
              </w:rPr>
              <w:t>8</w:t>
            </w:r>
          </w:p>
        </w:tc>
        <w:tc>
          <w:tcPr>
            <w:tcW w:type="dxa" w:w="3216"/>
          </w:tcPr>
          <w:p>
            <w:r>
              <w:rPr>
                <w:sz w:val="18"/>
              </w:rPr>
              <w:t>Weapon-Target Assignment problem (operations research; see Wikipedia overview and cited primary sources).</w:t>
            </w:r>
          </w:p>
        </w:tc>
        <w:tc>
          <w:tcPr>
            <w:tcW w:type="dxa" w:w="3216"/>
          </w:tcPr>
          <w:p>
            <w:r>
              <w:rPr>
                <w:sz w:val="18"/>
              </w:rPr>
              <w:t>Distance/closest-target and capability constraints in military assignment</w:t>
            </w:r>
          </w:p>
        </w:tc>
      </w:tr>
      <w:tr>
        <w:tc>
          <w:tcPr>
            <w:tcW w:type="dxa" w:w="3216"/>
          </w:tcPr>
          <w:p>
            <w:r>
              <w:rPr>
                <w:sz w:val="18"/>
              </w:rPr>
              <w:t>9</w:t>
            </w:r>
          </w:p>
        </w:tc>
        <w:tc>
          <w:tcPr>
            <w:tcW w:type="dxa" w:w="3216"/>
          </w:tcPr>
          <w:p>
            <w:r>
              <w:rPr>
                <w:sz w:val="18"/>
              </w:rPr>
              <w:t>Computer-Aided Dispatch (CAD) systems for EMS/police — industry documentation (e.g. Resgrid). [Grey/tertiary]</w:t>
            </w:r>
          </w:p>
        </w:tc>
        <w:tc>
          <w:tcPr>
            <w:tcW w:type="dxa" w:w="3216"/>
          </w:tcPr>
          <w:p>
            <w:r>
              <w:rPr>
                <w:sz w:val="18"/>
              </w:rPr>
              <w:t>Location + capability/certification + status as real-world dispatch-selection factors</w:t>
            </w:r>
          </w:p>
        </w:tc>
      </w:tr>
    </w:tbl>
    <w:p/>
    <w:p>
      <w:r>
        <w:t>Sources consulted 2026-08-02 via live web search; full URLs available on request if a citation needs to be checked directly.</w:t>
      </w:r>
    </w:p>
    <w:p>
      <w:pPr>
        <w:pStyle w:val="Heading1"/>
      </w:pPr>
      <w:r>
        <w:t>11. Layer 5 — Independent human evaluation (added 2026-08-02)</w:t>
      </w:r>
    </w:p>
    <w:p>
      <w:r>
        <w:t>The three internal sources of evidence above (literature grounding, ablation, sensitivity) are all either citations or tests run against the project's own code. This section adds a fourth, genuinely independent source: real trainees' ratings, from evaluation results.pdf (dashboard export, 30 Jul 2026), now reported in full in MODULE2_FULL_REPORT.md Section 6.7.</w:t>
      </w:r>
    </w:p>
    <w:p>
      <w:pPr>
        <w:pStyle w:val="Heading2"/>
      </w:pPr>
      <w:r>
        <w:t>11.1 How it connects to NPCSelector</w:t>
      </w:r>
    </w:p>
    <w:p>
      <w:r>
        <w:t>TerroristController.cs gates squad coordination behind the AI difficulty tier: AllowTeam =&gt; aiLevel &gt;= AILevel.Intermediate. Tracing where AllowTeam is used shows it gates the exact investigation dispatch that NPCSelector drives — the code comment states plainly: "this is also what EventManager dispatches an investigator through — so gating it here stops a Dumb terrorist from ever coming to find you." Concretely: at Basic tier, NPCSelector still runs and picks an investigator, but that NPC silently declines to act on it. At Intermediate/Advanced, the picked NPC actually moves, converges, and joins the squad hunt. The AI-tier system is a switch on top of NPCSelector's output, not a replacement for it.</w:t>
      </w:r>
    </w:p>
    <w:p>
      <w:pPr>
        <w:pStyle w:val="Heading2"/>
      </w:pPr>
      <w:r>
        <w:t>11.2 The results (statistically significant, not a small pilot)</w:t>
      </w:r>
    </w:p>
    <w:p>
      <w:r>
        <w:t>n = 20 Basic / 14 Intermediate / 11 Advanced sessions; n = 9 participants completed all three tiers (the set the significance tests run on):</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608"/>
            <w:shd w:val="clear" w:color="auto" w:fill="DCE6F5"/>
          </w:tcPr>
          <w:p>
            <w:pPr>
              <w:jc w:val="center"/>
            </w:pPr>
            <w:r>
              <w:rPr>
                <w:b/>
                <w:sz w:val="18"/>
              </w:rPr>
              <w:t>Measure</w:t>
            </w:r>
          </w:p>
        </w:tc>
        <w:tc>
          <w:tcPr>
            <w:tcW w:type="dxa" w:w="1608"/>
            <w:shd w:val="clear" w:color="auto" w:fill="DCE6F5"/>
          </w:tcPr>
          <w:p>
            <w:pPr>
              <w:jc w:val="center"/>
            </w:pPr>
            <w:r>
              <w:rPr>
                <w:b/>
                <w:sz w:val="18"/>
              </w:rPr>
              <w:t>Basic</w:t>
            </w:r>
          </w:p>
        </w:tc>
        <w:tc>
          <w:tcPr>
            <w:tcW w:type="dxa" w:w="1608"/>
            <w:shd w:val="clear" w:color="auto" w:fill="DCE6F5"/>
          </w:tcPr>
          <w:p>
            <w:pPr>
              <w:jc w:val="center"/>
            </w:pPr>
            <w:r>
              <w:rPr>
                <w:b/>
                <w:sz w:val="18"/>
              </w:rPr>
              <w:t>Intermediate</w:t>
            </w:r>
          </w:p>
        </w:tc>
        <w:tc>
          <w:tcPr>
            <w:tcW w:type="dxa" w:w="1608"/>
            <w:shd w:val="clear" w:color="auto" w:fill="DCE6F5"/>
          </w:tcPr>
          <w:p>
            <w:pPr>
              <w:jc w:val="center"/>
            </w:pPr>
            <w:r>
              <w:rPr>
                <w:b/>
                <w:sz w:val="18"/>
              </w:rPr>
              <w:t>Advanced</w:t>
            </w:r>
          </w:p>
        </w:tc>
        <w:tc>
          <w:tcPr>
            <w:tcW w:type="dxa" w:w="1608"/>
            <w:shd w:val="clear" w:color="auto" w:fill="DCE6F5"/>
          </w:tcPr>
          <w:p>
            <w:pPr>
              <w:jc w:val="center"/>
            </w:pPr>
            <w:r>
              <w:rPr>
                <w:b/>
                <w:sz w:val="18"/>
              </w:rPr>
              <w:t>Friedman p</w:t>
            </w:r>
          </w:p>
        </w:tc>
        <w:tc>
          <w:tcPr>
            <w:tcW w:type="dxa" w:w="1608"/>
            <w:shd w:val="clear" w:color="auto" w:fill="DCE6F5"/>
          </w:tcPr>
          <w:p>
            <w:pPr>
              <w:jc w:val="center"/>
            </w:pPr>
            <w:r>
              <w:rPr>
                <w:b/>
                <w:sz w:val="18"/>
              </w:rPr>
              <w:t>Effect size</w:t>
            </w:r>
          </w:p>
        </w:tc>
      </w:tr>
      <w:tr>
        <w:tc>
          <w:tcPr>
            <w:tcW w:type="dxa" w:w="1608"/>
          </w:tcPr>
          <w:p>
            <w:r>
              <w:rPr>
                <w:sz w:val="18"/>
              </w:rPr>
              <w:t>Perceived Intelligence (/5)</w:t>
            </w:r>
          </w:p>
        </w:tc>
        <w:tc>
          <w:tcPr>
            <w:tcW w:type="dxa" w:w="1608"/>
          </w:tcPr>
          <w:p>
            <w:r>
              <w:rPr>
                <w:sz w:val="18"/>
              </w:rPr>
              <w:t>1.6</w:t>
            </w:r>
          </w:p>
        </w:tc>
        <w:tc>
          <w:tcPr>
            <w:tcW w:type="dxa" w:w="1608"/>
          </w:tcPr>
          <w:p>
            <w:r>
              <w:rPr>
                <w:sz w:val="18"/>
              </w:rPr>
              <w:t>3.7</w:t>
            </w:r>
          </w:p>
        </w:tc>
        <w:tc>
          <w:tcPr>
            <w:tcW w:type="dxa" w:w="1608"/>
          </w:tcPr>
          <w:p>
            <w:r>
              <w:rPr>
                <w:sz w:val="18"/>
              </w:rPr>
              <w:t>4.4</w:t>
            </w:r>
          </w:p>
        </w:tc>
        <w:tc>
          <w:tcPr>
            <w:tcW w:type="dxa" w:w="1608"/>
          </w:tcPr>
          <w:p>
            <w:r>
              <w:rPr>
                <w:sz w:val="18"/>
              </w:rPr>
              <w:t>0.004</w:t>
            </w:r>
          </w:p>
        </w:tc>
        <w:tc>
          <w:tcPr>
            <w:tcW w:type="dxa" w:w="1608"/>
          </w:tcPr>
          <w:p>
            <w:r>
              <w:rPr>
                <w:sz w:val="18"/>
              </w:rPr>
              <w:t>r=0.85-0.89 (all pairs sig.)</w:t>
            </w:r>
          </w:p>
        </w:tc>
      </w:tr>
      <w:tr>
        <w:tc>
          <w:tcPr>
            <w:tcW w:type="dxa" w:w="1608"/>
          </w:tcPr>
          <w:p>
            <w:r>
              <w:rPr>
                <w:sz w:val="18"/>
              </w:rPr>
              <w:t>Animacy — life-like (/5)</w:t>
            </w:r>
          </w:p>
        </w:tc>
        <w:tc>
          <w:tcPr>
            <w:tcW w:type="dxa" w:w="1608"/>
          </w:tcPr>
          <w:p>
            <w:r>
              <w:rPr>
                <w:sz w:val="18"/>
              </w:rPr>
              <w:t>2.0</w:t>
            </w:r>
          </w:p>
        </w:tc>
        <w:tc>
          <w:tcPr>
            <w:tcW w:type="dxa" w:w="1608"/>
          </w:tcPr>
          <w:p>
            <w:r>
              <w:rPr>
                <w:sz w:val="18"/>
              </w:rPr>
              <w:t>3.8</w:t>
            </w:r>
          </w:p>
        </w:tc>
        <w:tc>
          <w:tcPr>
            <w:tcW w:type="dxa" w:w="1608"/>
          </w:tcPr>
          <w:p>
            <w:r>
              <w:rPr>
                <w:sz w:val="18"/>
              </w:rPr>
              <w:t>4.1</w:t>
            </w:r>
          </w:p>
        </w:tc>
        <w:tc>
          <w:tcPr>
            <w:tcW w:type="dxa" w:w="1608"/>
          </w:tcPr>
          <w:p>
            <w:r>
              <w:rPr>
                <w:sz w:val="18"/>
              </w:rPr>
              <w:t>&lt;0.001</w:t>
            </w:r>
          </w:p>
        </w:tc>
        <w:tc>
          <w:tcPr>
            <w:tcW w:type="dxa" w:w="1608"/>
          </w:tcPr>
          <w:p>
            <w:r>
              <w:rPr>
                <w:sz w:val="18"/>
              </w:rPr>
              <w:t>r=0.89 (Basic pairs sig.; Int.-vs-Adv. n.s., p=0.188)</w:t>
            </w:r>
          </w:p>
        </w:tc>
      </w:tr>
      <w:tr>
        <w:tc>
          <w:tcPr>
            <w:tcW w:type="dxa" w:w="1608"/>
          </w:tcPr>
          <w:p>
            <w:r>
              <w:rPr>
                <w:sz w:val="18"/>
              </w:rPr>
              <w:t>Tactical realism (/5)</w:t>
            </w:r>
          </w:p>
        </w:tc>
        <w:tc>
          <w:tcPr>
            <w:tcW w:type="dxa" w:w="1608"/>
          </w:tcPr>
          <w:p>
            <w:r>
              <w:rPr>
                <w:sz w:val="18"/>
              </w:rPr>
              <w:t>1.7</w:t>
            </w:r>
          </w:p>
        </w:tc>
        <w:tc>
          <w:tcPr>
            <w:tcW w:type="dxa" w:w="1608"/>
          </w:tcPr>
          <w:p>
            <w:r>
              <w:rPr>
                <w:sz w:val="18"/>
              </w:rPr>
              <w:t>3.5</w:t>
            </w:r>
          </w:p>
        </w:tc>
        <w:tc>
          <w:tcPr>
            <w:tcW w:type="dxa" w:w="1608"/>
          </w:tcPr>
          <w:p>
            <w:r>
              <w:rPr>
                <w:sz w:val="18"/>
              </w:rPr>
              <w:t>4.4</w:t>
            </w:r>
          </w:p>
        </w:tc>
        <w:tc>
          <w:tcPr>
            <w:tcW w:type="dxa" w:w="1608"/>
          </w:tcPr>
          <w:p>
            <w:r>
              <w:rPr>
                <w:sz w:val="18"/>
              </w:rPr>
              <w:t>0.003</w:t>
            </w:r>
          </w:p>
        </w:tc>
        <w:tc>
          <w:tcPr>
            <w:tcW w:type="dxa" w:w="1608"/>
          </w:tcPr>
          <w:p>
            <w:r>
              <w:rPr>
                <w:sz w:val="18"/>
              </w:rPr>
              <w:t>r=0.85-0.89 (all pairs sig.)</w:t>
            </w:r>
          </w:p>
        </w:tc>
      </w:tr>
    </w:tbl>
    <w:p/>
    <w:p>
      <w:r>
        <w:t>Full statistical detail (Kendall's W, all pairwise Wilcoxon tests, Bonferroni correction) is in MODULE2_FULL_REPORT.md Section 6.7.</w:t>
      </w:r>
    </w:p>
    <w:p>
      <w:pPr>
        <w:pStyle w:val="Heading2"/>
      </w:pPr>
      <w:r>
        <w:t>11.3 What this does and does not add — the precise scope</w:t>
      </w:r>
    </w:p>
    <w:p>
      <w:r>
        <w:rPr>
          <w:b/>
        </w:rPr>
        <w:t xml:space="preserve">It legitimately adds this: </w:t>
      </w:r>
      <w:r>
        <w:t>real human evaluators rated the tier where responder-selection-driven behavior is switched on (Intermediate/Advanced) as significantly more intelligent, life-like, and tactically realistic than the tier where it's switched off (Basic) — with large, statistically significant effects, not a directional trend in a small pilot.</w:t>
      </w:r>
    </w:p>
    <w:p>
      <w:r>
        <w:rPr>
          <w:b/>
        </w:rPr>
        <w:t xml:space="preserve">It does NOT let this study claim: </w:t>
      </w:r>
      <w:r>
        <w:t>that this proves the specific 4-factor formula or its exact weights are correct. AllowTeam gates the entire squad-coordination package at once — NPCSelector's dispatch, the persistent-hunt search algorithm, leader directives, and converge-on-contact all switch on together at the same tier boundary. The evaluation compared "all of that on" vs. "all of that off," not NPCSelector's scoring weights in isolation. So this is evidence that a responder-selection mechanism, as part of a coordinated squad system, meaningfully and measurably improves perceived intelligence — it is not evidence that these particular numbers (2.0/1.0/1.0/1.0; role bonuses 3.0/2.0/1.5) are the right ones. That narrower claim remains the job of the ablation and sensitivity studies (Section 8), which isolate NPCSelector specifically; this layer corroborates from the outside that the mechanism they're testing is worth having at all.</w:t>
      </w:r>
    </w:p>
    <w:p>
      <w:pPr>
        <w:pStyle w:val="Heading2"/>
      </w:pPr>
      <w:r>
        <w:t>11.4 The combined, four-layer answer for an evaluator</w:t>
      </w:r>
    </w:p>
    <w:p>
      <w:r>
        <w:rPr>
          <w:b/>
          <w:i/>
        </w:rPr>
        <w:t>"Our weighted-scoring technique is grounded in the literature (Sections 2-6); our specific weights were validated empirically via ablation and sensitivity testing (Section 8), which isolate the formula itself; and independently, real trainees rated the AI tier that depends on this responder-selection mechanism as significantly more intelligent, life-like, and tactically realistic than the tier without it (chi-squared(2)=10.89-14.00, all p&lt;=0.004, large effect sizes r=0.85-0.89, n=9 complete triads). Three separate kinds of evidence — literature grounding, internal algorithmic validation, and external human judgment — all point the same direction, and each is scoped to claim only what it actually shows."</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0B0B0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