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0B0B"/>
        </w:rPr>
        <w:t>Module 2 — Master Research Bibliography</w:t>
      </w:r>
    </w:p>
    <w:p>
      <w:r>
        <w:rPr>
          <w:i/>
          <w:color w:val="52514E"/>
          <w:sz w:val="23"/>
        </w:rPr>
        <w:t>43 sources, consolidated across the Literature Review, Evaluation Methodology, Selection Justification, and survey instruments — links verified 2026-08-03</w:t>
      </w:r>
    </w:p>
    <w:p/>
    <w:p>
      <w:r>
        <w:t>Every research source that backs Module 2's design and evaluation, consolidated from Literature_Review_Module2.docx, MODULE2_EVALUATION_METHODOLOGY.md, MODULE2_SELECTION_LITERATURE_JUSTIFICATION.md, and the survey instruments implemented in sentinels-aar/lib/. Links were verified via live web search, not guessed — where a real link could not be confirmed, that is stated explicitly rather than inventing one.</w:t>
      </w:r>
    </w:p>
    <w:p>
      <w:r>
        <w:rPr>
          <w:b/>
        </w:rPr>
        <w:t>Two flagged discrepancies, kept visible rather than silently resolved:</w:t>
      </w:r>
    </w:p>
    <w:p>
      <w:pPr>
        <w:pStyle w:val="ListBullet"/>
      </w:pPr>
      <w:r>
        <w:t>#12 (DiVA thesis): the repo's reference list describes it generically; the confirmed real title/authors differ slightly — still on-topic, worth updating the citation text.</w:t>
      </w:r>
    </w:p>
    <w:p>
      <w:pPr>
        <w:pStyle w:val="ListBullet"/>
      </w:pPr>
      <w:r>
        <w:t>#20 (Almeida et al. FPS AI review): the confirmed DOI/volume/issue/article-number match the citation, but the author list and exact title on record differ from what's actually on that DOI. Re-check against the original source before citing in front of an evaluator.</w:t>
      </w:r>
    </w:p>
    <w:p>
      <w:pPr>
        <w:pStyle w:val="Heading1"/>
      </w:pPr>
      <w:r>
        <w:t>Group 1 — Squad-tactics doctrine &amp; AI architecture</w:t>
      </w:r>
    </w:p>
    <w:p>
      <w:r>
        <w:rPr>
          <w:i/>
        </w:rPr>
        <w:t>(backs Literature_Review_Module2.docx — how the terrorist squad reacts, searches, and coordinates)</w:t>
      </w:r>
    </w:p>
    <w:p>
      <w:pPr>
        <w:spacing w:after="40"/>
      </w:pPr>
      <w:r>
        <w:rPr>
          <w:b/>
        </w:rPr>
        <w:t xml:space="preserve">1. </w:t>
      </w:r>
      <w:r>
        <w:rPr>
          <w:b/>
        </w:rPr>
        <w:t>Orkin, J. (2006). "Three States and a Plan: The AI of F.E.A.R." GDC.</w:t>
      </w:r>
    </w:p>
    <w:p>
      <w:pPr>
        <w:spacing w:after="40"/>
        <w:ind w:left="360"/>
      </w:pPr>
      <w:hyperlink r:id="rId9">
        <w:r>
          <w:rPr>
            <w:color w:val="2a78d6"/>
            <w:u w:val="single"/>
          </w:rPr>
          <w:t>https://www.gamedevs.org/uploads/three-states-plan-ai-of-fear.pdf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The single most load-bearing citation in Module 2's design: F.E.A.R.'s GOAP + two-layer squad coordination is the direct model for Squad.cs / TerroristController.cs.</w:t>
      </w:r>
    </w:p>
    <w:p>
      <w:pPr>
        <w:spacing w:after="40"/>
      </w:pPr>
      <w:r>
        <w:rPr>
          <w:b/>
        </w:rPr>
        <w:t xml:space="preserve">2. </w:t>
      </w:r>
      <w:r>
        <w:rPr>
          <w:b/>
        </w:rPr>
        <w:t>U.S. Army (1996). CALL Handbook 96-3, "Battle Drill 2: React to Contact."</w:t>
      </w:r>
    </w:p>
    <w:p>
      <w:pPr>
        <w:spacing w:after="40"/>
        <w:ind w:left="360"/>
      </w:pPr>
      <w:hyperlink r:id="rId10">
        <w:r>
          <w:rPr>
            <w:color w:val="2a78d6"/>
            <w:u w:val="single"/>
          </w:rPr>
          <w:t>https://www.globalsecurity.org/military/library/report/call/call_96-3_cpt2bd2.htm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Source of the "return fire within 3 seconds, converge on contact" doctrine that drives the squad's react-to-contact behaviour.</w:t>
      </w:r>
    </w:p>
    <w:p>
      <w:pPr>
        <w:spacing w:after="40"/>
      </w:pPr>
      <w:r>
        <w:rPr>
          <w:b/>
        </w:rPr>
        <w:t xml:space="preserve">3. </w:t>
      </w:r>
      <w:r>
        <w:rPr>
          <w:b/>
        </w:rPr>
        <w:t>FM 3-21.71 — Mechanized Infantry Platoon and Squad.</w:t>
      </w:r>
    </w:p>
    <w:p>
      <w:pPr>
        <w:spacing w:after="40"/>
        <w:ind w:left="360"/>
      </w:pPr>
      <w:hyperlink r:id="rId11">
        <w:r>
          <w:rPr>
            <w:color w:val="2a78d6"/>
            <w:u w:val="single"/>
          </w:rPr>
          <w:t>https://www.globalsecurity.org/military/library/policy/army/fm/3-21-71/index.html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Battle Drills (React to Contact, Break Contact, Clear a Building) — the doctrinal basis for "pursuit is default, disengagement is deliberate."</w:t>
      </w:r>
    </w:p>
    <w:p>
      <w:pPr>
        <w:spacing w:after="40"/>
      </w:pPr>
      <w:r>
        <w:rPr>
          <w:b/>
        </w:rPr>
        <w:t xml:space="preserve">4. </w:t>
      </w:r>
      <w:r>
        <w:rPr>
          <w:b/>
        </w:rPr>
        <w:t>FM 3-06.11 — Combined Arms Operations in Urban Terrain.</w:t>
      </w:r>
    </w:p>
    <w:p>
      <w:pPr>
        <w:spacing w:after="40"/>
        <w:ind w:left="360"/>
      </w:pPr>
      <w:hyperlink r:id="rId12">
        <w:r>
          <w:rPr>
            <w:color w:val="2a78d6"/>
            <w:u w:val="single"/>
          </w:rPr>
          <w:t>https://www.globalsecurity.org/military/library/policy/army/fm/3-06-11/ch9.htm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Systematic building-clearing doctrine; informs the squad's room-clearing / search behaviour.</w:t>
      </w:r>
    </w:p>
    <w:p>
      <w:pPr>
        <w:spacing w:after="40"/>
      </w:pPr>
      <w:r>
        <w:rPr>
          <w:b/>
        </w:rPr>
        <w:t xml:space="preserve">5. </w:t>
      </w:r>
      <w:r>
        <w:rPr>
          <w:b/>
        </w:rPr>
        <w:t>FM 7-8 — Infantry Rifle Platoon and Squad.</w:t>
      </w:r>
    </w:p>
    <w:p>
      <w:pPr>
        <w:spacing w:after="40"/>
        <w:ind w:left="360"/>
      </w:pPr>
      <w:hyperlink r:id="rId13">
        <w:r>
          <w:rPr>
            <w:color w:val="2a78d6"/>
            <w:u w:val="single"/>
          </w:rPr>
          <w:t>https://www.globalsecurity.org/military/library/policy/army/fm/7-8/index.html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Battle drills; secondary corroboration for the react-to-contact model.</w:t>
      </w:r>
    </w:p>
    <w:p>
      <w:pPr>
        <w:spacing w:after="40"/>
      </w:pPr>
      <w:r>
        <w:rPr>
          <w:b/>
        </w:rPr>
        <w:t xml:space="preserve">6. </w:t>
      </w:r>
      <w:r>
        <w:rPr>
          <w:b/>
        </w:rPr>
        <w:t>ATP 3-21.8 — Infantry Rifle Platoon and Squad.</w:t>
      </w:r>
    </w:p>
    <w:p>
      <w:pPr>
        <w:spacing w:after="40"/>
        <w:ind w:left="360"/>
      </w:pPr>
      <w:r>
        <w:rPr>
          <w:i/>
          <w:color w:val="898781"/>
        </w:rPr>
        <w:t>No verified free authoritative link found (only unofficial mirrors — not independently confirmed).</w:t>
      </w:r>
    </w:p>
    <w:p>
      <w:pPr>
        <w:spacing w:after="200"/>
        <w:ind w:left="360"/>
      </w:pPr>
      <w:r>
        <w:rPr>
          <w:color w:val="52514E"/>
          <w:sz w:val="20"/>
        </w:rPr>
        <w:t>Source of the standard fire-command (ADDRAC) format the shared-contact reporting is modelled on.</w:t>
      </w:r>
    </w:p>
    <w:p>
      <w:pPr>
        <w:spacing w:after="40"/>
      </w:pPr>
      <w:r>
        <w:rPr>
          <w:b/>
        </w:rPr>
        <w:t xml:space="preserve">7. </w:t>
      </w:r>
      <w:r>
        <w:rPr>
          <w:b/>
        </w:rPr>
        <w:t>NIST — "Last Known Position (LKP) / Point Last Seen (PLS)."</w:t>
      </w:r>
    </w:p>
    <w:p>
      <w:pPr>
        <w:spacing w:after="40"/>
        <w:ind w:left="360"/>
      </w:pPr>
      <w:hyperlink r:id="rId14">
        <w:r>
          <w:rPr>
            <w:color w:val="2a78d6"/>
            <w:u w:val="single"/>
          </w:rPr>
          <w:t>https://www.nist.gov/glossary-term/26441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Defines the search-anchor concept Squad.cs's persistent-hunt system (PointLastSeen) is built around.</w:t>
      </w:r>
    </w:p>
    <w:p>
      <w:pPr>
        <w:spacing w:after="40"/>
      </w:pPr>
      <w:r>
        <w:rPr>
          <w:b/>
        </w:rPr>
        <w:t xml:space="preserve">8. </w:t>
      </w:r>
      <w:r>
        <w:rPr>
          <w:b/>
        </w:rPr>
        <w:t>Phillips, K. et al. (2014). "Wilderness Search Strategy and Tactics." Wilderness &amp; Environmental Medicine, 25(2).</w:t>
      </w:r>
    </w:p>
    <w:p>
      <w:pPr>
        <w:spacing w:after="40"/>
        <w:ind w:left="360"/>
      </w:pPr>
      <w:hyperlink r:id="rId15">
        <w:r>
          <w:rPr>
            <w:color w:val="2a78d6"/>
            <w:u w:val="single"/>
          </w:rPr>
          <w:t>https://doi.org/10.1016/j.wem.2014.02.006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Peer-reviewed source for the expanding-search-radius model (radius = speed × elapsed time) used in Squad.NextSearchPoint.</w:t>
      </w:r>
    </w:p>
    <w:p>
      <w:pPr>
        <w:spacing w:after="40"/>
      </w:pPr>
      <w:r>
        <w:rPr>
          <w:b/>
        </w:rPr>
        <w:t xml:space="preserve">9. </w:t>
      </w:r>
      <w:r>
        <w:rPr>
          <w:b/>
        </w:rPr>
        <w:t>SARMath — "Initial Planning Point (IPP)."</w:t>
      </w:r>
    </w:p>
    <w:p>
      <w:pPr>
        <w:spacing w:after="40"/>
        <w:ind w:left="360"/>
      </w:pPr>
      <w:hyperlink r:id="rId16">
        <w:r>
          <w:rPr>
            <w:color w:val="2a78d6"/>
            <w:u w:val="single"/>
          </w:rPr>
          <w:t>http://www.sarmath.com/terms/initial-planning-point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Secondary source for the same expanding-circle search math.</w:t>
      </w:r>
    </w:p>
    <w:p>
      <w:pPr>
        <w:spacing w:after="40"/>
      </w:pPr>
      <w:r>
        <w:rPr>
          <w:b/>
        </w:rPr>
        <w:t xml:space="preserve">10. </w:t>
      </w:r>
      <w:r>
        <w:rPr>
          <w:b/>
        </w:rPr>
        <w:t>The Dupuy Institute (2018). "Breakpoints in U.S. Army Doctrine."</w:t>
      </w:r>
    </w:p>
    <w:p>
      <w:pPr>
        <w:spacing w:after="40"/>
        <w:ind w:left="360"/>
      </w:pPr>
      <w:hyperlink r:id="rId17">
        <w:r>
          <w:rPr>
            <w:color w:val="2a78d6"/>
            <w:u w:val="single"/>
          </w:rPr>
          <w:t>https://dupuyinstitute.org/2018/04/18/breakpoints-in-u-s-army-doctrine/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Operations-research basis for the morale-collapse model (leadership loss, casualties, surprise — not a simple casualty counter).</w:t>
      </w:r>
    </w:p>
    <w:p>
      <w:pPr>
        <w:spacing w:after="40"/>
      </w:pPr>
      <w:r>
        <w:rPr>
          <w:b/>
        </w:rPr>
        <w:t xml:space="preserve">11. </w:t>
      </w:r>
      <w:r>
        <w:rPr>
          <w:b/>
        </w:rPr>
        <w:t>"Suppressive fire." Wikipedia (citing USMC doctrine).</w:t>
      </w:r>
    </w:p>
    <w:p>
      <w:pPr>
        <w:spacing w:after="40"/>
        <w:ind w:left="360"/>
      </w:pPr>
      <w:hyperlink r:id="rId18">
        <w:r>
          <w:rPr>
            <w:color w:val="2a78d6"/>
            <w:u w:val="single"/>
          </w:rPr>
          <w:t>https://en.wikipedia.org/wiki/Suppressive_fire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Grey-literature source for "suppression is psychological, not lethal" — the principle behind cover/chokepoint tactics.</w:t>
      </w:r>
    </w:p>
    <w:p>
      <w:pPr>
        <w:spacing w:after="40"/>
      </w:pPr>
      <w:r>
        <w:rPr>
          <w:b/>
        </w:rPr>
        <w:t xml:space="preserve">12. </w:t>
      </w:r>
      <w:r>
        <w:rPr>
          <w:b/>
        </w:rPr>
        <w:t>Sjöblom, M. &amp; Svala, R. (2025). "Multi-Agent Performance Using Goal-Oriented Action Planning (GOAP) in a Procedural Game." DiVA thesis.</w:t>
      </w:r>
    </w:p>
    <w:p>
      <w:pPr>
        <w:spacing w:after="40"/>
        <w:ind w:left="360"/>
      </w:pPr>
      <w:hyperlink r:id="rId19">
        <w:r>
          <w:rPr>
            <w:color w:val="2a78d6"/>
            <w:u w:val="single"/>
          </w:rPr>
          <w:t>https://www.diva-portal.org/smash/record.jsf?pid=diva2:1972169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Corroborates Orkin's two-layer squad architecture from a second, independent source.</w:t>
      </w:r>
    </w:p>
    <w:p>
      <w:pPr>
        <w:spacing w:after="200"/>
        <w:ind w:left="360"/>
      </w:pPr>
      <w:r>
        <w:rPr>
          <w:i/>
          <w:color w:val="EB6834"/>
          <w:sz w:val="19"/>
        </w:rPr>
        <w:t>⚠ The repo's reference list describes this generically as 'thesis on cooperative game AI'; confirmed real title/authors shown above — still on-topic, worth updating the citation text.</w:t>
      </w:r>
    </w:p>
    <w:p>
      <w:pPr>
        <w:pStyle w:val="Heading1"/>
      </w:pPr>
      <w:r>
        <w:t>Group 2 — Believability / Turing-test evaluation methodology</w:t>
      </w:r>
    </w:p>
    <w:p>
      <w:r>
        <w:rPr>
          <w:i/>
        </w:rPr>
        <w:t>(backs MODULE2_EVALUATION_METHODOLOGY.md — how to prove the AI "seems intelligent")</w:t>
      </w:r>
    </w:p>
    <w:p>
      <w:pPr>
        <w:spacing w:after="40"/>
      </w:pPr>
      <w:r>
        <w:rPr>
          <w:b/>
        </w:rPr>
        <w:t xml:space="preserve">13. </w:t>
      </w:r>
      <w:r>
        <w:rPr>
          <w:b/>
        </w:rPr>
        <w:t>Hingston, P. (2009). "A Turing test for computer game bots." IEEE ToCIAIG, 1(3).</w:t>
      </w:r>
    </w:p>
    <w:p>
      <w:pPr>
        <w:spacing w:after="40"/>
        <w:ind w:left="360"/>
      </w:pPr>
      <w:hyperlink r:id="rId20">
        <w:r>
          <w:rPr>
            <w:color w:val="2a78d6"/>
            <w:u w:val="single"/>
          </w:rPr>
          <w:t>https://ieeexplore.ieee.org/document/5247069/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Founding paper of the "humanness ratio" Turing-test paradigm the believability study is built on.</w:t>
      </w:r>
    </w:p>
    <w:p>
      <w:pPr>
        <w:spacing w:after="40"/>
      </w:pPr>
      <w:r>
        <w:rPr>
          <w:b/>
        </w:rPr>
        <w:t xml:space="preserve">14. </w:t>
      </w:r>
      <w:r>
        <w:rPr>
          <w:b/>
        </w:rPr>
        <w:t>Schrum, J. et al. "Optimising Humanness... UT2004." Springer 2017.</w:t>
      </w:r>
    </w:p>
    <w:p>
      <w:pPr>
        <w:spacing w:after="40"/>
        <w:ind w:left="360"/>
      </w:pPr>
      <w:hyperlink r:id="rId21">
        <w:r>
          <w:rPr>
            <w:color w:val="2a78d6"/>
            <w:u w:val="single"/>
          </w:rPr>
          <w:t>https://link.springer.com/chapter/10.1007/978-3-319-59147-6_58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The 2K BotPrize competition write-up — precedent for judge-based humanness scoring.</w:t>
      </w:r>
    </w:p>
    <w:p>
      <w:pPr>
        <w:spacing w:after="40"/>
      </w:pPr>
      <w:r>
        <w:rPr>
          <w:b/>
        </w:rPr>
        <w:t xml:space="preserve">15. </w:t>
      </w:r>
      <w:r>
        <w:rPr>
          <w:b/>
        </w:rPr>
        <w:t>Gorman, B., Thurau, C., Bauckhage, C., Humphrys, M. (2006). "Believability Testing and Bayesian Imitation in Interactive Computer Games." SAB.</w:t>
      </w:r>
    </w:p>
    <w:p>
      <w:pPr>
        <w:spacing w:after="40"/>
        <w:ind w:left="360"/>
      </w:pPr>
      <w:hyperlink r:id="rId22">
        <w:r>
          <w:rPr>
            <w:color w:val="2a78d6"/>
            <w:u w:val="single"/>
          </w:rPr>
          <w:t>https://link.springer.com/chapter/10.1007/11840541_54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Source of the main believability instrument: the 5-point Human↔Artificial gradient + experience-weighted index.</w:t>
      </w:r>
    </w:p>
    <w:p>
      <w:pPr>
        <w:spacing w:after="40"/>
      </w:pPr>
      <w:r>
        <w:rPr>
          <w:b/>
        </w:rPr>
        <w:t xml:space="preserve">16. </w:t>
      </w:r>
      <w:r>
        <w:rPr>
          <w:b/>
        </w:rPr>
        <w:t>Even, C., Bosser, A-G., Buche, C. (2021). Frontiers in Computer Science.</w:t>
      </w:r>
    </w:p>
    <w:p>
      <w:pPr>
        <w:spacing w:after="40"/>
        <w:ind w:left="360"/>
      </w:pPr>
      <w:hyperlink r:id="rId23">
        <w:r>
          <w:rPr>
            <w:color w:val="2a78d6"/>
            <w:u w:val="single"/>
          </w:rPr>
          <w:t>https://www.frontiersin.org/journals/computer-science/articles/10.3389/fcomp.2021.774763/full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The 7-characteristic protocol for designing a defensible believability study (judge count, expertise, clip duration, etc.).</w:t>
      </w:r>
    </w:p>
    <w:p>
      <w:pPr>
        <w:spacing w:after="40"/>
      </w:pPr>
      <w:r>
        <w:rPr>
          <w:b/>
        </w:rPr>
        <w:t xml:space="preserve">17. </w:t>
      </w:r>
      <w:r>
        <w:rPr>
          <w:b/>
        </w:rPr>
        <w:t>Togelius, Yannakakis, Karakovskiy, Shaker — "Assessing believability," in Believable Bots (Springer, 2012).</w:t>
      </w:r>
    </w:p>
    <w:p>
      <w:pPr>
        <w:spacing w:after="40"/>
        <w:ind w:left="360"/>
      </w:pPr>
      <w:hyperlink r:id="rId24">
        <w:r>
          <w:rPr>
            <w:color w:val="2a78d6"/>
            <w:u w:val="single"/>
          </w:rPr>
          <w:t>https://link.springer.com/chapter/10.1007/978-3-642-32323-2_9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Mario AI Turing-test track — precedent for external-observer (spectator) judging over participatory judging.</w:t>
      </w:r>
    </w:p>
    <w:p>
      <w:pPr>
        <w:spacing w:after="40"/>
      </w:pPr>
      <w:r>
        <w:rPr>
          <w:b/>
        </w:rPr>
        <w:t xml:space="preserve">18. </w:t>
      </w:r>
      <w:r>
        <w:rPr>
          <w:b/>
        </w:rPr>
        <w:t>Justesen, N. et al. "Human-like Bots for Tactical Shooters Using Compute-Efficient Sensors." arXiv:2501.00078.</w:t>
      </w:r>
    </w:p>
    <w:p>
      <w:pPr>
        <w:spacing w:after="40"/>
        <w:ind w:left="360"/>
      </w:pPr>
      <w:hyperlink r:id="rId25">
        <w:r>
          <w:rPr>
            <w:color w:val="2a78d6"/>
            <w:u w:val="single"/>
          </w:rPr>
          <w:t>https://arxiv.org/abs/2501.00078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Argues human-likeness, not win-rate, is the right target for tactical-shooter AI — directly justifies the "believability over difficulty" framing.</w:t>
      </w:r>
    </w:p>
    <w:p>
      <w:pPr>
        <w:spacing w:after="40"/>
      </w:pPr>
      <w:r>
        <w:rPr>
          <w:b/>
        </w:rPr>
        <w:t xml:space="preserve">19. </w:t>
      </w:r>
      <w:r>
        <w:rPr>
          <w:b/>
        </w:rPr>
        <w:t>Durst, D. et al. "Learning to Move Like Professional Counter-Strike Players." arXiv:2408.13934.</w:t>
      </w:r>
    </w:p>
    <w:p>
      <w:pPr>
        <w:spacing w:after="40"/>
        <w:ind w:left="360"/>
      </w:pPr>
      <w:hyperlink r:id="rId26">
        <w:r>
          <w:rPr>
            <w:color w:val="2a78d6"/>
            <w:u w:val="single"/>
          </w:rPr>
          <w:t>https://arxiv.org/abs/2408.13934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TrueSkill-based human-likeness rating; behaviour-distribution / mistake / teamwork metrics — the objective-metric taxonomy the telemetry design borrows from.</w:t>
      </w:r>
    </w:p>
    <w:p>
      <w:pPr>
        <w:spacing w:after="40"/>
      </w:pPr>
      <w:r>
        <w:rPr>
          <w:b/>
        </w:rPr>
        <w:t xml:space="preserve">20. </w:t>
      </w:r>
      <w:r>
        <w:rPr>
          <w:b/>
        </w:rPr>
        <w:t>Almeida, P., Carvalho, V., Simões, A. (2023). Algorithms, 16(7):323.</w:t>
      </w:r>
    </w:p>
    <w:p>
      <w:pPr>
        <w:spacing w:after="40"/>
        <w:ind w:left="360"/>
      </w:pPr>
      <w:hyperlink r:id="rId27">
        <w:r>
          <w:rPr>
            <w:color w:val="2a78d6"/>
            <w:u w:val="single"/>
          </w:rPr>
          <w:t>https://www.mdpi.com/1999-4893/16/7/323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Source of the game-based-metrics-over-RL-reward taxonomy and the reusable 20-participant survey design.</w:t>
      </w:r>
    </w:p>
    <w:p>
      <w:pPr>
        <w:spacing w:after="200"/>
        <w:ind w:left="360"/>
      </w:pPr>
      <w:r>
        <w:rPr>
          <w:i/>
          <w:color w:val="EB6834"/>
          <w:sz w:val="19"/>
        </w:rPr>
        <w:t>⚠ Confirmed DOI/volume/issue/article-number match the citation, but the author list and exact title on record differ from what is actually on that DOI. Re-check before citing.</w:t>
      </w:r>
    </w:p>
    <w:p>
      <w:pPr>
        <w:pStyle w:val="Heading1"/>
      </w:pPr>
      <w:r>
        <w:t>Group 3 — Player-experience, workload &amp; VR questionnaires</w:t>
      </w:r>
    </w:p>
    <w:p>
      <w:r>
        <w:rPr>
          <w:i/>
        </w:rPr>
        <w:t>(the actual instruments the dashboard survey implements — lib/aiEval.js, lib/simTlx.js)</w:t>
      </w:r>
    </w:p>
    <w:p>
      <w:pPr>
        <w:spacing w:after="40"/>
      </w:pPr>
      <w:r>
        <w:rPr>
          <w:b/>
        </w:rPr>
        <w:t xml:space="preserve">21. </w:t>
      </w:r>
      <w:r>
        <w:rPr>
          <w:b/>
        </w:rPr>
        <w:t>Bartneck, C., Kulić, D., Croft, E., Zoghbi, S. (2009). "Measurement instruments for anthropomorphism, animacy, likeability, perceived intelligence, and perceived safety of robots." Int J Social Robotics, 1.</w:t>
      </w:r>
    </w:p>
    <w:p>
      <w:pPr>
        <w:spacing w:after="40"/>
        <w:ind w:left="360"/>
      </w:pPr>
      <w:hyperlink r:id="rId28">
        <w:r>
          <w:rPr>
            <w:color w:val="2a78d6"/>
            <w:u w:val="single"/>
          </w:rPr>
          <w:t>https://doi.org/10.1007/s12369-008-0001-3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Godspeed — the exact source of the "Perceived Intelligence" and "Animacy" survey items.</w:t>
      </w:r>
    </w:p>
    <w:p>
      <w:pPr>
        <w:spacing w:after="40"/>
      </w:pPr>
      <w:r>
        <w:rPr>
          <w:b/>
        </w:rPr>
        <w:t xml:space="preserve">22. </w:t>
      </w:r>
      <w:r>
        <w:rPr>
          <w:b/>
        </w:rPr>
        <w:t>Schrepp, M., Hinderks, A., Thomaschewski, J. (2017). UEQ-S short form. IJIMAI, 4(6).</w:t>
      </w:r>
    </w:p>
    <w:p>
      <w:pPr>
        <w:spacing w:after="40"/>
        <w:ind w:left="360"/>
      </w:pPr>
      <w:hyperlink r:id="rId29">
        <w:r>
          <w:rPr>
            <w:color w:val="2a78d6"/>
            <w:u w:val="single"/>
          </w:rPr>
          <w:t>https://doi.org/10.9781/ijimai.2017.09.001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Source of the Pragmatic / Hedonic UEQ-S questions.</w:t>
      </w:r>
    </w:p>
    <w:p>
      <w:pPr>
        <w:spacing w:after="40"/>
      </w:pPr>
      <w:r>
        <w:rPr>
          <w:b/>
        </w:rPr>
        <w:t xml:space="preserve">23. </w:t>
      </w:r>
      <w:r>
        <w:rPr>
          <w:b/>
        </w:rPr>
        <w:t>Laugwitz, B., Held, T., Schrepp, M. (2008). Original UEQ. USAB / LNCS 5298.</w:t>
      </w:r>
    </w:p>
    <w:p>
      <w:pPr>
        <w:spacing w:after="40"/>
        <w:ind w:left="360"/>
      </w:pPr>
      <w:hyperlink r:id="rId30">
        <w:r>
          <w:rPr>
            <w:color w:val="2a78d6"/>
            <w:u w:val="single"/>
          </w:rPr>
          <w:t>https://doi.org/10.1007/978-3-540-89350-9_6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The full-length instrument UEQ-S is a short form of.</w:t>
      </w:r>
    </w:p>
    <w:p>
      <w:pPr>
        <w:spacing w:after="40"/>
      </w:pPr>
      <w:r>
        <w:rPr>
          <w:b/>
        </w:rPr>
        <w:t xml:space="preserve">24. </w:t>
      </w:r>
      <w:r>
        <w:rPr>
          <w:b/>
        </w:rPr>
        <w:t>Johnson, D., Gardner, J., Perry, R. (2018). IJHCS.</w:t>
      </w:r>
    </w:p>
    <w:p>
      <w:pPr>
        <w:spacing w:after="40"/>
        <w:ind w:left="360"/>
      </w:pPr>
      <w:hyperlink r:id="rId31">
        <w:r>
          <w:rPr>
            <w:color w:val="2a78d6"/>
            <w:u w:val="single"/>
          </w:rPr>
          <w:t>https://doi.org/10.1016/j.ijhcs.2018.05.003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Validates (and flags caveats for) PENS/GEQ — cited in the methodology doc's honesty note about instrument limitations.</w:t>
      </w:r>
    </w:p>
    <w:p>
      <w:pPr>
        <w:spacing w:after="40"/>
      </w:pPr>
      <w:r>
        <w:rPr>
          <w:b/>
        </w:rPr>
        <w:t xml:space="preserve">25. </w:t>
      </w:r>
      <w:r>
        <w:rPr>
          <w:b/>
        </w:rPr>
        <w:t>Denisova, A., Nordin, A.I., Cairns, P. (2016). CHI PLAY.</w:t>
      </w:r>
    </w:p>
    <w:p>
      <w:pPr>
        <w:spacing w:after="40"/>
        <w:ind w:left="360"/>
      </w:pPr>
      <w:hyperlink r:id="rId32">
        <w:r>
          <w:rPr>
            <w:color w:val="2a78d6"/>
            <w:u w:val="single"/>
          </w:rPr>
          <w:t>https://doi.org/10.1145/2967934.2968095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Shows IEQ/GEQ/PENS converge strongly — the reason the survey battery doesn't stack all of them.</w:t>
      </w:r>
    </w:p>
    <w:p>
      <w:pPr>
        <w:spacing w:after="40"/>
      </w:pPr>
      <w:r>
        <w:rPr>
          <w:b/>
        </w:rPr>
        <w:t xml:space="preserve">26. </w:t>
      </w:r>
      <w:r>
        <w:rPr>
          <w:b/>
        </w:rPr>
        <w:t>IJsselsteijn, W., de Kort, Y., Poels, K. — "The Game Experience Questionnaire" (FUGA project deliverable).</w:t>
      </w:r>
    </w:p>
    <w:p>
      <w:pPr>
        <w:spacing w:after="40"/>
        <w:ind w:left="360"/>
      </w:pPr>
      <w:hyperlink r:id="rId33">
        <w:r>
          <w:rPr>
            <w:color w:val="2a78d6"/>
            <w:u w:val="single"/>
          </w:rPr>
          <w:t>https://pure.tue.nl/ws/files/21666952/Fuga_d3.3.pdf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The GEQ itself (distinct from the other 'GEQ' — Brockmyer's Game Engagement Questionnaire — a naming collision the methodology doc explicitly flags).</w:t>
      </w:r>
    </w:p>
    <w:p>
      <w:pPr>
        <w:spacing w:after="40"/>
      </w:pPr>
      <w:r>
        <w:rPr>
          <w:b/>
        </w:rPr>
        <w:t xml:space="preserve">27. </w:t>
      </w:r>
      <w:r>
        <w:rPr>
          <w:b/>
        </w:rPr>
        <w:t>Jennett, C. et al. (2008). "Measuring and defining the experience of immersion in games." IJHCS, 66(9).</w:t>
      </w:r>
    </w:p>
    <w:p>
      <w:pPr>
        <w:spacing w:after="40"/>
        <w:ind w:left="360"/>
      </w:pPr>
      <w:hyperlink r:id="rId34">
        <w:r>
          <w:rPr>
            <w:color w:val="2a78d6"/>
            <w:u w:val="single"/>
          </w:rPr>
          <w:t>https://doi.org/10.1016/j.ijhcs.2008.04.004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Source of the IEQ / IEQ-SF immersion questionnaire.</w:t>
      </w:r>
    </w:p>
    <w:p>
      <w:pPr>
        <w:spacing w:after="40"/>
      </w:pPr>
      <w:r>
        <w:rPr>
          <w:b/>
        </w:rPr>
        <w:t xml:space="preserve">28. </w:t>
      </w:r>
      <w:r>
        <w:rPr>
          <w:b/>
        </w:rPr>
        <w:t>Carpinella, C.M., Wyman, A.B., Perez, M.A., Stroessner, S.J. (2017). "RoSAS." HRI 2017.</w:t>
      </w:r>
    </w:p>
    <w:p>
      <w:pPr>
        <w:spacing w:after="40"/>
        <w:ind w:left="360"/>
      </w:pPr>
      <w:hyperlink r:id="rId35">
        <w:r>
          <w:rPr>
            <w:color w:val="2a78d6"/>
            <w:u w:val="single"/>
          </w:rPr>
          <w:t>https://doi.org/10.1145/2909824.3020208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Robotic Social Attributes Scale — an alternative/supplementary instrument to Godspeed.</w:t>
      </w:r>
    </w:p>
    <w:p>
      <w:pPr>
        <w:spacing w:after="40"/>
      </w:pPr>
      <w:r>
        <w:rPr>
          <w:b/>
        </w:rPr>
        <w:t xml:space="preserve">29. </w:t>
      </w:r>
      <w:r>
        <w:rPr>
          <w:b/>
        </w:rPr>
        <w:t>Kennedy, R.S., Lane, N.E., Berbaum, K.S., Lilienthal, M.G. (1993). "Simulator Sickness Questionnaire." Int J Aviation Psychology, 3(3).</w:t>
      </w:r>
    </w:p>
    <w:p>
      <w:pPr>
        <w:spacing w:after="40"/>
        <w:ind w:left="360"/>
      </w:pPr>
      <w:hyperlink r:id="rId36">
        <w:r>
          <w:rPr>
            <w:color w:val="2a78d6"/>
            <w:u w:val="single"/>
          </w:rPr>
          <w:t>https://doi.org/10.1207/s15327108ijap0303_3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The VR safety/comfort control instrument (SSQ).</w:t>
      </w:r>
    </w:p>
    <w:p>
      <w:pPr>
        <w:spacing w:after="40"/>
      </w:pPr>
      <w:r>
        <w:rPr>
          <w:b/>
        </w:rPr>
        <w:t xml:space="preserve">30. </w:t>
      </w:r>
      <w:r>
        <w:rPr>
          <w:b/>
        </w:rPr>
        <w:t>Hart, S.G., Staveland, L.E. (1988). NASA-TLX chapter.</w:t>
      </w:r>
    </w:p>
    <w:p>
      <w:pPr>
        <w:spacing w:after="40"/>
        <w:ind w:left="360"/>
      </w:pPr>
      <w:hyperlink r:id="rId37">
        <w:r>
          <w:rPr>
            <w:color w:val="2a78d6"/>
            <w:u w:val="single"/>
          </w:rPr>
          <w:t>https://doi.org/10.1016/S0166-4115(08)62386-9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The cognitive-workload instrument the player-experience battery includes.</w:t>
      </w:r>
    </w:p>
    <w:p>
      <w:pPr>
        <w:spacing w:after="40"/>
      </w:pPr>
      <w:r>
        <w:rPr>
          <w:b/>
        </w:rPr>
        <w:t xml:space="preserve">31. </w:t>
      </w:r>
      <w:r>
        <w:rPr>
          <w:b/>
        </w:rPr>
        <w:t>Harris, D.J., Wilson, M.R., Vine, S.J. (2020). "SIM-TLX." Virtual Reality, 24.</w:t>
      </w:r>
    </w:p>
    <w:p>
      <w:pPr>
        <w:spacing w:after="40"/>
        <w:ind w:left="360"/>
      </w:pPr>
      <w:hyperlink r:id="rId38">
        <w:r>
          <w:rPr>
            <w:color w:val="2a78d6"/>
            <w:u w:val="single"/>
          </w:rPr>
          <w:t>https://doi.org/10.1007/s10055-019-00422-9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The actual instrument the "Workload" tab (SimTlxTab.jsx) implements.</w:t>
      </w:r>
    </w:p>
    <w:p>
      <w:pPr>
        <w:spacing w:after="40"/>
      </w:pPr>
      <w:r>
        <w:rPr>
          <w:b/>
        </w:rPr>
        <w:t xml:space="preserve">32. </w:t>
      </w:r>
      <w:r>
        <w:rPr>
          <w:b/>
        </w:rPr>
        <w:t>Harris, D.J., Bird, K.J., Smart, P.A., Wilson, M.R., Vine, S.J. (2020). Frontiers in Psychology, art. 605.</w:t>
      </w:r>
    </w:p>
    <w:p>
      <w:pPr>
        <w:spacing w:after="40"/>
        <w:ind w:left="360"/>
      </w:pPr>
      <w:hyperlink r:id="rId39">
        <w:r>
          <w:rPr>
            <w:color w:val="2a78d6"/>
            <w:u w:val="single"/>
          </w:rPr>
          <w:t>https://pmc.ncbi.nlm.nih.gov/articles/PMC7136518/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The four-fidelity-subtype (physical/psychological/affective/ergonomic) framework, and the key "face validity ≠ construct validity" argument the SME-review plan (Part B5) is built on.</w:t>
      </w:r>
    </w:p>
    <w:p>
      <w:pPr>
        <w:pStyle w:val="Heading1"/>
      </w:pPr>
      <w:r>
        <w:t>Group 4 — NPC responder-selection technique grounding</w:t>
      </w:r>
    </w:p>
    <w:p>
      <w:r>
        <w:rPr>
          <w:i/>
        </w:rPr>
        <w:t>(backs MODULE2_SELECTION_LITERATURE_JUSTIFICATION.md — the NPCSelector weighted-scoring defence)</w:t>
      </w:r>
    </w:p>
    <w:p>
      <w:pPr>
        <w:spacing w:after="40"/>
      </w:pPr>
      <w:r>
        <w:rPr>
          <w:b/>
        </w:rPr>
        <w:t xml:space="preserve">33. </w:t>
      </w:r>
      <w:r>
        <w:rPr>
          <w:b/>
        </w:rPr>
        <w:t>Mark, D. (2009). Behavioral Mathematics for Game AI.</w:t>
      </w:r>
    </w:p>
    <w:p>
      <w:pPr>
        <w:spacing w:after="40"/>
        <w:ind w:left="360"/>
      </w:pPr>
      <w:hyperlink r:id="rId40">
        <w:r>
          <w:rPr>
            <w:color w:val="2a78d6"/>
            <w:u w:val="single"/>
          </w:rPr>
          <w:t>https://archive.org/details/behavioralmathem0000mark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Foundational utility-AI text; the technique NPCSelector's scoring formula follows.</w:t>
      </w:r>
    </w:p>
    <w:p>
      <w:pPr>
        <w:spacing w:after="40"/>
      </w:pPr>
      <w:r>
        <w:rPr>
          <w:b/>
        </w:rPr>
        <w:t xml:space="preserve">34. </w:t>
      </w:r>
      <w:r>
        <w:rPr>
          <w:b/>
        </w:rPr>
        <w:t>Dill, K. &amp; Martin, L. (2011). "A Game AI Approach to Autonomous Control of Virtual Characters." I/ITSEC.</w:t>
      </w:r>
    </w:p>
    <w:p>
      <w:pPr>
        <w:spacing w:after="40"/>
        <w:ind w:left="360"/>
      </w:pPr>
      <w:hyperlink r:id="rId41">
        <w:r>
          <w:rPr>
            <w:color w:val="2a78d6"/>
            <w:u w:val="single"/>
          </w:rPr>
          <w:t>https://course.ccs.neu.edu/cs5150f13/readings/dill_granny.pdf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The single most on-domain citation: utility-based AI for military-training virtual characters specifically.</w:t>
      </w:r>
    </w:p>
    <w:p>
      <w:pPr>
        <w:spacing w:after="40"/>
      </w:pPr>
      <w:r>
        <w:rPr>
          <w:b/>
        </w:rPr>
        <w:t xml:space="preserve">35. </w:t>
      </w:r>
      <w:r>
        <w:rPr>
          <w:b/>
        </w:rPr>
        <w:t>Dill, K. (2012). "Design Patterns for the Configuration of Utility-Based AI." I/ITSEC.</w:t>
      </w:r>
    </w:p>
    <w:p>
      <w:pPr>
        <w:spacing w:after="40"/>
        <w:ind w:left="360"/>
      </w:pPr>
      <w:hyperlink r:id="rId42">
        <w:r>
          <w:rPr>
            <w:color w:val="2a78d6"/>
            <w:u w:val="single"/>
          </w:rPr>
          <w:t>https://course.ccs.neu.edu/cs5150f13/readings/dill_designpatterns.pdf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Structuring/configuring the kind of scoring system NPCSelector implements.</w:t>
      </w:r>
    </w:p>
    <w:p>
      <w:pPr>
        <w:spacing w:after="40"/>
      </w:pPr>
      <w:r>
        <w:rPr>
          <w:b/>
        </w:rPr>
        <w:t xml:space="preserve">36. </w:t>
      </w:r>
      <w:r>
        <w:rPr>
          <w:b/>
        </w:rPr>
        <w:t>Lewis, M. (2015). "Choosing Effective Utility-Based Considerations." Game AI Pro 3, ch. 13.</w:t>
      </w:r>
    </w:p>
    <w:p>
      <w:pPr>
        <w:spacing w:after="40"/>
        <w:ind w:left="360"/>
      </w:pPr>
      <w:r>
        <w:rPr>
          <w:i/>
          <w:color w:val="898781"/>
        </w:rPr>
        <w:t>Book chapter — no free URL found.</w:t>
      </w:r>
    </w:p>
    <w:p>
      <w:pPr>
        <w:spacing w:after="200"/>
        <w:ind w:left="360"/>
      </w:pPr>
      <w:r>
        <w:rPr>
          <w:color w:val="52514E"/>
          <w:sz w:val="20"/>
        </w:rPr>
        <w:t>Names distance and line-of-sight, by name, as standard scoring considerations.</w:t>
      </w:r>
    </w:p>
    <w:p>
      <w:pPr>
        <w:spacing w:after="40"/>
      </w:pPr>
      <w:r>
        <w:rPr>
          <w:b/>
        </w:rPr>
        <w:t xml:space="preserve">37. </w:t>
      </w:r>
      <w:r>
        <w:rPr>
          <w:b/>
        </w:rPr>
        <w:t>Welsh, R. "Crytek's Target Tracks Perception System." Game AI Pro.</w:t>
      </w:r>
    </w:p>
    <w:p>
      <w:pPr>
        <w:spacing w:after="40"/>
        <w:ind w:left="360"/>
      </w:pPr>
      <w:r>
        <w:rPr>
          <w:i/>
          <w:color w:val="898781"/>
        </w:rPr>
        <w:t>Book chapter — no free URL found.</w:t>
      </w:r>
    </w:p>
    <w:p>
      <w:pPr>
        <w:spacing w:after="200"/>
        <w:ind w:left="360"/>
      </w:pPr>
      <w:r>
        <w:rPr>
          <w:color w:val="52514E"/>
          <w:sz w:val="20"/>
        </w:rPr>
        <w:t>Perception incorporated into target scoring in a shipped commercial engine.</w:t>
      </w:r>
    </w:p>
    <w:p>
      <w:pPr>
        <w:spacing w:after="40"/>
      </w:pPr>
      <w:r>
        <w:rPr>
          <w:b/>
        </w:rPr>
        <w:t xml:space="preserve">38. </w:t>
      </w:r>
      <w:r>
        <w:rPr>
          <w:b/>
        </w:rPr>
        <w:t>ACM Computing Surveys (2024). "A Systematic Literature Review on Multi-Robot Task Allocation."</w:t>
      </w:r>
    </w:p>
    <w:p>
      <w:pPr>
        <w:spacing w:after="40"/>
        <w:ind w:left="360"/>
      </w:pPr>
      <w:r>
        <w:rPr>
          <w:i/>
          <w:color w:val="898781"/>
        </w:rPr>
        <w:t>Paywalled DOI — not separately re-verified this pass.</w:t>
      </w:r>
    </w:p>
    <w:p>
      <w:pPr>
        <w:spacing w:after="200"/>
        <w:ind w:left="360"/>
      </w:pPr>
      <w:r>
        <w:rPr>
          <w:color w:val="52514E"/>
          <w:sz w:val="20"/>
        </w:rPr>
        <w:t>Source of the distance + capability + availability three-factor pattern the Role/State factors mirror.</w:t>
      </w:r>
    </w:p>
    <w:p>
      <w:pPr>
        <w:spacing w:after="40"/>
      </w:pPr>
      <w:r>
        <w:rPr>
          <w:b/>
        </w:rPr>
        <w:t xml:space="preserve">39. </w:t>
      </w:r>
      <w:r>
        <w:rPr>
          <w:b/>
        </w:rPr>
        <w:t>Weapon-Target Assignment problem — Wikipedia overview.</w:t>
      </w:r>
    </w:p>
    <w:p>
      <w:pPr>
        <w:spacing w:after="40"/>
        <w:ind w:left="360"/>
      </w:pPr>
      <w:hyperlink r:id="rId43">
        <w:r>
          <w:rPr>
            <w:color w:val="2a78d6"/>
            <w:u w:val="single"/>
          </w:rPr>
          <w:t>https://en.wikipedia.org/wiki/Weapon-target_assignment_problem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Military OR precedent for distance + capability-based assignment.</w:t>
      </w:r>
    </w:p>
    <w:p>
      <w:pPr>
        <w:pStyle w:val="Heading1"/>
      </w:pPr>
      <w:r>
        <w:t>Group 5 — Statistics methodology</w:t>
      </w:r>
    </w:p>
    <w:p>
      <w:r>
        <w:rPr>
          <w:i/>
        </w:rPr>
        <w:t>(backs the Friedman/Wilcoxon/Kendall's W panel in sentinels-aar/lib/stats.js and Section 6.5-6.7 of MODULE2_FULL_REPORT.md)</w:t>
      </w:r>
    </w:p>
    <w:p>
      <w:pPr>
        <w:spacing w:after="40"/>
      </w:pPr>
      <w:r>
        <w:rPr>
          <w:b/>
        </w:rPr>
        <w:t xml:space="preserve">40. </w:t>
      </w:r>
      <w:r>
        <w:rPr>
          <w:b/>
        </w:rPr>
        <w:t>Friedman, M. (1937). JASA, 32(200).</w:t>
      </w:r>
    </w:p>
    <w:p>
      <w:pPr>
        <w:spacing w:after="40"/>
        <w:ind w:left="360"/>
      </w:pPr>
      <w:hyperlink r:id="rId44">
        <w:r>
          <w:rPr>
            <w:color w:val="2a78d6"/>
            <w:u w:val="single"/>
          </w:rPr>
          <w:t>https://www.jstor.org/stable/2279372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The Friedman test itself.</w:t>
      </w:r>
    </w:p>
    <w:p>
      <w:pPr>
        <w:spacing w:after="40"/>
      </w:pPr>
      <w:r>
        <w:rPr>
          <w:b/>
        </w:rPr>
        <w:t xml:space="preserve">41. </w:t>
      </w:r>
      <w:r>
        <w:rPr>
          <w:b/>
        </w:rPr>
        <w:t>Wilcoxon, F. (1945). Biometrics Bulletin, 1(6).</w:t>
      </w:r>
    </w:p>
    <w:p>
      <w:pPr>
        <w:spacing w:after="40"/>
        <w:ind w:left="360"/>
      </w:pPr>
      <w:hyperlink r:id="rId45">
        <w:r>
          <w:rPr>
            <w:color w:val="2a78d6"/>
            <w:u w:val="single"/>
          </w:rPr>
          <w:t>https://www.jstor.org/stable/3001968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The Wilcoxon signed-rank test itself.</w:t>
      </w:r>
    </w:p>
    <w:p>
      <w:pPr>
        <w:spacing w:after="40"/>
      </w:pPr>
      <w:r>
        <w:rPr>
          <w:b/>
        </w:rPr>
        <w:t xml:space="preserve">42. </w:t>
      </w:r>
      <w:r>
        <w:rPr>
          <w:b/>
        </w:rPr>
        <w:t>Kendall, M.G. &amp; Babington Smith, B. (1939). Annals of Mathematical Statistics, 10(3).</w:t>
      </w:r>
    </w:p>
    <w:p>
      <w:pPr>
        <w:spacing w:after="40"/>
        <w:ind w:left="360"/>
      </w:pPr>
      <w:hyperlink r:id="rId46">
        <w:r>
          <w:rPr>
            <w:color w:val="2a78d6"/>
            <w:u w:val="single"/>
          </w:rPr>
          <w:t>https://doi.org/10.1214/aoms/1177732186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Source of Kendall's W — the effect-size measure for the Friedman omnibus test.</w:t>
      </w:r>
    </w:p>
    <w:p>
      <w:pPr>
        <w:spacing w:after="40"/>
      </w:pPr>
      <w:r>
        <w:rPr>
          <w:b/>
        </w:rPr>
        <w:t xml:space="preserve">43. </w:t>
      </w:r>
      <w:r>
        <w:rPr>
          <w:b/>
        </w:rPr>
        <w:t>Dunn, O.J. (1961). JASA, 56(293).</w:t>
      </w:r>
    </w:p>
    <w:p>
      <w:pPr>
        <w:spacing w:after="40"/>
        <w:ind w:left="360"/>
      </w:pPr>
      <w:hyperlink r:id="rId47">
        <w:r>
          <w:rPr>
            <w:color w:val="2a78d6"/>
            <w:u w:val="single"/>
          </w:rPr>
          <w:t>https://doi.org/10.1080/01621459.1961.10482090</w:t>
        </w:r>
      </w:hyperlink>
    </w:p>
    <w:p>
      <w:pPr>
        <w:spacing w:after="200"/>
        <w:ind w:left="360"/>
      </w:pPr>
      <w:r>
        <w:rPr>
          <w:color w:val="52514E"/>
          <w:sz w:val="20"/>
        </w:rPr>
        <w:t>Source of the Bonferroni correction used on the 3 pairwise post-hoc comparisons.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0B0B0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amedevs.org/uploads/three-states-plan-ai-of-fear.pdf" TargetMode="External"/><Relationship Id="rId10" Type="http://schemas.openxmlformats.org/officeDocument/2006/relationships/hyperlink" Target="https://www.globalsecurity.org/military/library/report/call/call_96-3_cpt2bd2.htm" TargetMode="External"/><Relationship Id="rId11" Type="http://schemas.openxmlformats.org/officeDocument/2006/relationships/hyperlink" Target="https://www.globalsecurity.org/military/library/policy/army/fm/3-21-71/index.html" TargetMode="External"/><Relationship Id="rId12" Type="http://schemas.openxmlformats.org/officeDocument/2006/relationships/hyperlink" Target="https://www.globalsecurity.org/military/library/policy/army/fm/3-06-11/ch9.htm" TargetMode="External"/><Relationship Id="rId13" Type="http://schemas.openxmlformats.org/officeDocument/2006/relationships/hyperlink" Target="https://www.globalsecurity.org/military/library/policy/army/fm/7-8/index.html" TargetMode="External"/><Relationship Id="rId14" Type="http://schemas.openxmlformats.org/officeDocument/2006/relationships/hyperlink" Target="https://www.nist.gov/glossary-term/26441" TargetMode="External"/><Relationship Id="rId15" Type="http://schemas.openxmlformats.org/officeDocument/2006/relationships/hyperlink" Target="https://doi.org/10.1016/j.wem.2014.02.006" TargetMode="External"/><Relationship Id="rId16" Type="http://schemas.openxmlformats.org/officeDocument/2006/relationships/hyperlink" Target="http://www.sarmath.com/terms/initial-planning-point" TargetMode="External"/><Relationship Id="rId17" Type="http://schemas.openxmlformats.org/officeDocument/2006/relationships/hyperlink" Target="https://dupuyinstitute.org/2018/04/18/breakpoints-in-u-s-army-doctrine/" TargetMode="External"/><Relationship Id="rId18" Type="http://schemas.openxmlformats.org/officeDocument/2006/relationships/hyperlink" Target="https://en.wikipedia.org/wiki/Suppressive_fire" TargetMode="External"/><Relationship Id="rId19" Type="http://schemas.openxmlformats.org/officeDocument/2006/relationships/hyperlink" Target="https://www.diva-portal.org/smash/record.jsf?pid=diva2:1972169" TargetMode="External"/><Relationship Id="rId20" Type="http://schemas.openxmlformats.org/officeDocument/2006/relationships/hyperlink" Target="https://ieeexplore.ieee.org/document/5247069/" TargetMode="External"/><Relationship Id="rId21" Type="http://schemas.openxmlformats.org/officeDocument/2006/relationships/hyperlink" Target="https://link.springer.com/chapter/10.1007/978-3-319-59147-6_58" TargetMode="External"/><Relationship Id="rId22" Type="http://schemas.openxmlformats.org/officeDocument/2006/relationships/hyperlink" Target="https://link.springer.com/chapter/10.1007/11840541_54" TargetMode="External"/><Relationship Id="rId23" Type="http://schemas.openxmlformats.org/officeDocument/2006/relationships/hyperlink" Target="https://www.frontiersin.org/journals/computer-science/articles/10.3389/fcomp.2021.774763/full" TargetMode="External"/><Relationship Id="rId24" Type="http://schemas.openxmlformats.org/officeDocument/2006/relationships/hyperlink" Target="https://link.springer.com/chapter/10.1007/978-3-642-32323-2_9" TargetMode="External"/><Relationship Id="rId25" Type="http://schemas.openxmlformats.org/officeDocument/2006/relationships/hyperlink" Target="https://arxiv.org/abs/2501.00078" TargetMode="External"/><Relationship Id="rId26" Type="http://schemas.openxmlformats.org/officeDocument/2006/relationships/hyperlink" Target="https://arxiv.org/abs/2408.13934" TargetMode="External"/><Relationship Id="rId27" Type="http://schemas.openxmlformats.org/officeDocument/2006/relationships/hyperlink" Target="https://www.mdpi.com/1999-4893/16/7/323" TargetMode="External"/><Relationship Id="rId28" Type="http://schemas.openxmlformats.org/officeDocument/2006/relationships/hyperlink" Target="https://doi.org/10.1007/s12369-008-0001-3" TargetMode="External"/><Relationship Id="rId29" Type="http://schemas.openxmlformats.org/officeDocument/2006/relationships/hyperlink" Target="https://doi.org/10.9781/ijimai.2017.09.001" TargetMode="External"/><Relationship Id="rId30" Type="http://schemas.openxmlformats.org/officeDocument/2006/relationships/hyperlink" Target="https://doi.org/10.1007/978-3-540-89350-9_6" TargetMode="External"/><Relationship Id="rId31" Type="http://schemas.openxmlformats.org/officeDocument/2006/relationships/hyperlink" Target="https://doi.org/10.1016/j.ijhcs.2018.05.003" TargetMode="External"/><Relationship Id="rId32" Type="http://schemas.openxmlformats.org/officeDocument/2006/relationships/hyperlink" Target="https://doi.org/10.1145/2967934.2968095" TargetMode="External"/><Relationship Id="rId33" Type="http://schemas.openxmlformats.org/officeDocument/2006/relationships/hyperlink" Target="https://pure.tue.nl/ws/files/21666952/Fuga_d3.3.pdf" TargetMode="External"/><Relationship Id="rId34" Type="http://schemas.openxmlformats.org/officeDocument/2006/relationships/hyperlink" Target="https://doi.org/10.1016/j.ijhcs.2008.04.004" TargetMode="External"/><Relationship Id="rId35" Type="http://schemas.openxmlformats.org/officeDocument/2006/relationships/hyperlink" Target="https://doi.org/10.1145/2909824.3020208" TargetMode="External"/><Relationship Id="rId36" Type="http://schemas.openxmlformats.org/officeDocument/2006/relationships/hyperlink" Target="https://doi.org/10.1207/s15327108ijap0303_3" TargetMode="External"/><Relationship Id="rId37" Type="http://schemas.openxmlformats.org/officeDocument/2006/relationships/hyperlink" Target="https://doi.org/10.1016/S0166-4115(08)62386-9" TargetMode="External"/><Relationship Id="rId38" Type="http://schemas.openxmlformats.org/officeDocument/2006/relationships/hyperlink" Target="https://doi.org/10.1007/s10055-019-00422-9" TargetMode="External"/><Relationship Id="rId39" Type="http://schemas.openxmlformats.org/officeDocument/2006/relationships/hyperlink" Target="https://pmc.ncbi.nlm.nih.gov/articles/PMC7136518/" TargetMode="External"/><Relationship Id="rId40" Type="http://schemas.openxmlformats.org/officeDocument/2006/relationships/hyperlink" Target="https://archive.org/details/behavioralmathem0000mark" TargetMode="External"/><Relationship Id="rId41" Type="http://schemas.openxmlformats.org/officeDocument/2006/relationships/hyperlink" Target="https://course.ccs.neu.edu/cs5150f13/readings/dill_granny.pdf" TargetMode="External"/><Relationship Id="rId42" Type="http://schemas.openxmlformats.org/officeDocument/2006/relationships/hyperlink" Target="https://course.ccs.neu.edu/cs5150f13/readings/dill_designpatterns.pdf" TargetMode="External"/><Relationship Id="rId43" Type="http://schemas.openxmlformats.org/officeDocument/2006/relationships/hyperlink" Target="https://en.wikipedia.org/wiki/Weapon-target_assignment_problem" TargetMode="External"/><Relationship Id="rId44" Type="http://schemas.openxmlformats.org/officeDocument/2006/relationships/hyperlink" Target="https://www.jstor.org/stable/2279372" TargetMode="External"/><Relationship Id="rId45" Type="http://schemas.openxmlformats.org/officeDocument/2006/relationships/hyperlink" Target="https://www.jstor.org/stable/3001968" TargetMode="External"/><Relationship Id="rId46" Type="http://schemas.openxmlformats.org/officeDocument/2006/relationships/hyperlink" Target="https://doi.org/10.1214/aoms/1177732186" TargetMode="External"/><Relationship Id="rId47" Type="http://schemas.openxmlformats.org/officeDocument/2006/relationships/hyperlink" Target="https://doi.org/10.1080/01621459.1961.10482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