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B0B0B"/>
        </w:rPr>
        <w:t>Module 2 — Evaluation Briefing</w:t>
      </w:r>
    </w:p>
    <w:p>
      <w:r>
        <w:rPr>
          <w:b/>
        </w:rPr>
        <w:t>A living reference document — how to explain Module 2 (NPC behaviour &amp; coordination) to your supervisor and evaluators, with the evidence behind every claim. Last updated 2026-08-07.</w:t>
      </w:r>
    </w:p>
    <w:p>
      <w:r>
        <w:t>This document consolidates everything established across the ablation study, the weight-sensitivity study, the literature grounding, the real human evaluation results, and the recent behaviour fixes — organised in the order you would actually present it, not the order it was discovered. Update this file as new findings come in; it is designed to grow with the project rather than be rewritten each time.</w:t>
      </w:r>
    </w:p>
    <w:p>
      <w:r>
        <w:rPr>
          <w:color w:val="898781"/>
        </w:rPr>
        <w:t>────────────────────────────────────────────────────────────</w:t>
      </w:r>
    </w:p>
    <w:p>
      <w:pPr>
        <w:pStyle w:val="Heading1"/>
      </w:pPr>
      <w:r>
        <w:rPr>
          <w:color w:val="0B0B0B"/>
        </w:rPr>
        <w:t>1. What Module 2 Is — the one-minute pitch</w:t>
      </w:r>
    </w:p>
    <w:p>
      <w:r>
        <w:rPr>
          <w:b/>
        </w:rPr>
        <w:t>"Module 2 is the enemy AI — a squad of terrorists that reacts, searches, and coordinates like a real (if not elite) hostile force, instead of standing still or shooting on sight."</w:t>
      </w:r>
    </w:p>
    <w:p>
      <w:r>
        <w:t>This framing matters because it tells an evaluator what standard to judge the work against: not "is it hard to beat," but "does it behave believably." Everything in this document is evidence for that specific claim.</w:t>
      </w:r>
    </w:p>
    <w:p>
      <w:pPr>
        <w:pStyle w:val="Heading2"/>
      </w:pPr>
      <w:r>
        <w:rPr>
          <w:color w:val="0B0B0B"/>
        </w:rPr>
        <w:t>The problem that motivated the redesign</w:t>
      </w:r>
    </w:p>
    <w:p>
      <w:r>
        <w:t>The starting point had a specific, concrete bug: a terrorist who saw the trainee and then lost sight of them would simply abandon the chase and return to its post — even if a squadmate was standing right there. Real react-to-contact doctrine says the opposite: a confirmed sighting should commit the whole squad to a coordinated pursuit, not a private memory that expires. That gap — and the U.S. Army doctrine that contradicts it — is the origin story for the whole squad-coordination architecture (see Section 4).</w:t>
      </w:r>
    </w:p>
    <w:p>
      <w:pPr>
        <w:pStyle w:val="Heading1"/>
      </w:pPr>
      <w:r>
        <w:rPr>
          <w:color w:val="0B0B0B"/>
        </w:rPr>
        <w:t>2. How It Is Built — conceptual architecture (no code)</w:t>
      </w:r>
    </w:p>
    <w:p>
      <w:pPr>
        <w:pStyle w:val="ListBullet"/>
      </w:pPr>
      <w:r>
        <w:t>Individually, each terrorist runs a small finite-state machine: Idle → Suspicious → Alert → Engage → TakeCover / Retreat → Down.</w:t>
      </w:r>
    </w:p>
    <w:p>
      <w:pPr>
        <w:pStyle w:val="ListBullet"/>
      </w:pPr>
      <w:r>
        <w:t>Above the individual level, a squad layer holds SHARED knowledge — where the trainee was last seen, whether a hunt is currently active — so the group acts as a team instead of isolated agents with private memories.</w:t>
      </w:r>
    </w:p>
    <w:p>
      <w:pPr>
        <w:pStyle w:val="ListBullet"/>
      </w:pPr>
      <w:r>
        <w:t>When an event needs exactly one responder (e.g. "who investigates this gunshot?"), a selection formula (NPCSelector) scores every eligible NPC on four factors — distance, role, how ready they currently are, and whether they can actually see the event — and picks the highest scorer.</w:t>
      </w:r>
    </w:p>
    <w:p>
      <w:r>
        <w:t>That is the whole architecture in three sentences. Depth beyond this belongs in Q&amp;A answers, not the opening pitch — see Section 9.</w:t>
      </w:r>
    </w:p>
    <w:p>
      <w:pPr>
        <w:pStyle w:val="Heading1"/>
      </w:pPr>
      <w:r>
        <w:rPr>
          <w:color w:val="0B0B0B"/>
        </w:rPr>
        <w:t>3. Inputs, Processing &amp; Outputs — the full pipeline</w:t>
      </w:r>
    </w:p>
    <w:p>
      <w:r>
        <w:t>How data flows through Module 2, end to end — what it receives, how it turns that into a decision, and what it produces. Every step below cites the actual file and method it lives in.</w:t>
      </w:r>
    </w:p>
    <w:p>
      <w:pPr>
        <w:pStyle w:val="Heading2"/>
      </w:pPr>
      <w:r>
        <w:rPr>
          <w:color w:val="0B0B0B"/>
        </w:rPr>
        <w:t>3.1 Inputs — what Module 2 receives</w:t>
      </w:r>
    </w:p>
    <w:p>
      <w:pPr>
        <w:pStyle w:val="ListBullet"/>
      </w:pPr>
      <w:r>
        <w:t>Scenario setup, from Module 1 — SceneBuilder.cs spawns each NPC with its role (Guard/Roamer/Leader), squad ID, AI level, and starting position, read from the generated scenario.</w:t>
      </w:r>
    </w:p>
    <w:p>
      <w:pPr>
        <w:pStyle w:val="ListBullet"/>
      </w:pPr>
      <w:r>
        <w:t>Live player state, every frame — the player's position/camera, used as the aim target and for line-of-sight checks.</w:t>
      </w:r>
    </w:p>
    <w:p>
      <w:pPr>
        <w:pStyle w:val="ListBullet"/>
      </w:pPr>
      <w:r>
        <w:t>World/physics data — wall/door raycasts (Physics.Raycast in PerceptionController.cs) and the baked NavMesh for pathing.</w:t>
      </w:r>
    </w:p>
    <w:p>
      <w:pPr>
        <w:pStyle w:val="ListBullet"/>
      </w:pPr>
      <w:r>
        <w:t>Events from other systems — ShotFired, DoorOpened, RoomBreached, HostageContactStarted and others, delivered through the shared event bus, EventManager.cs.</w:t>
      </w:r>
    </w:p>
    <w:p>
      <w:pPr>
        <w:pStyle w:val="ListBullet"/>
      </w:pPr>
      <w:r>
        <w:t>Tunable numbers — hearingRange, targetConfirmTime, preferredStandoffDistance, and the four NPCSelector scoring weights (NPCSelector.cs lines 51-60) — the dials the whole system runs on.</w:t>
      </w:r>
    </w:p>
    <w:p>
      <w:pPr>
        <w:pStyle w:val="Heading2"/>
      </w:pPr>
      <w:r>
        <w:rPr>
          <w:color w:val="0B0B0B"/>
        </w:rPr>
        <w:t>3.2 Processing — how an input becomes a decision</w:t>
      </w:r>
    </w:p>
    <w:p>
      <w:pPr>
        <w:pStyle w:val="ListNumber"/>
      </w:pPr>
      <w:r>
        <w:t>Perception turns raw world data into an event. PerceptionController.cs's PerceptionTick() runs every 0.2s per NPC: checks distance, field-of-view, then a line-of-sight raycast (CheckVisibility()). Newly visible -&gt; PlayerSeen; sustained sight -&gt; TargetConfirmed; sustained loss -&gt; PlayerLost.</w:t>
      </w:r>
    </w:p>
    <w:p>
      <w:pPr>
        <w:pStyle w:val="ListNumber"/>
      </w:pPr>
      <w:r>
        <w:t>Each NPC's own state machine reacts. TerroristController.cs's HandleDetection() and RespondTo() move the NPC through its states via TransitionTo(): Idle -&gt; Suspicious -&gt; Alert -&gt; Engage -&gt; TakeCover/Retreat -&gt; Down.</w:t>
      </w:r>
    </w:p>
    <w:p>
      <w:pPr>
        <w:pStyle w:val="ListNumber"/>
      </w:pPr>
      <w:r>
        <w:t>NPCSelector picks the one responder, when only one should act. EventManager.cs's RouteToNPCs() collects every eligible NPC (CanRespond() true) and hands them to NPCSelector.SelectBest(), which scores distance/role/readiness/LOS and returns the highest scorer.</w:t>
      </w:r>
    </w:p>
    <w:p>
      <w:pPr>
        <w:pStyle w:val="ListNumber"/>
      </w:pPr>
      <w:r>
        <w:t>Squad coordination updates the shared blackboard. Squad.cs's ReportConfirmedContact() writes a confirmed sighting to shared state; BeginHunt() and FanOutSearch() dispatch squad members via each NPC's DispatchToInvestigate().</w:t>
      </w:r>
    </w:p>
    <w:p>
      <w:pPr>
        <w:pStyle w:val="ListNumber"/>
      </w:pPr>
      <w:r>
        <w:t>Movement and combat execution turn the decision into physical action. NavMeshAgent.SetDestination() moves the body; CombatPositionRoutine() governs firing-line spacing; NpcShooterRaycast fires the weapon and resolves hit/miss.</w:t>
      </w:r>
    </w:p>
    <w:p>
      <w:pPr>
        <w:pStyle w:val="ListNumber"/>
      </w:pPr>
      <w:r>
        <w:t>The hostage runs a parallel process. HostageController.cs listens to the same event bus and runs its own FSM, with MisreadsNonThreat() (driven by the personality's ThreatDiscrimination value) deciding whether a stimulus is read correctly at four separate decision points.</w:t>
      </w:r>
    </w:p>
    <w:p>
      <w:pPr>
        <w:pStyle w:val="Heading2"/>
      </w:pPr>
      <w:r>
        <w:rPr>
          <w:color w:val="0B0B0B"/>
        </w:rPr>
        <w:t>3.3 Outputs — what Module 2 produces</w:t>
      </w:r>
    </w:p>
    <w:p>
      <w:pPr>
        <w:pStyle w:val="ListBullet"/>
      </w:pPr>
      <w:r>
        <w:t>Observable in-game behaviour — NPCs reacting, taking cover, converging, firing; hostages fleeing or following. The thing the trainee actually experiences.</w:t>
      </w:r>
    </w:p>
    <w:p>
      <w:pPr>
        <w:pStyle w:val="ListBullet"/>
      </w:pPr>
      <w:r>
        <w:t>Damage to the player — shots fired via NpcShooterRaycast connect to PlayerHealth.</w:t>
      </w:r>
    </w:p>
    <w:p>
      <w:pPr>
        <w:pStyle w:val="ListBullet"/>
      </w:pPr>
      <w:r>
        <w:t>Telemetry events, for Module 4 — TelemetryLogger.LogStateChange() on every FSM transition, LogDecision() on every NPCSelector pick, LogDirective() on every leader order. This is the raw material every evaluation (ablation charts, sensitivity charts, the significance tests) is built from.</w:t>
      </w:r>
    </w:p>
    <w:p>
      <w:pPr>
        <w:pStyle w:val="ListBullet"/>
      </w:pPr>
      <w:r>
        <w:t>Mission-outcome signals — hostage rescued/killed, terrorists down, mission success/fail — consumed downstream by Module 4's scoring.</w:t>
      </w:r>
    </w:p>
    <w:p>
      <w:pPr>
        <w:pStyle w:val="ListBullet"/>
      </w:pPr>
      <w:r>
        <w:t>Derived events fed back in — e.g. a terrorist opening fire raises a new GunshotHeard event that other terrorists and the hostage react to. Module 2 is not a straight pipeline; some of its own outputs become next-tick inputs.</w:t>
      </w:r>
    </w:p>
    <w:p>
      <w:r>
        <w:rPr>
          <w:b/>
        </w:rPr>
        <w:t>The whole thing in one line: Input (player position + world geometry + scenario setup) -&gt; Perception (raw data becomes an event) -&gt; Individual FSM (one NPC decides its own state) -&gt; Selector (picks the one best responder) -&gt; Squad blackboard (shares knowledge, coordinates a search) -&gt; Movement/combat (executes it physically) -&gt; Output (visible behaviour + damage + a full telemetry trail Module 4 runs on).</w:t>
      </w:r>
    </w:p>
    <w:p>
      <w:pPr>
        <w:pStyle w:val="Heading1"/>
      </w:pPr>
      <w:r>
        <w:rPr>
          <w:color w:val="0B0B0B"/>
        </w:rPr>
        <w:t>4. Why It Is Built This Way — literature grounding, summarised</w:t>
      </w:r>
    </w:p>
    <w:p>
      <w:r>
        <w:t>The two-layer structure (individual behaviour under squad coordination) mirrors F.E.A.R.'s well-known enemy AI (Orkin, 2006). The react-to-contact and shared-sighting behaviour follows actual U.S. Army battle-drill doctrine (CALL Handbook 96-3; FM 3-21.71). The expanding-search-on-lost-contact model follows peer-reviewed wilderness search-and-rescue theory (Phillips et al., 2014) — anchor on the point last seen, grow the search radius with elapsed time. The responder-selection technique is standard utility-based AI (Mark, 2009; Dill, 2010/2011/2012), with two citations specifically about virtual characters for military training simulators — the same domain as this project. Full citations, verified working links, and what each source backs are in Section 10 (Bibliography).</w:t>
      </w:r>
    </w:p>
    <w:p>
      <w:pPr>
        <w:pStyle w:val="Heading1"/>
      </w:pPr>
      <w:r>
        <w:rPr>
          <w:color w:val="0B0B0B"/>
        </w:rPr>
        <w:t>5. The Responder-Selection Formula — full justification</w:t>
      </w:r>
    </w:p>
    <w:p>
      <w:pPr>
        <w:pStyle w:val="Heading2"/>
      </w:pPr>
      <w:r>
        <w:rPr>
          <w:color w:val="0B0B0B"/>
        </w:rPr>
        <w:t>5.1 What it is</w:t>
      </w:r>
    </w:p>
    <w:p>
      <w:r>
        <w:t>NPCSelector.SelectBest scores every eligible NPC on four weighted factors and picks the highest total:</w:t>
      </w:r>
    </w:p>
    <w:p>
      <w:pPr>
        <w:ind w:left="504"/>
      </w:pPr>
      <w:r>
        <w:rPr>
          <w:rFonts w:ascii="Consolas" w:hAnsi="Consolas"/>
          <w:i/>
          <w:color w:val="52514E"/>
        </w:rPr>
        <w:t>score = (1/distance) x DistanceWeight</w:t>
      </w:r>
    </w:p>
    <w:p>
      <w:pPr>
        <w:ind w:left="504"/>
      </w:pPr>
      <w:r>
        <w:rPr>
          <w:rFonts w:ascii="Segoe UI" w:hAnsi="Segoe UI"/>
          <w:i/>
          <w:color w:val="52514E"/>
        </w:rPr>
        <w:t xml:space="preserve">      + roleBonus[role][eventType] x RoleWeight</w:t>
      </w:r>
    </w:p>
    <w:p>
      <w:pPr>
        <w:ind w:left="504"/>
      </w:pPr>
      <w:r>
        <w:rPr>
          <w:rFonts w:ascii="Segoe UI" w:hAnsi="Segoe UI"/>
          <w:i/>
          <w:color w:val="52514E"/>
        </w:rPr>
        <w:t xml:space="preserve">      + stateReadiness              x StateWeight</w:t>
      </w:r>
    </w:p>
    <w:p>
      <w:pPr>
        <w:ind w:left="504"/>
      </w:pPr>
      <w:r>
        <w:rPr>
          <w:rFonts w:ascii="Segoe UI" w:hAnsi="Segoe UI"/>
          <w:i/>
          <w:color w:val="52514E"/>
        </w:rPr>
        <w:t xml:space="preserve">      + losBonus                    x LosWeight</w:t>
      </w:r>
    </w:p>
    <w:p>
      <w:pPr>
        <w:ind w:left="504"/>
      </w:pPr>
      <w:r>
        <w:rPr>
          <w:rFonts w:ascii="Segoe UI" w:hAnsi="Segoe UI"/>
          <w:i/>
          <w:color w:val="52514E"/>
        </w:rPr>
      </w:r>
    </w:p>
    <w:p>
      <w:pPr>
        <w:ind w:left="504"/>
      </w:pPr>
      <w:r>
        <w:rPr>
          <w:rFonts w:ascii="Consolas" w:hAnsi="Consolas"/>
          <w:i/>
          <w:color w:val="52514E"/>
        </w:rPr>
        <w:t>Project defaults: DistanceWeight=2.0, RoleWeight=1.0, StateWeight=1.0, LosWeight=1.0</w:t>
      </w:r>
    </w:p>
    <w:p>
      <w:pPr>
        <w:ind w:left="504"/>
      </w:pPr>
      <w:r>
        <w:rPr>
          <w:rFonts w:ascii="Consolas" w:hAnsi="Consolas"/>
          <w:i/>
          <w:color w:val="52514E"/>
        </w:rPr>
        <w:t>Role bonuses: Guard+RoomBreached=3.0, Roamer+GunshotHeard=2.0, Leader+AllyDownSeen=1.5</w:t>
      </w:r>
    </w:p>
    <w:p>
      <w:r>
        <w:t>No published source specifies this exact four-factor combination or these exact numbers — that combination is this project's own design. What IS well-grounded is the technique itself (weighted multi-factor scoring) and each individual factor, matched independently across three literatures: game-AI utility theory, multi-robot task allocation, and military/emergency dispatch operations research (Section 10, Group 4).</w:t>
      </w:r>
    </w:p>
    <w:p>
      <w:pPr>
        <w:pStyle w:val="Heading2"/>
      </w:pPr>
      <w:r>
        <w:rPr>
          <w:color w:val="0B0B0B"/>
        </w:rPr>
        <w:t>5.2 Ablation study — does each factor actually matter?</w:t>
      </w:r>
    </w:p>
    <w:p>
      <w:r>
        <w:t>Method: the real NPCSelector was run live inside Unity, switching each of the four factors fully OFF one at a time, across 250 real selection decisions (50 gunshot events x 5 modes: Full, NoDistance, NoRole, NoState, NoLOS), and comparing each ablated mode against the full formula on the same events.</w:t>
      </w:r>
    </w:p>
    <w:p>
      <w:pPr>
        <w:jc w:val="center"/>
      </w:pPr>
      <w:r>
        <w:drawing>
          <wp:inline xmlns:a="http://schemas.openxmlformats.org/drawingml/2006/main" xmlns:pic="http://schemas.openxmlformats.org/drawingml/2006/picture">
            <wp:extent cx="5486400" cy="2939143"/>
            <wp:docPr id="1" name="Picture 1"/>
            <wp:cNvGraphicFramePr>
              <a:graphicFrameLocks noChangeAspect="1"/>
            </wp:cNvGraphicFramePr>
            <a:graphic>
              <a:graphicData uri="http://schemas.openxmlformats.org/drawingml/2006/picture">
                <pic:pic>
                  <pic:nvPicPr>
                    <pic:cNvPr id="0" name="fig_ablation_1_role_distribution.png"/>
                    <pic:cNvPicPr/>
                  </pic:nvPicPr>
                  <pic:blipFill>
                    <a:blip r:embed="rId9"/>
                    <a:stretch>
                      <a:fillRect/>
                    </a:stretch>
                  </pic:blipFill>
                  <pic:spPr>
                    <a:xfrm>
                      <a:off x="0" y="0"/>
                      <a:ext cx="5486400" cy="2939143"/>
                    </a:xfrm>
                    <a:prstGeom prst="rect"/>
                  </pic:spPr>
                </pic:pic>
              </a:graphicData>
            </a:graphic>
          </wp:inline>
        </w:drawing>
      </w:r>
    </w:p>
    <w:p>
      <w:pPr>
        <w:jc w:val="center"/>
      </w:pPr>
      <w:r>
        <w:rPr>
          <w:i/>
          <w:color w:val="898781"/>
          <w:sz w:val="18"/>
        </w:rPr>
        <w:t>Figure 1. Which role gets picked, by ablation mode. Roamers win almost every event under Full/NoDistance/NoState/NoLOS; only removing Role itself changes the picture.</w:t>
      </w:r>
    </w:p>
    <w:p/>
    <w:p>
      <w:pPr>
        <w:jc w:val="center"/>
      </w:pPr>
      <w:r>
        <w:drawing>
          <wp:inline xmlns:a="http://schemas.openxmlformats.org/drawingml/2006/main" xmlns:pic="http://schemas.openxmlformats.org/drawingml/2006/picture">
            <wp:extent cx="5486400" cy="2547257"/>
            <wp:docPr id="2" name="Picture 2"/>
            <wp:cNvGraphicFramePr>
              <a:graphicFrameLocks noChangeAspect="1"/>
            </wp:cNvGraphicFramePr>
            <a:graphic>
              <a:graphicData uri="http://schemas.openxmlformats.org/drawingml/2006/picture">
                <pic:pic>
                  <pic:nvPicPr>
                    <pic:cNvPr id="0" name="fig_ablation_2_agreement_with_full.png"/>
                    <pic:cNvPicPr/>
                  </pic:nvPicPr>
                  <pic:blipFill>
                    <a:blip r:embed="rId10"/>
                    <a:stretch>
                      <a:fillRect/>
                    </a:stretch>
                  </pic:blipFill>
                  <pic:spPr>
                    <a:xfrm>
                      <a:off x="0" y="0"/>
                      <a:ext cx="5486400" cy="2547257"/>
                    </a:xfrm>
                    <a:prstGeom prst="rect"/>
                  </pic:spPr>
                </pic:pic>
              </a:graphicData>
            </a:graphic>
          </wp:inline>
        </w:drawing>
      </w:r>
    </w:p>
    <w:p>
      <w:pPr>
        <w:jc w:val="center"/>
      </w:pPr>
      <w:r>
        <w:rPr>
          <w:i/>
          <w:color w:val="898781"/>
          <w:sz w:val="18"/>
        </w:rPr>
        <w:t>Figure 2. % of events where each ablated mode picked the same NPC as the full formula. This is the headline ranking of how much each term matters.</w:t>
      </w:r>
    </w:p>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CE6F5"/>
          </w:tcPr>
          <w:p>
            <w:r>
              <w:rPr>
                <w:b/>
                <w:sz w:val="19"/>
              </w:rPr>
              <w:t>Factor</w:t>
            </w:r>
          </w:p>
        </w:tc>
        <w:tc>
          <w:tcPr>
            <w:tcW w:type="dxa" w:w="3216"/>
            <w:shd w:val="clear" w:color="auto" w:fill="DCE6F5"/>
          </w:tcPr>
          <w:p>
            <w:r>
              <w:rPr>
                <w:b/>
                <w:sz w:val="19"/>
              </w:rPr>
              <w:t>Agreement with Full</w:t>
            </w:r>
          </w:p>
        </w:tc>
        <w:tc>
          <w:tcPr>
            <w:tcW w:type="dxa" w:w="3216"/>
            <w:shd w:val="clear" w:color="auto" w:fill="DCE6F5"/>
          </w:tcPr>
          <w:p>
            <w:r>
              <w:rPr>
                <w:b/>
                <w:sz w:val="19"/>
              </w:rPr>
              <w:t>Decisions that flip when removed</w:t>
            </w:r>
          </w:p>
        </w:tc>
      </w:tr>
      <w:tr>
        <w:tc>
          <w:tcPr>
            <w:tcW w:type="dxa" w:w="3216"/>
          </w:tcPr>
          <w:p>
            <w:r>
              <w:rPr>
                <w:sz w:val="19"/>
              </w:rPr>
              <w:t>Role</w:t>
            </w:r>
          </w:p>
        </w:tc>
        <w:tc>
          <w:tcPr>
            <w:tcW w:type="dxa" w:w="3216"/>
          </w:tcPr>
          <w:p>
            <w:r>
              <w:rPr>
                <w:sz w:val="19"/>
              </w:rPr>
              <w:t>22%</w:t>
            </w:r>
          </w:p>
        </w:tc>
        <w:tc>
          <w:tcPr>
            <w:tcW w:type="dxa" w:w="3216"/>
          </w:tcPr>
          <w:p>
            <w:r>
              <w:rPr>
                <w:sz w:val="19"/>
              </w:rPr>
              <w:t>78% — the dominant term</w:t>
            </w:r>
          </w:p>
        </w:tc>
      </w:tr>
      <w:tr>
        <w:tc>
          <w:tcPr>
            <w:tcW w:type="dxa" w:w="3216"/>
          </w:tcPr>
          <w:p>
            <w:r>
              <w:rPr>
                <w:sz w:val="19"/>
              </w:rPr>
              <w:t>State</w:t>
            </w:r>
          </w:p>
        </w:tc>
        <w:tc>
          <w:tcPr>
            <w:tcW w:type="dxa" w:w="3216"/>
          </w:tcPr>
          <w:p>
            <w:r>
              <w:rPr>
                <w:sz w:val="19"/>
              </w:rPr>
              <w:t>44%</w:t>
            </w:r>
          </w:p>
        </w:tc>
        <w:tc>
          <w:tcPr>
            <w:tcW w:type="dxa" w:w="3216"/>
          </w:tcPr>
          <w:p>
            <w:r>
              <w:rPr>
                <w:sz w:val="19"/>
              </w:rPr>
              <w:t>56% — a strong secondary factor</w:t>
            </w:r>
          </w:p>
        </w:tc>
      </w:tr>
      <w:tr>
        <w:tc>
          <w:tcPr>
            <w:tcW w:type="dxa" w:w="3216"/>
          </w:tcPr>
          <w:p>
            <w:r>
              <w:rPr>
                <w:sz w:val="19"/>
              </w:rPr>
              <w:t>LOS</w:t>
            </w:r>
          </w:p>
        </w:tc>
        <w:tc>
          <w:tcPr>
            <w:tcW w:type="dxa" w:w="3216"/>
          </w:tcPr>
          <w:p>
            <w:r>
              <w:rPr>
                <w:sz w:val="19"/>
              </w:rPr>
              <w:t>80%</w:t>
            </w:r>
          </w:p>
        </w:tc>
        <w:tc>
          <w:tcPr>
            <w:tcW w:type="dxa" w:w="3216"/>
          </w:tcPr>
          <w:p>
            <w:r>
              <w:rPr>
                <w:sz w:val="19"/>
              </w:rPr>
              <w:t>20% — real but smaller</w:t>
            </w:r>
          </w:p>
        </w:tc>
      </w:tr>
      <w:tr>
        <w:tc>
          <w:tcPr>
            <w:tcW w:type="dxa" w:w="3216"/>
          </w:tcPr>
          <w:p>
            <w:r>
              <w:rPr>
                <w:sz w:val="19"/>
              </w:rPr>
              <w:t>Distance</w:t>
            </w:r>
          </w:p>
        </w:tc>
        <w:tc>
          <w:tcPr>
            <w:tcW w:type="dxa" w:w="3216"/>
          </w:tcPr>
          <w:p>
            <w:r>
              <w:rPr>
                <w:sz w:val="19"/>
              </w:rPr>
              <w:t>94%</w:t>
            </w:r>
          </w:p>
        </w:tc>
        <w:tc>
          <w:tcPr>
            <w:tcW w:type="dxa" w:w="3216"/>
          </w:tcPr>
          <w:p>
            <w:r>
              <w:rPr>
                <w:sz w:val="19"/>
              </w:rPr>
              <w:t>6% — smallest effect in this configuration</w:t>
            </w:r>
          </w:p>
        </w:tc>
      </w:tr>
    </w:tbl>
    <w:p/>
    <w:p>
      <w:pPr>
        <w:jc w:val="center"/>
      </w:pPr>
      <w:r>
        <w:drawing>
          <wp:inline xmlns:a="http://schemas.openxmlformats.org/drawingml/2006/main" xmlns:pic="http://schemas.openxmlformats.org/drawingml/2006/picture">
            <wp:extent cx="5486400" cy="2547257"/>
            <wp:docPr id="3" name="Picture 3"/>
            <wp:cNvGraphicFramePr>
              <a:graphicFrameLocks noChangeAspect="1"/>
            </wp:cNvGraphicFramePr>
            <a:graphic>
              <a:graphicData uri="http://schemas.openxmlformats.org/drawingml/2006/picture">
                <pic:pic>
                  <pic:nvPicPr>
                    <pic:cNvPr id="0" name="fig_ablation_3_mean_distance.png"/>
                    <pic:cNvPicPr/>
                  </pic:nvPicPr>
                  <pic:blipFill>
                    <a:blip r:embed="rId11"/>
                    <a:stretch>
                      <a:fillRect/>
                    </a:stretch>
                  </pic:blipFill>
                  <pic:spPr>
                    <a:xfrm>
                      <a:off x="0" y="0"/>
                      <a:ext cx="5486400" cy="2547257"/>
                    </a:xfrm>
                    <a:prstGeom prst="rect"/>
                  </pic:spPr>
                </pic:pic>
              </a:graphicData>
            </a:graphic>
          </wp:inline>
        </w:drawing>
      </w:r>
    </w:p>
    <w:p>
      <w:pPr>
        <w:jc w:val="center"/>
      </w:pPr>
      <w:r>
        <w:rPr>
          <w:i/>
          <w:color w:val="898781"/>
          <w:sz w:val="18"/>
        </w:rPr>
        <w:t>Figure 3. Mean distance of the selected NPC, by mode. Full vs. NoDistance is the only valid pairwise comparison here (11.4m vs 12.3m) — removing distance sends a responder about 0.9m farther away on average.</w:t>
      </w:r>
    </w:p>
    <w:p/>
    <w:p>
      <w:pPr>
        <w:jc w:val="center"/>
      </w:pPr>
      <w:r>
        <w:drawing>
          <wp:inline xmlns:a="http://schemas.openxmlformats.org/drawingml/2006/main" xmlns:pic="http://schemas.openxmlformats.org/drawingml/2006/picture">
            <wp:extent cx="5486400" cy="2547257"/>
            <wp:docPr id="4" name="Picture 4"/>
            <wp:cNvGraphicFramePr>
              <a:graphicFrameLocks noChangeAspect="1"/>
            </wp:cNvGraphicFramePr>
            <a:graphic>
              <a:graphicData uri="http://schemas.openxmlformats.org/drawingml/2006/picture">
                <pic:pic>
                  <pic:nvPicPr>
                    <pic:cNvPr id="0" name="fig_ablation_4_mean_state_score.png"/>
                    <pic:cNvPicPr/>
                  </pic:nvPicPr>
                  <pic:blipFill>
                    <a:blip r:embed="rId12"/>
                    <a:stretch>
                      <a:fillRect/>
                    </a:stretch>
                  </pic:blipFill>
                  <pic:spPr>
                    <a:xfrm>
                      <a:off x="0" y="0"/>
                      <a:ext cx="5486400" cy="2547257"/>
                    </a:xfrm>
                    <a:prstGeom prst="rect"/>
                  </pic:spPr>
                </pic:pic>
              </a:graphicData>
            </a:graphic>
          </wp:inline>
        </w:drawing>
      </w:r>
    </w:p>
    <w:p>
      <w:pPr>
        <w:jc w:val="center"/>
      </w:pPr>
      <w:r>
        <w:rPr>
          <w:i/>
          <w:color w:val="898781"/>
          <w:sz w:val="18"/>
        </w:rPr>
        <w:t>Figure 4. Mean state-readiness of the selected NPC. Full (0.71) vs NoState (0.40): removing the state term nearly halves the average readiness of who gets sent.</w:t>
      </w:r>
    </w:p>
    <w:p/>
    <w:p>
      <w:pPr>
        <w:jc w:val="center"/>
      </w:pPr>
      <w:r>
        <w:drawing>
          <wp:inline xmlns:a="http://schemas.openxmlformats.org/drawingml/2006/main" xmlns:pic="http://schemas.openxmlformats.org/drawingml/2006/picture">
            <wp:extent cx="5486400" cy="2547257"/>
            <wp:docPr id="5" name="Picture 5"/>
            <wp:cNvGraphicFramePr>
              <a:graphicFrameLocks noChangeAspect="1"/>
            </wp:cNvGraphicFramePr>
            <a:graphic>
              <a:graphicData uri="http://schemas.openxmlformats.org/drawingml/2006/picture">
                <pic:pic>
                  <pic:nvPicPr>
                    <pic:cNvPr id="0" name="fig_ablation_5_los_hit_rate.png"/>
                    <pic:cNvPicPr/>
                  </pic:nvPicPr>
                  <pic:blipFill>
                    <a:blip r:embed="rId13"/>
                    <a:stretch>
                      <a:fillRect/>
                    </a:stretch>
                  </pic:blipFill>
                  <pic:spPr>
                    <a:xfrm>
                      <a:off x="0" y="0"/>
                      <a:ext cx="5486400" cy="2547257"/>
                    </a:xfrm>
                    <a:prstGeom prst="rect"/>
                  </pic:spPr>
                </pic:pic>
              </a:graphicData>
            </a:graphic>
          </wp:inline>
        </w:drawing>
      </w:r>
    </w:p>
    <w:p>
      <w:pPr>
        <w:jc w:val="center"/>
      </w:pPr>
      <w:r>
        <w:rPr>
          <w:i/>
          <w:color w:val="898781"/>
          <w:sz w:val="18"/>
        </w:rPr>
        <w:t>Figure 5. % of selections with clear line-of-sight to the event. Full (88%) vs NoLOS (68%): without the perception term, the selector sends a "blind" responder almost 3x more often.</w:t>
      </w:r>
    </w:p>
    <w:p/>
    <w:p>
      <w:r>
        <w:rPr>
          <w:b/>
        </w:rPr>
        <w:t>What this proves: every one of the four factors has real, measurable influence on the outcome — none of them is dead weight in the formula. What this does NOT prove: that including a factor makes the decision "better" or "more correct" — only that the formula's output genuinely depends on it. Whether that dependency helps or hurts training realism would need an external ground truth (an expert's judgement of who SHOULD respond), which this study does not have.</w:t>
      </w:r>
    </w:p>
    <w:p>
      <w:pPr>
        <w:pStyle w:val="Heading2"/>
      </w:pPr>
      <w:r>
        <w:rPr>
          <w:color w:val="0B0B0B"/>
        </w:rPr>
        <w:t>5.3 Weight-sensitivity study — are the chosen numbers fragile or robust?</w:t>
      </w:r>
    </w:p>
    <w:p>
      <w:r>
        <w:t>Method: each factor's weight was swept across seven values (0, 0.5, 1, 1.5, 2, 3, 4) while holding the other three at their defaults, across 25,200 real selection decisions — 3 event types (the three rows of the role-bonus table) x 3 independent random NPC layouts x 4 weights x 7 values x 100 shared events per point.</w:t>
      </w:r>
    </w:p>
    <w:p>
      <w:r>
        <w:rPr>
          <w:b/>
        </w:rPr>
        <w:t>Read this before the charts: the 100% point exactly at each default is guaranteed by construction (the sweep is compared against itself at that point), not a discovered result. It is NOT evidence the default is optimal. The only real evidence is the SHAPE around that point: a flat curve on both sides = robust (many nearby values behave the same); a steep drop = sensitive (the exact number matters more).</w:t>
      </w:r>
    </w:p>
    <w:p>
      <w:pPr>
        <w:jc w:val="center"/>
      </w:pPr>
      <w:r>
        <w:drawing>
          <wp:inline xmlns:a="http://schemas.openxmlformats.org/drawingml/2006/main" xmlns:pic="http://schemas.openxmlformats.org/drawingml/2006/picture">
            <wp:extent cx="5486400" cy="3135086"/>
            <wp:docPr id="6" name="Picture 6"/>
            <wp:cNvGraphicFramePr>
              <a:graphicFrameLocks noChangeAspect="1"/>
            </wp:cNvGraphicFramePr>
            <a:graphic>
              <a:graphicData uri="http://schemas.openxmlformats.org/drawingml/2006/picture">
                <pic:pic>
                  <pic:nvPicPr>
                    <pic:cNvPr id="0" name="fig_sensitivity_distance.png"/>
                    <pic:cNvPicPr/>
                  </pic:nvPicPr>
                  <pic:blipFill>
                    <a:blip r:embed="rId14"/>
                    <a:stretch>
                      <a:fillRect/>
                    </a:stretch>
                  </pic:blipFill>
                  <pic:spPr>
                    <a:xfrm>
                      <a:off x="0" y="0"/>
                      <a:ext cx="5486400" cy="3135086"/>
                    </a:xfrm>
                    <a:prstGeom prst="rect"/>
                  </pic:spPr>
                </pic:pic>
              </a:graphicData>
            </a:graphic>
          </wp:inline>
        </w:drawing>
      </w:r>
    </w:p>
    <w:p>
      <w:pPr>
        <w:jc w:val="center"/>
      </w:pPr>
      <w:r>
        <w:rPr>
          <w:i/>
          <w:color w:val="898781"/>
          <w:sz w:val="18"/>
        </w:rPr>
        <w:t>Figure 6. Distance — the most robust of the four. Agreement never drops below ~90% across the entire 0-4x range. Even zeroing it out only flips ~9-10% of decisions.</w:t>
      </w:r>
    </w:p>
    <w:p/>
    <w:p>
      <w:pPr>
        <w:jc w:val="center"/>
      </w:pPr>
      <w:r>
        <w:drawing>
          <wp:inline xmlns:a="http://schemas.openxmlformats.org/drawingml/2006/main" xmlns:pic="http://schemas.openxmlformats.org/drawingml/2006/picture">
            <wp:extent cx="5486400" cy="3135086"/>
            <wp:docPr id="7" name="Picture 7"/>
            <wp:cNvGraphicFramePr>
              <a:graphicFrameLocks noChangeAspect="1"/>
            </wp:cNvGraphicFramePr>
            <a:graphic>
              <a:graphicData uri="http://schemas.openxmlformats.org/drawingml/2006/picture">
                <pic:pic>
                  <pic:nvPicPr>
                    <pic:cNvPr id="0" name="fig_sensitivity_role.png"/>
                    <pic:cNvPicPr/>
                  </pic:nvPicPr>
                  <pic:blipFill>
                    <a:blip r:embed="rId15"/>
                    <a:stretch>
                      <a:fillRect/>
                    </a:stretch>
                  </pic:blipFill>
                  <pic:spPr>
                    <a:xfrm>
                      <a:off x="0" y="0"/>
                      <a:ext cx="5486400" cy="3135086"/>
                    </a:xfrm>
                    <a:prstGeom prst="rect"/>
                  </pic:spPr>
                </pic:pic>
              </a:graphicData>
            </a:graphic>
          </wp:inline>
        </w:drawing>
      </w:r>
    </w:p>
    <w:p>
      <w:pPr>
        <w:jc w:val="center"/>
      </w:pPr>
      <w:r>
        <w:rPr>
          <w:i/>
          <w:color w:val="898781"/>
          <w:sz w:val="18"/>
        </w:rPr>
        <w:t>Figure 7. Role — a cliff only at zero (21-51% agreement), flat and high (91-99%) from half the default value all the way to 4x it. It just needs to exist; the exact magnitude barely matters once turned on.</w:t>
      </w:r>
    </w:p>
    <w:p/>
    <w:p>
      <w:pPr>
        <w:jc w:val="center"/>
      </w:pPr>
      <w:r>
        <w:drawing>
          <wp:inline xmlns:a="http://schemas.openxmlformats.org/drawingml/2006/main" xmlns:pic="http://schemas.openxmlformats.org/drawingml/2006/picture">
            <wp:extent cx="5486400" cy="3135086"/>
            <wp:docPr id="8" name="Picture 8"/>
            <wp:cNvGraphicFramePr>
              <a:graphicFrameLocks noChangeAspect="1"/>
            </wp:cNvGraphicFramePr>
            <a:graphic>
              <a:graphicData uri="http://schemas.openxmlformats.org/drawingml/2006/picture">
                <pic:pic>
                  <pic:nvPicPr>
                    <pic:cNvPr id="0" name="fig_sensitivity_state.png"/>
                    <pic:cNvPicPr/>
                  </pic:nvPicPr>
                  <pic:blipFill>
                    <a:blip r:embed="rId16"/>
                    <a:stretch>
                      <a:fillRect/>
                    </a:stretch>
                  </pic:blipFill>
                  <pic:spPr>
                    <a:xfrm>
                      <a:off x="0" y="0"/>
                      <a:ext cx="5486400" cy="3135086"/>
                    </a:xfrm>
                    <a:prstGeom prst="rect"/>
                  </pic:spPr>
                </pic:pic>
              </a:graphicData>
            </a:graphic>
          </wp:inline>
        </w:drawing>
      </w:r>
    </w:p>
    <w:p>
      <w:pPr>
        <w:jc w:val="center"/>
      </w:pPr>
      <w:r>
        <w:rPr>
          <w:i/>
          <w:color w:val="898781"/>
          <w:sz w:val="18"/>
        </w:rPr>
        <w:t>Figure 8. State — same zero-cliff as Role, but a real (if modest) decline when over-weighted (down to 81-92% at 4x). Less forgiving of a large deviation than Role or Distance.</w:t>
      </w:r>
    </w:p>
    <w:p/>
    <w:p>
      <w:pPr>
        <w:jc w:val="center"/>
      </w:pPr>
      <w:r>
        <w:drawing>
          <wp:inline xmlns:a="http://schemas.openxmlformats.org/drawingml/2006/main" xmlns:pic="http://schemas.openxmlformats.org/drawingml/2006/picture">
            <wp:extent cx="5486400" cy="3135086"/>
            <wp:docPr id="9" name="Picture 9"/>
            <wp:cNvGraphicFramePr>
              <a:graphicFrameLocks noChangeAspect="1"/>
            </wp:cNvGraphicFramePr>
            <a:graphic>
              <a:graphicData uri="http://schemas.openxmlformats.org/drawingml/2006/picture">
                <pic:pic>
                  <pic:nvPicPr>
                    <pic:cNvPr id="0" name="fig_sensitivity_los.png"/>
                    <pic:cNvPicPr/>
                  </pic:nvPicPr>
                  <pic:blipFill>
                    <a:blip r:embed="rId17"/>
                    <a:stretch>
                      <a:fillRect/>
                    </a:stretch>
                  </pic:blipFill>
                  <pic:spPr>
                    <a:xfrm>
                      <a:off x="0" y="0"/>
                      <a:ext cx="5486400" cy="3135086"/>
                    </a:xfrm>
                    <a:prstGeom prst="rect"/>
                  </pic:spPr>
                </pic:pic>
              </a:graphicData>
            </a:graphic>
          </wp:inline>
        </w:drawing>
      </w:r>
    </w:p>
    <w:p>
      <w:pPr>
        <w:jc w:val="center"/>
      </w:pPr>
      <w:r>
        <w:rPr>
          <w:i/>
          <w:color w:val="898781"/>
          <w:sz w:val="18"/>
        </w:rPr>
        <w:t>Figure 9. LOS — the most sensitive of the four. Steepest decline when over-weighted, and event-type specific: for AllyDownSeen, stability drops to ~75% by 3-4x the default. The one legitimate, evidence-based candidate for future re-tuning.</w:t>
      </w:r>
    </w:p>
    <w:p/>
    <w:p>
      <w:r>
        <w:rPr>
          <w:b/>
        </w:rPr>
        <w:t>What this proves: for three of the four factors (Distance always; Role and State once given any positive value), the current weights sit in a wide, forgiving zone — nearby values, even 2-4x larger or fully removed, produce nearly the same selections. The system does not depend on hitting these exact numbers. What this does NOT prove: that 2.0/1.0/1.0/1.0 are individually the "best" possible numbers — no experiment run here, or runnable without expert ground truth, can show that.</w:t>
      </w:r>
    </w:p>
    <w:p>
      <w:pPr>
        <w:pStyle w:val="Heading2"/>
      </w:pPr>
      <w:r>
        <w:rPr>
          <w:color w:val="0B0B0B"/>
        </w:rPr>
        <w:t>5.4 The honest, calibrated defense</w:t>
      </w:r>
    </w:p>
    <w:p>
      <w:pPr>
        <w:ind w:left="504"/>
      </w:pPr>
      <w:r>
        <w:rPr>
          <w:rFonts w:ascii="Segoe UI" w:hAnsi="Segoe UI"/>
          <w:i/>
          <w:color w:val="52514E"/>
        </w:rPr>
        <w:t>"The specific combination of distance, role, state-readiness, and line-of-sight — and the exact weights used — is our own design; no single paper prescribes this formula. Each factor individually, and the overall technique of weighted multi-factor scoring, is well-established in three separate literatures. Since no source specifies the exact numbers for our specific combination, we validated them ourselves: an ablation study showing each factor genuinely changes the outcome (i.e. none is dead weight), and a sensitivity study showing the chosen weights are not fragile. Neither study proves the decisions are doctrinally correct — only that the formula behaves the way it is supposed to, structurally. Establishing correctness would need comparison against expert judgement, which we have not done and say so plainly."</w:t>
      </w:r>
    </w:p>
    <w:p>
      <w:r>
        <w:t>This is deliberately a narrower claim than "these are the best weights" — and that narrower, calibrated claim is what makes it defensible. Overclaiming optimality is the single easiest way to lose credibility with an evaluator who pushes back on this exact point.</w:t>
      </w:r>
    </w:p>
    <w:p>
      <w:pPr>
        <w:pStyle w:val="Heading1"/>
      </w:pPr>
      <w:r>
        <w:rPr>
          <w:color w:val="0B0B0B"/>
        </w:rPr>
        <w:t>6. Human Evaluation Results</w:t>
      </w:r>
    </w:p>
    <w:p>
      <w:pPr>
        <w:pStyle w:val="Heading2"/>
      </w:pPr>
      <w:r>
        <w:rPr>
          <w:color w:val="0B0B0B"/>
        </w:rPr>
        <w:t>5.1 What was tested</w:t>
      </w:r>
    </w:p>
    <w:p>
      <w:r>
        <w:t>The same trainees played the identical mission three times — once against "Basic" AI, once "Intermediate," once "Advanced" — and rated the enemy after each play. n = 20 Basic-tagged sessions, 14 Intermediate, 11 Advanced; n = 9 participants completed all three tiers (the set the significance tests run on). Source: evaluation results.pdf (dashboard export), reported in full in MODULE2_FULL_REPORT.md Section 6.7.</w:t>
      </w:r>
    </w:p>
    <w:p>
      <w:pPr>
        <w:pStyle w:val="Heading2"/>
      </w:pPr>
      <w:r>
        <w:rPr>
          <w:color w:val="0B0B0B"/>
        </w:rPr>
        <w:t>5.2 What each survey measure actually asks</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CE6F5"/>
          </w:tcPr>
          <w:p>
            <w:r>
              <w:rPr>
                <w:b/>
                <w:sz w:val="19"/>
              </w:rPr>
              <w:t>Measure</w:t>
            </w:r>
          </w:p>
        </w:tc>
        <w:tc>
          <w:tcPr>
            <w:tcW w:type="dxa" w:w="3216"/>
            <w:shd w:val="clear" w:color="auto" w:fill="DCE6F5"/>
          </w:tcPr>
          <w:p>
            <w:r>
              <w:rPr>
                <w:b/>
                <w:sz w:val="19"/>
              </w:rPr>
              <w:t>What it asks</w:t>
            </w:r>
          </w:p>
        </w:tc>
        <w:tc>
          <w:tcPr>
            <w:tcW w:type="dxa" w:w="3216"/>
            <w:shd w:val="clear" w:color="auto" w:fill="DCE6F5"/>
          </w:tcPr>
          <w:p>
            <w:r>
              <w:rPr>
                <w:b/>
                <w:sz w:val="19"/>
              </w:rPr>
              <w:t>Instrument</w:t>
            </w:r>
          </w:p>
        </w:tc>
      </w:tr>
      <w:tr>
        <w:tc>
          <w:tcPr>
            <w:tcW w:type="dxa" w:w="3216"/>
          </w:tcPr>
          <w:p>
            <w:r>
              <w:rPr>
                <w:sz w:val="19"/>
              </w:rPr>
              <w:t>Perceived Intelligence</w:t>
            </w:r>
          </w:p>
        </w:tc>
        <w:tc>
          <w:tcPr>
            <w:tcW w:type="dxa" w:w="3216"/>
          </w:tcPr>
          <w:p>
            <w:r>
              <w:rPr>
                <w:sz w:val="19"/>
              </w:rPr>
              <w:t>Did the enemy seem smart? (Competent, Knowledgeable, Responsible, Intelligent, Sensible)</w:t>
            </w:r>
          </w:p>
        </w:tc>
        <w:tc>
          <w:tcPr>
            <w:tcW w:type="dxa" w:w="3216"/>
          </w:tcPr>
          <w:p>
            <w:r>
              <w:rPr>
                <w:sz w:val="19"/>
              </w:rPr>
              <w:t>Godspeed (Bartneck et al. 2009)</w:t>
            </w:r>
          </w:p>
        </w:tc>
      </w:tr>
      <w:tr>
        <w:tc>
          <w:tcPr>
            <w:tcW w:type="dxa" w:w="3216"/>
          </w:tcPr>
          <w:p>
            <w:r>
              <w:rPr>
                <w:sz w:val="19"/>
              </w:rPr>
              <w:t>Animacy</w:t>
            </w:r>
          </w:p>
        </w:tc>
        <w:tc>
          <w:tcPr>
            <w:tcW w:type="dxa" w:w="3216"/>
          </w:tcPr>
          <w:p>
            <w:r>
              <w:rPr>
                <w:sz w:val="19"/>
              </w:rPr>
              <w:t>Did it feel alive, not robotic? (Alive, Lively, Organic, Lifelike, Interactive, Responsive)</w:t>
            </w:r>
          </w:p>
        </w:tc>
        <w:tc>
          <w:tcPr>
            <w:tcW w:type="dxa" w:w="3216"/>
          </w:tcPr>
          <w:p>
            <w:r>
              <w:rPr>
                <w:sz w:val="19"/>
              </w:rPr>
              <w:t>Godspeed (Bartneck et al. 2009)</w:t>
            </w:r>
          </w:p>
        </w:tc>
      </w:tr>
      <w:tr>
        <w:tc>
          <w:tcPr>
            <w:tcW w:type="dxa" w:w="3216"/>
          </w:tcPr>
          <w:p>
            <w:r>
              <w:rPr>
                <w:sz w:val="19"/>
              </w:rPr>
              <w:t>Tactical realism</w:t>
            </w:r>
          </w:p>
        </w:tc>
        <w:tc>
          <w:tcPr>
            <w:tcW w:type="dxa" w:w="3216"/>
          </w:tcPr>
          <w:p>
            <w:r>
              <w:rPr>
                <w:sz w:val="19"/>
              </w:rPr>
              <w:t>Did they act like real hostiles would? (reacted to being shot at, searched, overall behaviour realistically)</w:t>
            </w:r>
          </w:p>
        </w:tc>
        <w:tc>
          <w:tcPr>
            <w:tcW w:type="dxa" w:w="3216"/>
          </w:tcPr>
          <w:p>
            <w:r>
              <w:rPr>
                <w:sz w:val="19"/>
              </w:rPr>
              <w:t>Author-defined, 3 items</w:t>
            </w:r>
          </w:p>
        </w:tc>
      </w:tr>
      <w:tr>
        <w:tc>
          <w:tcPr>
            <w:tcW w:type="dxa" w:w="3216"/>
          </w:tcPr>
          <w:p>
            <w:r>
              <w:rPr>
                <w:sz w:val="19"/>
              </w:rPr>
              <w:t>Pragmatic (UEQ)</w:t>
            </w:r>
          </w:p>
        </w:tc>
        <w:tc>
          <w:tcPr>
            <w:tcW w:type="dxa" w:w="3216"/>
          </w:tcPr>
          <w:p>
            <w:r>
              <w:rPr>
                <w:sz w:val="19"/>
              </w:rPr>
              <w:t>Was fighting them frustrating or smooth? (usability — Supportive, Easy, Efficient, Clear)</w:t>
            </w:r>
          </w:p>
        </w:tc>
        <w:tc>
          <w:tcPr>
            <w:tcW w:type="dxa" w:w="3216"/>
          </w:tcPr>
          <w:p>
            <w:r>
              <w:rPr>
                <w:sz w:val="19"/>
              </w:rPr>
              <w:t>UEQ-S (Schrepp et al. 2017)</w:t>
            </w:r>
          </w:p>
        </w:tc>
      </w:tr>
      <w:tr>
        <w:tc>
          <w:tcPr>
            <w:tcW w:type="dxa" w:w="3216"/>
          </w:tcPr>
          <w:p>
            <w:r>
              <w:rPr>
                <w:sz w:val="19"/>
              </w:rPr>
              <w:t>Hedonic (UEQ)</w:t>
            </w:r>
          </w:p>
        </w:tc>
        <w:tc>
          <w:tcPr>
            <w:tcW w:type="dxa" w:w="3216"/>
          </w:tcPr>
          <w:p>
            <w:r>
              <w:rPr>
                <w:sz w:val="19"/>
              </w:rPr>
              <w:t>Was fighting them fun/engaging? (Exciting, Interesting, Inventive, Leading edge)</w:t>
            </w:r>
          </w:p>
        </w:tc>
        <w:tc>
          <w:tcPr>
            <w:tcW w:type="dxa" w:w="3216"/>
          </w:tcPr>
          <w:p>
            <w:r>
              <w:rPr>
                <w:sz w:val="19"/>
              </w:rPr>
              <w:t>UEQ-S (Schrepp et al. 2017)</w:t>
            </w:r>
          </w:p>
        </w:tc>
      </w:tr>
    </w:tbl>
    <w:p/>
    <w:p>
      <w:r>
        <w:t>Perceived Intelligence and Tactical Realism are the core "does this AI seem believable" measures — the actual Module 2 research question. Pragmatic and Hedonic are standard UX checks (is the experience usable and fun) — a different, complementary construct, deliberately kept separate.</w:t>
      </w:r>
    </w:p>
    <w:p>
      <w:pPr>
        <w:pStyle w:val="Heading2"/>
      </w:pPr>
      <w:r>
        <w:rPr>
          <w:color w:val="0B0B0B"/>
        </w:rPr>
        <w:t>5.3 The statistics, explained plainly</w:t>
      </w:r>
    </w:p>
    <w:tbl>
      <w:tblPr>
        <w:tblStyle w:val="TableGrid"/>
        <w:tblW w:type="auto" w:w="0"/>
        <w:tblLook w:firstColumn="1" w:firstRow="1" w:lastColumn="0" w:lastRow="0" w:noHBand="0" w:noVBand="1" w:val="04A0"/>
      </w:tblPr>
      <w:tblGrid>
        <w:gridCol w:w="4824"/>
        <w:gridCol w:w="4824"/>
      </w:tblGrid>
      <w:tr>
        <w:tc>
          <w:tcPr>
            <w:tcW w:type="dxa" w:w="4824"/>
            <w:shd w:val="clear" w:color="auto" w:fill="DCE6F5"/>
          </w:tcPr>
          <w:p>
            <w:r>
              <w:rPr>
                <w:b/>
                <w:sz w:val="19"/>
              </w:rPr>
              <w:t>Term</w:t>
            </w:r>
          </w:p>
        </w:tc>
        <w:tc>
          <w:tcPr>
            <w:tcW w:type="dxa" w:w="4824"/>
            <w:shd w:val="clear" w:color="auto" w:fill="DCE6F5"/>
          </w:tcPr>
          <w:p>
            <w:r>
              <w:rPr>
                <w:b/>
                <w:sz w:val="19"/>
              </w:rPr>
              <w:t>Plain-English meaning</w:t>
            </w:r>
          </w:p>
        </w:tc>
      </w:tr>
      <w:tr>
        <w:tc>
          <w:tcPr>
            <w:tcW w:type="dxa" w:w="4824"/>
          </w:tcPr>
          <w:p>
            <w:r>
              <w:rPr>
                <w:sz w:val="19"/>
              </w:rPr>
              <w:t>p-value</w:t>
            </w:r>
          </w:p>
        </w:tc>
        <w:tc>
          <w:tcPr>
            <w:tcW w:type="dxa" w:w="4824"/>
          </w:tcPr>
          <w:p>
            <w:r>
              <w:rPr>
                <w:sz w:val="19"/>
              </w:rPr>
              <w:t>How likely the observed difference is just random luck. p=0.004 means a 0.4% chance it is luck — i.e. very likely a real effect.</w:t>
            </w:r>
          </w:p>
        </w:tc>
      </w:tr>
      <w:tr>
        <w:tc>
          <w:tcPr>
            <w:tcW w:type="dxa" w:w="4824"/>
          </w:tcPr>
          <w:p>
            <w:r>
              <w:rPr>
                <w:sz w:val="19"/>
              </w:rPr>
              <w:t>Friedman test</w:t>
            </w:r>
          </w:p>
        </w:tc>
        <w:tc>
          <w:tcPr>
            <w:tcW w:type="dxa" w:w="4824"/>
          </w:tcPr>
          <w:p>
            <w:r>
              <w:rPr>
                <w:sz w:val="19"/>
              </w:rPr>
              <w:t>The first check: "is there ANY difference at all among the 3 AI tiers?" (an omnibus test, not yet saying which pair differs).</w:t>
            </w:r>
          </w:p>
        </w:tc>
      </w:tr>
      <w:tr>
        <w:tc>
          <w:tcPr>
            <w:tcW w:type="dxa" w:w="4824"/>
          </w:tcPr>
          <w:p>
            <w:r>
              <w:rPr>
                <w:sz w:val="19"/>
              </w:rPr>
              <w:t>Kendall's W</w:t>
            </w:r>
          </w:p>
        </w:tc>
        <w:tc>
          <w:tcPr>
            <w:tcW w:type="dxa" w:w="4824"/>
          </w:tcPr>
          <w:p>
            <w:r>
              <w:rPr>
                <w:sz w:val="19"/>
              </w:rPr>
              <w:t>How consistently participants agreed on the pattern, 0 to 1. W=0.60 means most people rated the tiers in the same increasing order.</w:t>
            </w:r>
          </w:p>
        </w:tc>
      </w:tr>
      <w:tr>
        <w:tc>
          <w:tcPr>
            <w:tcW w:type="dxa" w:w="4824"/>
          </w:tcPr>
          <w:p>
            <w:r>
              <w:rPr>
                <w:sz w:val="19"/>
              </w:rPr>
              <w:t>Wilcoxon signed-rank</w:t>
            </w:r>
          </w:p>
        </w:tc>
        <w:tc>
          <w:tcPr>
            <w:tcW w:type="dxa" w:w="4824"/>
          </w:tcPr>
          <w:p>
            <w:r>
              <w:rPr>
                <w:sz w:val="19"/>
              </w:rPr>
              <w:t>The follow-up check: "which SPECIFIC pair (e.g. Basic vs Intermediate) actually differs?" — run once per pair.</w:t>
            </w:r>
          </w:p>
        </w:tc>
      </w:tr>
      <w:tr>
        <w:tc>
          <w:tcPr>
            <w:tcW w:type="dxa" w:w="4824"/>
          </w:tcPr>
          <w:p>
            <w:r>
              <w:rPr>
                <w:sz w:val="19"/>
              </w:rPr>
              <w:t>Bonferroni correction</w:t>
            </w:r>
          </w:p>
        </w:tc>
        <w:tc>
          <w:tcPr>
            <w:tcW w:type="dxa" w:w="4824"/>
          </w:tcPr>
          <w:p>
            <w:r>
              <w:rPr>
                <w:sz w:val="19"/>
              </w:rPr>
              <w:t>Running 3 pairwise tests instead of 1 raises the odds of a false alarm, so the significance bar is tightened from p&lt;0.05 to p&lt;0.017 per pair to compensate.</w:t>
            </w:r>
          </w:p>
        </w:tc>
      </w:tr>
      <w:tr>
        <w:tc>
          <w:tcPr>
            <w:tcW w:type="dxa" w:w="4824"/>
          </w:tcPr>
          <w:p>
            <w:r>
              <w:rPr>
                <w:sz w:val="19"/>
              </w:rPr>
              <w:t>Effect size (r)</w:t>
            </w:r>
          </w:p>
        </w:tc>
        <w:tc>
          <w:tcPr>
            <w:tcW w:type="dxa" w:w="4824"/>
          </w:tcPr>
          <w:p>
            <w:r>
              <w:rPr>
                <w:sz w:val="19"/>
              </w:rPr>
              <w:t>How BIG the difference is (0-1), independent of sample size. ~0.1 small, ~0.3 medium, ~0.5 large. This study's values (0.85-0.89) are very large.</w:t>
            </w:r>
          </w:p>
        </w:tc>
      </w:tr>
    </w:tbl>
    <w:p/>
    <w:p>
      <w:r>
        <w:t>The exact formulas, and a hand-worked example that reproduces the numbers in your own report's validation note exactly, are recorded separately if needed for a methods appendix — ask and this section can be expanded with them.</w:t>
      </w:r>
    </w:p>
    <w:p>
      <w:pPr>
        <w:pStyle w:val="Heading2"/>
      </w:pPr>
      <w:r>
        <w:rPr>
          <w:color w:val="0B0B0B"/>
        </w:rPr>
        <w:t>5.4 The results</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1608"/>
            <w:shd w:val="clear" w:color="auto" w:fill="DCE6F5"/>
          </w:tcPr>
          <w:p>
            <w:r>
              <w:rPr>
                <w:b/>
                <w:sz w:val="19"/>
              </w:rPr>
              <w:t>Measure</w:t>
            </w:r>
          </w:p>
        </w:tc>
        <w:tc>
          <w:tcPr>
            <w:tcW w:type="dxa" w:w="1608"/>
            <w:shd w:val="clear" w:color="auto" w:fill="DCE6F5"/>
          </w:tcPr>
          <w:p>
            <w:r>
              <w:rPr>
                <w:b/>
                <w:sz w:val="19"/>
              </w:rPr>
              <w:t>Basic</w:t>
            </w:r>
          </w:p>
        </w:tc>
        <w:tc>
          <w:tcPr>
            <w:tcW w:type="dxa" w:w="1608"/>
            <w:shd w:val="clear" w:color="auto" w:fill="DCE6F5"/>
          </w:tcPr>
          <w:p>
            <w:r>
              <w:rPr>
                <w:b/>
                <w:sz w:val="19"/>
              </w:rPr>
              <w:t>Intermediate</w:t>
            </w:r>
          </w:p>
        </w:tc>
        <w:tc>
          <w:tcPr>
            <w:tcW w:type="dxa" w:w="1608"/>
            <w:shd w:val="clear" w:color="auto" w:fill="DCE6F5"/>
          </w:tcPr>
          <w:p>
            <w:r>
              <w:rPr>
                <w:b/>
                <w:sz w:val="19"/>
              </w:rPr>
              <w:t>Advanced</w:t>
            </w:r>
          </w:p>
        </w:tc>
        <w:tc>
          <w:tcPr>
            <w:tcW w:type="dxa" w:w="1608"/>
            <w:shd w:val="clear" w:color="auto" w:fill="DCE6F5"/>
          </w:tcPr>
          <w:p>
            <w:r>
              <w:rPr>
                <w:b/>
                <w:sz w:val="19"/>
              </w:rPr>
              <w:t>Friedman p</w:t>
            </w:r>
          </w:p>
        </w:tc>
        <w:tc>
          <w:tcPr>
            <w:tcW w:type="dxa" w:w="1608"/>
            <w:shd w:val="clear" w:color="auto" w:fill="DCE6F5"/>
          </w:tcPr>
          <w:p>
            <w:r>
              <w:rPr>
                <w:b/>
                <w:sz w:val="19"/>
              </w:rPr>
              <w:t>Effect size</w:t>
            </w:r>
          </w:p>
        </w:tc>
      </w:tr>
      <w:tr>
        <w:tc>
          <w:tcPr>
            <w:tcW w:type="dxa" w:w="1608"/>
          </w:tcPr>
          <w:p>
            <w:r>
              <w:rPr>
                <w:sz w:val="19"/>
              </w:rPr>
              <w:t>Perceived Intelligence (/5)</w:t>
            </w:r>
          </w:p>
        </w:tc>
        <w:tc>
          <w:tcPr>
            <w:tcW w:type="dxa" w:w="1608"/>
          </w:tcPr>
          <w:p>
            <w:r>
              <w:rPr>
                <w:sz w:val="19"/>
              </w:rPr>
              <w:t>1.6</w:t>
            </w:r>
          </w:p>
        </w:tc>
        <w:tc>
          <w:tcPr>
            <w:tcW w:type="dxa" w:w="1608"/>
          </w:tcPr>
          <w:p>
            <w:r>
              <w:rPr>
                <w:sz w:val="19"/>
              </w:rPr>
              <w:t>3.7</w:t>
            </w:r>
          </w:p>
        </w:tc>
        <w:tc>
          <w:tcPr>
            <w:tcW w:type="dxa" w:w="1608"/>
          </w:tcPr>
          <w:p>
            <w:r>
              <w:rPr>
                <w:sz w:val="19"/>
              </w:rPr>
              <w:t>4.4</w:t>
            </w:r>
          </w:p>
        </w:tc>
        <w:tc>
          <w:tcPr>
            <w:tcW w:type="dxa" w:w="1608"/>
          </w:tcPr>
          <w:p>
            <w:r>
              <w:rPr>
                <w:sz w:val="19"/>
              </w:rPr>
              <w:t>0.004</w:t>
            </w:r>
          </w:p>
        </w:tc>
        <w:tc>
          <w:tcPr>
            <w:tcW w:type="dxa" w:w="1608"/>
          </w:tcPr>
          <w:p>
            <w:r>
              <w:rPr>
                <w:sz w:val="19"/>
              </w:rPr>
              <w:t>r=0.85-0.89 (all pairs significant)</w:t>
            </w:r>
          </w:p>
        </w:tc>
      </w:tr>
      <w:tr>
        <w:tc>
          <w:tcPr>
            <w:tcW w:type="dxa" w:w="1608"/>
          </w:tcPr>
          <w:p>
            <w:r>
              <w:rPr>
                <w:sz w:val="19"/>
              </w:rPr>
              <w:t>Animacy — life-like (/5)</w:t>
            </w:r>
          </w:p>
        </w:tc>
        <w:tc>
          <w:tcPr>
            <w:tcW w:type="dxa" w:w="1608"/>
          </w:tcPr>
          <w:p>
            <w:r>
              <w:rPr>
                <w:sz w:val="19"/>
              </w:rPr>
              <w:t>2.0</w:t>
            </w:r>
          </w:p>
        </w:tc>
        <w:tc>
          <w:tcPr>
            <w:tcW w:type="dxa" w:w="1608"/>
          </w:tcPr>
          <w:p>
            <w:r>
              <w:rPr>
                <w:sz w:val="19"/>
              </w:rPr>
              <w:t>3.8</w:t>
            </w:r>
          </w:p>
        </w:tc>
        <w:tc>
          <w:tcPr>
            <w:tcW w:type="dxa" w:w="1608"/>
          </w:tcPr>
          <w:p>
            <w:r>
              <w:rPr>
                <w:sz w:val="19"/>
              </w:rPr>
              <w:t>4.1</w:t>
            </w:r>
          </w:p>
        </w:tc>
        <w:tc>
          <w:tcPr>
            <w:tcW w:type="dxa" w:w="1608"/>
          </w:tcPr>
          <w:p>
            <w:r>
              <w:rPr>
                <w:sz w:val="19"/>
              </w:rPr>
              <w:t>&lt;0.001</w:t>
            </w:r>
          </w:p>
        </w:tc>
        <w:tc>
          <w:tcPr>
            <w:tcW w:type="dxa" w:w="1608"/>
          </w:tcPr>
          <w:p>
            <w:r>
              <w:rPr>
                <w:sz w:val="19"/>
              </w:rPr>
              <w:t>r=0.89 (Basic pairs sig.; Int.-vs-Adv. NOT significant, p=0.188)</w:t>
            </w:r>
          </w:p>
        </w:tc>
      </w:tr>
      <w:tr>
        <w:tc>
          <w:tcPr>
            <w:tcW w:type="dxa" w:w="1608"/>
          </w:tcPr>
          <w:p>
            <w:r>
              <w:rPr>
                <w:sz w:val="19"/>
              </w:rPr>
              <w:t>Tactical realism (/5)</w:t>
            </w:r>
          </w:p>
        </w:tc>
        <w:tc>
          <w:tcPr>
            <w:tcW w:type="dxa" w:w="1608"/>
          </w:tcPr>
          <w:p>
            <w:r>
              <w:rPr>
                <w:sz w:val="19"/>
              </w:rPr>
              <w:t>1.7</w:t>
            </w:r>
          </w:p>
        </w:tc>
        <w:tc>
          <w:tcPr>
            <w:tcW w:type="dxa" w:w="1608"/>
          </w:tcPr>
          <w:p>
            <w:r>
              <w:rPr>
                <w:sz w:val="19"/>
              </w:rPr>
              <w:t>3.5</w:t>
            </w:r>
          </w:p>
        </w:tc>
        <w:tc>
          <w:tcPr>
            <w:tcW w:type="dxa" w:w="1608"/>
          </w:tcPr>
          <w:p>
            <w:r>
              <w:rPr>
                <w:sz w:val="19"/>
              </w:rPr>
              <w:t>4.4</w:t>
            </w:r>
          </w:p>
        </w:tc>
        <w:tc>
          <w:tcPr>
            <w:tcW w:type="dxa" w:w="1608"/>
          </w:tcPr>
          <w:p>
            <w:r>
              <w:rPr>
                <w:sz w:val="19"/>
              </w:rPr>
              <w:t>0.003</w:t>
            </w:r>
          </w:p>
        </w:tc>
        <w:tc>
          <w:tcPr>
            <w:tcW w:type="dxa" w:w="1608"/>
          </w:tcPr>
          <w:p>
            <w:r>
              <w:rPr>
                <w:sz w:val="19"/>
              </w:rPr>
              <w:t>r=0.85-0.89 (all pairs significant)</w:t>
            </w:r>
          </w:p>
        </w:tc>
      </w:tr>
    </w:tbl>
    <w:p/>
    <w:p>
      <w:r>
        <w:rPr>
          <w:b/>
        </w:rPr>
        <w:t>Summary sentence: real trainees playing the identical mission rated the smarter AI tiers as significantly more intelligent and tactically realistic than the dumbest tier — not a small pilot trend, but a statistically significant, large effect. The one honest exception: Intermediate and Advanced were NOT reliably distinguished on "does it feel alive" specifically (p=0.188) — both felt about equally life-like to trainees, even though Advanced still scored higher on intelligence and tactical realism.</w:t>
      </w:r>
    </w:p>
    <w:p>
      <w:pPr>
        <w:pStyle w:val="Heading2"/>
      </w:pPr>
      <w:r>
        <w:rPr>
          <w:color w:val="0B0B0B"/>
        </w:rPr>
        <w:t>5.5 How this connects back to the selection formula — and what it does NOT prove</w:t>
      </w:r>
    </w:p>
    <w:p>
      <w:r>
        <w:t>TerroristController.cs gates squad coordination behind AI tier: AllowTeam =&gt; aiLevel &gt;= AILevel.Intermediate. This is the exact switch that determines whether NPCSelector's picks are ever acted on — at Basic tier, NPCSelector still runs and picks an investigator, but that NPC silently declines to act on it. So the Basic-vs-Intermediate jump above is real evidence that the coordinated-response package (of which NPCSelector's selection is one necessary ingredient) meaningfully improves perceived intelligence.</w:t>
      </w:r>
    </w:p>
    <w:p>
      <w:r>
        <w:rPr>
          <w:b/>
        </w:rPr>
        <w:t>What this does NOT prove: AllowTeam gates the ENTIRE squad-coordination package at once — dispatch, persistent hunt, leader directives, converge-on-contact all switch on together. This evaluation cannot isolate NPCSelector's specific contribution from the rest of that package. It corroborates that the mechanism is worth having; it does not validate its specific weights — that remains the job of Section 5's ablation/sensitivity studies.</w:t>
      </w:r>
    </w:p>
    <w:p>
      <w:pPr>
        <w:pStyle w:val="Heading1"/>
      </w:pPr>
      <w:r>
        <w:rPr>
          <w:color w:val="0B0B0B"/>
        </w:rPr>
        <w:t>7. Recent Behaviour Fixes (verified compiling; playtest still needed)</w:t>
      </w:r>
    </w:p>
    <w:p>
      <w:r>
        <w:t>Three concrete bugs were found and fixed while preparing for evaluation. Listed here because they are good evidence of iterative rigor if asked "what did you find and fix during testing?" — and as a reminder to actually playtest them before the evaluation.</w:t>
      </w:r>
    </w:p>
    <w:p>
      <w:pPr>
        <w:pStyle w:val="ListNumber"/>
      </w:pPr>
      <w:r>
        <w:t>Advance-to-engage threshold: engaging terrorists previously only closed distance if the trainee was farther than 5.5m — in small indoor rooms this almost never triggered, so they would just plant and shoot from wherever first spotted. Fixed: they now advance to a ~3.5m firing ring the moment the trainee is beyond it, no dead zone.</w:t>
      </w:r>
    </w:p>
    <w:p>
      <w:pPr>
        <w:pStyle w:val="ListNumber"/>
      </w:pPr>
      <w:r>
        <w:t>Squad-support routine hijacking a live sighting: a background search routine could still send an NPC off to search a different room during the ~0.5s window between "I see you" and "confirmed, engaging" — even while that NPC was actively looking straight at the trainee. Fixed: the routine now backs off completely while there is a live sighting.</w:t>
      </w:r>
    </w:p>
    <w:p>
      <w:pPr>
        <w:pStyle w:val="ListNumber"/>
      </w:pPr>
      <w:r>
        <w:t>Fan-out search not prioritising the witness: when a trainee broke line of sight, the squad search assigned "lanes" (direct line vs. side vs. up to 180 degrees behind) by pure distance-sort — so the NPC who actually saw the trainee could be assigned a rearward lane while an uninvolved squadmate got the direct line. Fixed: the witness now always gets dispatched straight to the exact last-seen position first; other squad members still fan out around that point to cover the wider approach.</w:t>
      </w:r>
    </w:p>
    <w:p>
      <w:r>
        <w:rPr>
          <w:b/>
        </w:rPr>
        <w:t>Status: all three changes compile cleanly (verified live in the Unity Editor via MCP). None have been confirmed with an actual VR playtest yet — do that before the evaluation, specifically: get spotted at close range and confirm the terrorist closes in; then break line of sight and confirm he goes to where you actually were, not somewhere else.</w:t>
      </w:r>
    </w:p>
    <w:p>
      <w:pPr>
        <w:pStyle w:val="Heading1"/>
      </w:pPr>
      <w:r>
        <w:rPr>
          <w:color w:val="0B0B0B"/>
        </w:rPr>
        <w:t>8. Presentation Structure — how to actually run the demo</w:t>
      </w:r>
    </w:p>
    <w:p>
      <w:pPr>
        <w:pStyle w:val="ListNumber"/>
      </w:pPr>
      <w:r>
        <w:t>One-sentence framing (Section 1) — set the standard you want to be judged against before showing anything.</w:t>
      </w:r>
    </w:p>
    <w:p>
      <w:pPr>
        <w:pStyle w:val="ListNumber"/>
      </w:pPr>
      <w:r>
        <w:t>The problem, in 20 seconds — the origin-story bug and the doctrine that contradicts it (Section 1).</w:t>
      </w:r>
    </w:p>
    <w:p>
      <w:pPr>
        <w:pStyle w:val="ListNumber"/>
      </w:pPr>
      <w:r>
        <w:t>Live demo — show 3 things, not everything: (a) individual reaction to a threat, (b) squad coordination surviving broken contact — your strongest moment, it is literally the bug that motivated the redesign, (c) the hostage-guard escalation ladder.</w:t>
      </w:r>
    </w:p>
    <w:p>
      <w:pPr>
        <w:pStyle w:val="ListNumber"/>
      </w:pPr>
      <w:r>
        <w:t>How it is built — 30 seconds, conceptual only, no code (Section 2).</w:t>
      </w:r>
    </w:p>
    <w:p>
      <w:pPr>
        <w:pStyle w:val="ListNumber"/>
      </w:pPr>
      <w:r>
        <w:t>Why it is built this way — 30 seconds, name 2-3 sources (Section 4).</w:t>
      </w:r>
    </w:p>
    <w:p>
      <w:pPr>
        <w:pStyle w:val="ListNumber"/>
      </w:pPr>
      <w:r>
        <w:t>How you know it works — do not rush this, it is your strongest material: the ablation numbers, the sensitivity numbers, and the real significance results (Sections 5 and 6).</w:t>
      </w:r>
    </w:p>
    <w:p>
      <w:pPr>
        <w:pStyle w:val="ListNumber"/>
      </w:pPr>
      <w:r>
        <w:t>State one limitation, unprompted — e.g. "the specific weights are not from a published source; we validated them ourselves" (Section 5.4). Volunteering it reads as rigor, not weakness.</w:t>
      </w:r>
    </w:p>
    <w:p>
      <w:pPr>
        <w:pStyle w:val="Heading1"/>
      </w:pPr>
      <w:r>
        <w:rPr>
          <w:color w:val="0B0B0B"/>
        </w:rPr>
        <w:t>9. Anticipated Questions — quick answers</w:t>
      </w:r>
    </w:p>
    <w:tbl>
      <w:tblPr>
        <w:tblStyle w:val="TableGrid"/>
        <w:tblW w:type="auto" w:w="0"/>
        <w:tblLook w:firstColumn="1" w:firstRow="1" w:lastColumn="0" w:lastRow="0" w:noHBand="0" w:noVBand="1" w:val="04A0"/>
      </w:tblPr>
      <w:tblGrid>
        <w:gridCol w:w="4824"/>
        <w:gridCol w:w="4824"/>
      </w:tblGrid>
      <w:tr>
        <w:tc>
          <w:tcPr>
            <w:tcW w:type="dxa" w:w="4824"/>
            <w:shd w:val="clear" w:color="auto" w:fill="DCE6F5"/>
          </w:tcPr>
          <w:p>
            <w:r>
              <w:rPr>
                <w:b/>
                <w:sz w:val="19"/>
              </w:rPr>
              <w:t>If asked...</w:t>
            </w:r>
          </w:p>
        </w:tc>
        <w:tc>
          <w:tcPr>
            <w:tcW w:type="dxa" w:w="4824"/>
            <w:shd w:val="clear" w:color="auto" w:fill="DCE6F5"/>
          </w:tcPr>
          <w:p>
            <w:r>
              <w:rPr>
                <w:b/>
                <w:sz w:val="19"/>
              </w:rPr>
              <w:t>Say...</w:t>
            </w:r>
          </w:p>
        </w:tc>
      </w:tr>
      <w:tr>
        <w:tc>
          <w:tcPr>
            <w:tcW w:type="dxa" w:w="4824"/>
          </w:tcPr>
          <w:p>
            <w:r>
              <w:rPr>
                <w:sz w:val="19"/>
              </w:rPr>
              <w:t>Why these specific weights?</w:t>
            </w:r>
          </w:p>
        </w:tc>
        <w:tc>
          <w:tcPr>
            <w:tcW w:type="dxa" w:w="4824"/>
          </w:tcPr>
          <w:p>
            <w:r>
              <w:rPr>
                <w:sz w:val="19"/>
              </w:rPr>
              <w:t>Not claimed to be provably optimal — shown to be robust (small changes don't flip decisions) and that each factor has real influence, backed by 25,000+ test decisions.</w:t>
            </w:r>
          </w:p>
        </w:tc>
      </w:tr>
      <w:tr>
        <w:tc>
          <w:tcPr>
            <w:tcW w:type="dxa" w:w="4824"/>
          </w:tcPr>
          <w:p>
            <w:r>
              <w:rPr>
                <w:sz w:val="19"/>
              </w:rPr>
              <w:t>Isn't the ablation study circular — testing the formula with the formula?</w:t>
            </w:r>
          </w:p>
        </w:tc>
        <w:tc>
          <w:tcPr>
            <w:tcW w:type="dxa" w:w="4824"/>
          </w:tcPr>
          <w:p>
            <w:r>
              <w:rPr>
                <w:sz w:val="19"/>
              </w:rPr>
              <w:t>Not circular: the result was not guaranteed. Removing Distance barely changed anything (6%); removing Role changed 78% of decisions. That is a real, falsifiable finding, not an assumption.</w:t>
            </w:r>
          </w:p>
        </w:tc>
      </w:tr>
      <w:tr>
        <w:tc>
          <w:tcPr>
            <w:tcW w:type="dxa" w:w="4824"/>
          </w:tcPr>
          <w:p>
            <w:r>
              <w:rPr>
                <w:sz w:val="19"/>
              </w:rPr>
              <w:t>Where does the selection logic come from — is it published research?</w:t>
            </w:r>
          </w:p>
        </w:tc>
        <w:tc>
          <w:tcPr>
            <w:tcW w:type="dxa" w:w="4824"/>
          </w:tcPr>
          <w:p>
            <w:r>
              <w:rPr>
                <w:sz w:val="19"/>
              </w:rPr>
              <w:t>The technique (utility-based scoring) is standard and cited; the specific four-factor combination is original, validated empirically since no paper covers this exact combination.</w:t>
            </w:r>
          </w:p>
        </w:tc>
      </w:tr>
      <w:tr>
        <w:tc>
          <w:tcPr>
            <w:tcW w:type="dxa" w:w="4824"/>
          </w:tcPr>
          <w:p>
            <w:r>
              <w:rPr>
                <w:sz w:val="19"/>
              </w:rPr>
              <w:t>How do you know the AI is more believable, not just harder?</w:t>
            </w:r>
          </w:p>
        </w:tc>
        <w:tc>
          <w:tcPr>
            <w:tcW w:type="dxa" w:w="4824"/>
          </w:tcPr>
          <w:p>
            <w:r>
              <w:rPr>
                <w:sz w:val="19"/>
              </w:rPr>
              <w:t>Perceived Intelligence and Tactical Realism, not difficulty, were what was measured — and Basic was reliably distinguished from both higher tiers with large effect sizes.</w:t>
            </w:r>
          </w:p>
        </w:tc>
      </w:tr>
      <w:tr>
        <w:tc>
          <w:tcPr>
            <w:tcW w:type="dxa" w:w="4824"/>
          </w:tcPr>
          <w:p>
            <w:r>
              <w:rPr>
                <w:sz w:val="19"/>
              </w:rPr>
              <w:t>Are these weights proven to be the best possible?</w:t>
            </w:r>
          </w:p>
        </w:tc>
        <w:tc>
          <w:tcPr>
            <w:tcW w:type="dxa" w:w="4824"/>
          </w:tcPr>
          <w:p>
            <w:r>
              <w:rPr>
                <w:sz w:val="19"/>
              </w:rPr>
              <w:t>No — and no capstone project could prove that without a full expert-comparison study, which is out of scope here. This is stated plainly rather than hidden.</w:t>
            </w:r>
          </w:p>
        </w:tc>
      </w:tr>
    </w:tbl>
    <w:p/>
    <w:p>
      <w:pPr>
        <w:pStyle w:val="Heading1"/>
      </w:pPr>
      <w:r>
        <w:rPr>
          <w:color w:val="0B0B0B"/>
        </w:rPr>
        <w:t>10. Bibliography — every cited source, with working links</w:t>
      </w:r>
    </w:p>
    <w:p>
      <w:r>
        <w:t>Grouped by what each cluster of sources backs. Links verified by direct fetch, not guessed; where a link is genuinely dead or access-restricted, that is stated rather than invented.</w:t>
      </w:r>
    </w:p>
    <w:p>
      <w:pPr>
        <w:pStyle w:val="Heading2"/>
      </w:pPr>
      <w:r>
        <w:rPr>
          <w:color w:val="0B0B0B"/>
        </w:rPr>
        <w:t>9.1 Squad-tactics doctrine &amp; AI architecture</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CE6F5"/>
          </w:tcPr>
          <w:p>
            <w:r>
              <w:rPr>
                <w:b/>
                <w:sz w:val="19"/>
              </w:rPr>
              <w:t>Source</w:t>
            </w:r>
          </w:p>
        </w:tc>
        <w:tc>
          <w:tcPr>
            <w:tcW w:type="dxa" w:w="3216"/>
            <w:shd w:val="clear" w:color="auto" w:fill="DCE6F5"/>
          </w:tcPr>
          <w:p>
            <w:r>
              <w:rPr>
                <w:b/>
                <w:sz w:val="19"/>
              </w:rPr>
              <w:t>Link</w:t>
            </w:r>
          </w:p>
        </w:tc>
        <w:tc>
          <w:tcPr>
            <w:tcW w:type="dxa" w:w="3216"/>
            <w:shd w:val="clear" w:color="auto" w:fill="DCE6F5"/>
          </w:tcPr>
          <w:p>
            <w:r>
              <w:rPr>
                <w:b/>
                <w:sz w:val="19"/>
              </w:rPr>
              <w:t>What it backs</w:t>
            </w:r>
          </w:p>
        </w:tc>
      </w:tr>
      <w:tr>
        <w:tc>
          <w:tcPr>
            <w:tcW w:type="dxa" w:w="3216"/>
          </w:tcPr>
          <w:p>
            <w:r>
              <w:rPr>
                <w:sz w:val="19"/>
              </w:rPr>
              <w:t>Orkin, J. (2006). "Three States and a Plan: The AI of F.E.A.R." GDC.</w:t>
            </w:r>
          </w:p>
        </w:tc>
        <w:tc>
          <w:tcPr>
            <w:tcW w:type="dxa" w:w="3216"/>
          </w:tcPr>
          <w:p>
            <w:r>
              <w:rPr>
                <w:sz w:val="19"/>
              </w:rPr>
              <w:t>https://www.gamedevs.org/uploads/three-states-plan-ai-of-fear.pdf</w:t>
            </w:r>
          </w:p>
        </w:tc>
        <w:tc>
          <w:tcPr>
            <w:tcW w:type="dxa" w:w="3216"/>
          </w:tcPr>
          <w:p>
            <w:r>
              <w:rPr>
                <w:sz w:val="19"/>
              </w:rPr>
              <w:t>The two-layer squad architecture (individual FSM + squad coordination) that Squad.cs / TerroristController.cs directly follows.</w:t>
            </w:r>
          </w:p>
        </w:tc>
      </w:tr>
      <w:tr>
        <w:tc>
          <w:tcPr>
            <w:tcW w:type="dxa" w:w="3216"/>
          </w:tcPr>
          <w:p>
            <w:r>
              <w:rPr>
                <w:sz w:val="19"/>
              </w:rPr>
              <w:t>U.S. Army (1996). CALL Handbook 96-3, "Battle Drill 2: React to Contact."</w:t>
            </w:r>
          </w:p>
        </w:tc>
        <w:tc>
          <w:tcPr>
            <w:tcW w:type="dxa" w:w="3216"/>
          </w:tcPr>
          <w:p>
            <w:r>
              <w:rPr>
                <w:sz w:val="19"/>
              </w:rPr>
              <w:t>https://www.globalsecurity.org/military/library/report/call/call_96-3_cpt2bd2.htm</w:t>
            </w:r>
          </w:p>
        </w:tc>
        <w:tc>
          <w:tcPr>
            <w:tcW w:type="dxa" w:w="3216"/>
          </w:tcPr>
          <w:p>
            <w:r>
              <w:rPr>
                <w:sz w:val="19"/>
              </w:rPr>
              <w:t>Source of the "return fire within 3s, converge on contact" doctrine.</w:t>
            </w:r>
          </w:p>
        </w:tc>
      </w:tr>
      <w:tr>
        <w:tc>
          <w:tcPr>
            <w:tcW w:type="dxa" w:w="3216"/>
          </w:tcPr>
          <w:p>
            <w:r>
              <w:rPr>
                <w:sz w:val="19"/>
              </w:rPr>
              <w:t>FM 3-21.71 — Mechanized Infantry Platoon and Squad.</w:t>
            </w:r>
          </w:p>
        </w:tc>
        <w:tc>
          <w:tcPr>
            <w:tcW w:type="dxa" w:w="3216"/>
          </w:tcPr>
          <w:p>
            <w:r>
              <w:rPr>
                <w:sz w:val="19"/>
              </w:rPr>
              <w:t>https://www.globalsecurity.org/military/library/policy/army/fm/3-21-71/index.html</w:t>
            </w:r>
          </w:p>
        </w:tc>
        <w:tc>
          <w:tcPr>
            <w:tcW w:type="dxa" w:w="3216"/>
          </w:tcPr>
          <w:p>
            <w:r>
              <w:rPr>
                <w:sz w:val="19"/>
              </w:rPr>
              <w:t>Battle drills — "pursuit is default, disengagement is deliberate."</w:t>
            </w:r>
          </w:p>
        </w:tc>
      </w:tr>
      <w:tr>
        <w:tc>
          <w:tcPr>
            <w:tcW w:type="dxa" w:w="3216"/>
          </w:tcPr>
          <w:p>
            <w:r>
              <w:rPr>
                <w:sz w:val="19"/>
              </w:rPr>
              <w:t>Phillips, K. et al. (2014). "Wilderness Search Strategy and Tactics." Wilderness &amp; Environmental Medicine, 25(2).</w:t>
            </w:r>
          </w:p>
        </w:tc>
        <w:tc>
          <w:tcPr>
            <w:tcW w:type="dxa" w:w="3216"/>
          </w:tcPr>
          <w:p>
            <w:r>
              <w:rPr>
                <w:sz w:val="19"/>
              </w:rPr>
              <w:t>https://doi.org/10.1016/j.wem.2014.02.006</w:t>
            </w:r>
          </w:p>
        </w:tc>
        <w:tc>
          <w:tcPr>
            <w:tcW w:type="dxa" w:w="3216"/>
          </w:tcPr>
          <w:p>
            <w:r>
              <w:rPr>
                <w:sz w:val="19"/>
              </w:rPr>
              <w:t>Peer-reviewed basis for the expanding-search-radius model (radius = speed x elapsed time).</w:t>
            </w:r>
          </w:p>
        </w:tc>
      </w:tr>
      <w:tr>
        <w:tc>
          <w:tcPr>
            <w:tcW w:type="dxa" w:w="3216"/>
          </w:tcPr>
          <w:p>
            <w:r>
              <w:rPr>
                <w:sz w:val="19"/>
              </w:rPr>
              <w:t>The Dupuy Institute (2018). "Breakpoints in U.S. Army Doctrine."</w:t>
            </w:r>
          </w:p>
        </w:tc>
        <w:tc>
          <w:tcPr>
            <w:tcW w:type="dxa" w:w="3216"/>
          </w:tcPr>
          <w:p>
            <w:r>
              <w:rPr>
                <w:sz w:val="19"/>
              </w:rPr>
              <w:t>https://dupuyinstitute.org/2018/04/18/breakpoints-in-u-s-army-doctrine/</w:t>
            </w:r>
          </w:p>
        </w:tc>
        <w:tc>
          <w:tcPr>
            <w:tcW w:type="dxa" w:w="3216"/>
          </w:tcPr>
          <w:p>
            <w:r>
              <w:rPr>
                <w:sz w:val="19"/>
              </w:rPr>
              <w:t>Basis for the morale-collapse model (leadership loss, casualties, surprise).</w:t>
            </w:r>
          </w:p>
        </w:tc>
      </w:tr>
    </w:tbl>
    <w:p/>
    <w:p>
      <w:pPr>
        <w:pStyle w:val="Heading2"/>
      </w:pPr>
      <w:r>
        <w:rPr>
          <w:color w:val="0B0B0B"/>
        </w:rPr>
        <w:t>9.2 Believability / Turing-test evaluation methodology</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CE6F5"/>
          </w:tcPr>
          <w:p>
            <w:r>
              <w:rPr>
                <w:b/>
                <w:sz w:val="19"/>
              </w:rPr>
              <w:t>Source</w:t>
            </w:r>
          </w:p>
        </w:tc>
        <w:tc>
          <w:tcPr>
            <w:tcW w:type="dxa" w:w="3216"/>
            <w:shd w:val="clear" w:color="auto" w:fill="DCE6F5"/>
          </w:tcPr>
          <w:p>
            <w:r>
              <w:rPr>
                <w:b/>
                <w:sz w:val="19"/>
              </w:rPr>
              <w:t>Link</w:t>
            </w:r>
          </w:p>
        </w:tc>
        <w:tc>
          <w:tcPr>
            <w:tcW w:type="dxa" w:w="3216"/>
            <w:shd w:val="clear" w:color="auto" w:fill="DCE6F5"/>
          </w:tcPr>
          <w:p>
            <w:r>
              <w:rPr>
                <w:b/>
                <w:sz w:val="19"/>
              </w:rPr>
              <w:t>What it backs</w:t>
            </w:r>
          </w:p>
        </w:tc>
      </w:tr>
      <w:tr>
        <w:tc>
          <w:tcPr>
            <w:tcW w:type="dxa" w:w="3216"/>
          </w:tcPr>
          <w:p>
            <w:r>
              <w:rPr>
                <w:sz w:val="19"/>
              </w:rPr>
              <w:t>Hingston, P. (2009). "A Turing test for computer game bots." IEEE ToCIAIG, 1(3).</w:t>
            </w:r>
          </w:p>
        </w:tc>
        <w:tc>
          <w:tcPr>
            <w:tcW w:type="dxa" w:w="3216"/>
          </w:tcPr>
          <w:p>
            <w:r>
              <w:rPr>
                <w:sz w:val="19"/>
              </w:rPr>
              <w:t>https://ieeexplore.ieee.org/document/5247069/</w:t>
            </w:r>
          </w:p>
        </w:tc>
        <w:tc>
          <w:tcPr>
            <w:tcW w:type="dxa" w:w="3216"/>
          </w:tcPr>
          <w:p>
            <w:r>
              <w:rPr>
                <w:sz w:val="19"/>
              </w:rPr>
              <w:t>The "humanness ratio" Turing-test paradigm the believability study is built on.</w:t>
            </w:r>
          </w:p>
        </w:tc>
      </w:tr>
      <w:tr>
        <w:tc>
          <w:tcPr>
            <w:tcW w:type="dxa" w:w="3216"/>
          </w:tcPr>
          <w:p>
            <w:r>
              <w:rPr>
                <w:sz w:val="19"/>
              </w:rPr>
              <w:t>Gorman, B. et al. (2006). "Believability Testing and Bayesian Imitation." SAB.</w:t>
            </w:r>
          </w:p>
        </w:tc>
        <w:tc>
          <w:tcPr>
            <w:tcW w:type="dxa" w:w="3216"/>
          </w:tcPr>
          <w:p>
            <w:r>
              <w:rPr>
                <w:sz w:val="19"/>
              </w:rPr>
              <w:t>https://link.springer.com/chapter/10.1007/11840541_54</w:t>
            </w:r>
          </w:p>
        </w:tc>
        <w:tc>
          <w:tcPr>
            <w:tcW w:type="dxa" w:w="3216"/>
          </w:tcPr>
          <w:p>
            <w:r>
              <w:rPr>
                <w:sz w:val="19"/>
              </w:rPr>
              <w:t>Source of the main believability instrument (5-point gradient + experience-weighted index).</w:t>
            </w:r>
          </w:p>
        </w:tc>
      </w:tr>
      <w:tr>
        <w:tc>
          <w:tcPr>
            <w:tcW w:type="dxa" w:w="3216"/>
          </w:tcPr>
          <w:p>
            <w:r>
              <w:rPr>
                <w:sz w:val="19"/>
              </w:rPr>
              <w:t>Justesen, N. et al. "Human-like Bots for Tactical Shooters." arXiv:2501.00078.</w:t>
            </w:r>
          </w:p>
        </w:tc>
        <w:tc>
          <w:tcPr>
            <w:tcW w:type="dxa" w:w="3216"/>
          </w:tcPr>
          <w:p>
            <w:r>
              <w:rPr>
                <w:sz w:val="19"/>
              </w:rPr>
              <w:t>https://arxiv.org/abs/2501.00078</w:t>
            </w:r>
          </w:p>
        </w:tc>
        <w:tc>
          <w:tcPr>
            <w:tcW w:type="dxa" w:w="3216"/>
          </w:tcPr>
          <w:p>
            <w:r>
              <w:rPr>
                <w:sz w:val="19"/>
              </w:rPr>
              <w:t>Argues human-likeness, not win-rate, is the right target for tactical-shooter AI.</w:t>
            </w:r>
          </w:p>
        </w:tc>
      </w:tr>
    </w:tbl>
    <w:p/>
    <w:p>
      <w:pPr>
        <w:pStyle w:val="Heading2"/>
      </w:pPr>
      <w:r>
        <w:rPr>
          <w:color w:val="0B0B0B"/>
        </w:rPr>
        <w:t>9.3 Player-experience &amp; workload questionnaires (the actual survey instruments)</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CE6F5"/>
          </w:tcPr>
          <w:p>
            <w:r>
              <w:rPr>
                <w:b/>
                <w:sz w:val="19"/>
              </w:rPr>
              <w:t>Source</w:t>
            </w:r>
          </w:p>
        </w:tc>
        <w:tc>
          <w:tcPr>
            <w:tcW w:type="dxa" w:w="3216"/>
            <w:shd w:val="clear" w:color="auto" w:fill="DCE6F5"/>
          </w:tcPr>
          <w:p>
            <w:r>
              <w:rPr>
                <w:b/>
                <w:sz w:val="19"/>
              </w:rPr>
              <w:t>Link</w:t>
            </w:r>
          </w:p>
        </w:tc>
        <w:tc>
          <w:tcPr>
            <w:tcW w:type="dxa" w:w="3216"/>
            <w:shd w:val="clear" w:color="auto" w:fill="DCE6F5"/>
          </w:tcPr>
          <w:p>
            <w:r>
              <w:rPr>
                <w:b/>
                <w:sz w:val="19"/>
              </w:rPr>
              <w:t>What it backs</w:t>
            </w:r>
          </w:p>
        </w:tc>
      </w:tr>
      <w:tr>
        <w:tc>
          <w:tcPr>
            <w:tcW w:type="dxa" w:w="3216"/>
          </w:tcPr>
          <w:p>
            <w:r>
              <w:rPr>
                <w:sz w:val="19"/>
              </w:rPr>
              <w:t>Bartneck, C. et al. (2009). "Godspeed" measurement instruments. Int J Social Robotics, 1.</w:t>
            </w:r>
          </w:p>
        </w:tc>
        <w:tc>
          <w:tcPr>
            <w:tcW w:type="dxa" w:w="3216"/>
          </w:tcPr>
          <w:p>
            <w:r>
              <w:rPr>
                <w:sz w:val="19"/>
              </w:rPr>
              <w:t>https://doi.org/10.1007/s12369-008-0001-3</w:t>
            </w:r>
          </w:p>
        </w:tc>
        <w:tc>
          <w:tcPr>
            <w:tcW w:type="dxa" w:w="3216"/>
          </w:tcPr>
          <w:p>
            <w:r>
              <w:rPr>
                <w:sz w:val="19"/>
              </w:rPr>
              <w:t>Exact source of the "Perceived Intelligence" and "Animacy" survey items.</w:t>
            </w:r>
          </w:p>
        </w:tc>
      </w:tr>
      <w:tr>
        <w:tc>
          <w:tcPr>
            <w:tcW w:type="dxa" w:w="3216"/>
          </w:tcPr>
          <w:p>
            <w:r>
              <w:rPr>
                <w:sz w:val="19"/>
              </w:rPr>
              <w:t>Schrepp, M. et al. (2017). UEQ-S short form. IJIMAI, 4(6).</w:t>
            </w:r>
          </w:p>
        </w:tc>
        <w:tc>
          <w:tcPr>
            <w:tcW w:type="dxa" w:w="3216"/>
          </w:tcPr>
          <w:p>
            <w:r>
              <w:rPr>
                <w:sz w:val="19"/>
              </w:rPr>
              <w:t>https://doi.org/10.9781/ijimai.2017.09.001</w:t>
            </w:r>
          </w:p>
        </w:tc>
        <w:tc>
          <w:tcPr>
            <w:tcW w:type="dxa" w:w="3216"/>
          </w:tcPr>
          <w:p>
            <w:r>
              <w:rPr>
                <w:sz w:val="19"/>
              </w:rPr>
              <w:t>Source of the Pragmatic / Hedonic UEQ-S questions.</w:t>
            </w:r>
          </w:p>
        </w:tc>
      </w:tr>
      <w:tr>
        <w:tc>
          <w:tcPr>
            <w:tcW w:type="dxa" w:w="3216"/>
          </w:tcPr>
          <w:p>
            <w:r>
              <w:rPr>
                <w:sz w:val="19"/>
              </w:rPr>
              <w:t>Harris, D.J. et al. (2020). "SIM-TLX." Virtual Reality, 24.</w:t>
            </w:r>
          </w:p>
        </w:tc>
        <w:tc>
          <w:tcPr>
            <w:tcW w:type="dxa" w:w="3216"/>
          </w:tcPr>
          <w:p>
            <w:r>
              <w:rPr>
                <w:sz w:val="19"/>
              </w:rPr>
              <w:t>https://doi.org/10.1007/s10055-019-00422-9</w:t>
            </w:r>
          </w:p>
        </w:tc>
        <w:tc>
          <w:tcPr>
            <w:tcW w:type="dxa" w:w="3216"/>
          </w:tcPr>
          <w:p>
            <w:r>
              <w:rPr>
                <w:sz w:val="19"/>
              </w:rPr>
              <w:t>The instrument the "Workload" tab (SimTlxTab.jsx) implements.</w:t>
            </w:r>
          </w:p>
        </w:tc>
      </w:tr>
      <w:tr>
        <w:tc>
          <w:tcPr>
            <w:tcW w:type="dxa" w:w="3216"/>
          </w:tcPr>
          <w:p>
            <w:r>
              <w:rPr>
                <w:sz w:val="19"/>
              </w:rPr>
              <w:t>Harris, D.J. et al. (2020). Frontiers in Psychology, art. 605.</w:t>
            </w:r>
          </w:p>
        </w:tc>
        <w:tc>
          <w:tcPr>
            <w:tcW w:type="dxa" w:w="3216"/>
          </w:tcPr>
          <w:p>
            <w:r>
              <w:rPr>
                <w:sz w:val="19"/>
              </w:rPr>
              <w:t>https://pmc.ncbi.nlm.nih.gov/articles/PMC7136518/</w:t>
            </w:r>
          </w:p>
        </w:tc>
        <w:tc>
          <w:tcPr>
            <w:tcW w:type="dxa" w:w="3216"/>
          </w:tcPr>
          <w:p>
            <w:r>
              <w:rPr>
                <w:sz w:val="19"/>
              </w:rPr>
              <w:t>"Face validity is not construct validity" — the argument the SME-review plan is built on.</w:t>
            </w:r>
          </w:p>
        </w:tc>
      </w:tr>
    </w:tbl>
    <w:p/>
    <w:p>
      <w:pPr>
        <w:pStyle w:val="Heading2"/>
      </w:pPr>
      <w:r>
        <w:rPr>
          <w:color w:val="0B0B0B"/>
        </w:rPr>
        <w:t>9.4 NPC responder-selection technique grounding</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CE6F5"/>
          </w:tcPr>
          <w:p>
            <w:r>
              <w:rPr>
                <w:b/>
                <w:sz w:val="19"/>
              </w:rPr>
              <w:t>Source</w:t>
            </w:r>
          </w:p>
        </w:tc>
        <w:tc>
          <w:tcPr>
            <w:tcW w:type="dxa" w:w="3216"/>
            <w:shd w:val="clear" w:color="auto" w:fill="DCE6F5"/>
          </w:tcPr>
          <w:p>
            <w:r>
              <w:rPr>
                <w:b/>
                <w:sz w:val="19"/>
              </w:rPr>
              <w:t>Link</w:t>
            </w:r>
          </w:p>
        </w:tc>
        <w:tc>
          <w:tcPr>
            <w:tcW w:type="dxa" w:w="3216"/>
            <w:shd w:val="clear" w:color="auto" w:fill="DCE6F5"/>
          </w:tcPr>
          <w:p>
            <w:r>
              <w:rPr>
                <w:b/>
                <w:sz w:val="19"/>
              </w:rPr>
              <w:t>What it backs</w:t>
            </w:r>
          </w:p>
        </w:tc>
      </w:tr>
      <w:tr>
        <w:tc>
          <w:tcPr>
            <w:tcW w:type="dxa" w:w="3216"/>
          </w:tcPr>
          <w:p>
            <w:r>
              <w:rPr>
                <w:sz w:val="19"/>
              </w:rPr>
              <w:t>Mark, D. (2009). Behavioral Mathematics for Game AI.</w:t>
            </w:r>
          </w:p>
        </w:tc>
        <w:tc>
          <w:tcPr>
            <w:tcW w:type="dxa" w:w="3216"/>
          </w:tcPr>
          <w:p>
            <w:r>
              <w:rPr>
                <w:sz w:val="19"/>
              </w:rPr>
              <w:t>archive.org (borrow-only — see note below)</w:t>
            </w:r>
          </w:p>
        </w:tc>
        <w:tc>
          <w:tcPr>
            <w:tcW w:type="dxa" w:w="3216"/>
          </w:tcPr>
          <w:p>
            <w:r>
              <w:rPr>
                <w:sz w:val="19"/>
              </w:rPr>
              <w:t>Foundational utility-AI text: the technique NPCSelector follows.</w:t>
            </w:r>
          </w:p>
        </w:tc>
      </w:tr>
      <w:tr>
        <w:tc>
          <w:tcPr>
            <w:tcW w:type="dxa" w:w="3216"/>
          </w:tcPr>
          <w:p>
            <w:r>
              <w:rPr>
                <w:sz w:val="19"/>
              </w:rPr>
              <w:t>Mark, D. &amp; Dill, K. (2010). "Improving AI Decision Modeling Through Utility Theory." GDC.</w:t>
            </w:r>
          </w:p>
        </w:tc>
        <w:tc>
          <w:tcPr>
            <w:tcW w:type="dxa" w:w="3216"/>
          </w:tcPr>
          <w:p>
            <w:r>
              <w:rPr>
                <w:sz w:val="19"/>
              </w:rPr>
              <w:t>https://media.gdcvault.com/gdc10/slides/MarkDill_ImprovingAIUtilityTheory.pdf</w:t>
            </w:r>
          </w:p>
        </w:tc>
        <w:tc>
          <w:tcPr>
            <w:tcW w:type="dxa" w:w="3216"/>
          </w:tcPr>
          <w:p>
            <w:r>
              <w:rPr>
                <w:sz w:val="19"/>
              </w:rPr>
              <w:t>Confirmed working direct PDF. Pitched the technique to the wider industry as a shippable architecture.</w:t>
            </w:r>
          </w:p>
        </w:tc>
      </w:tr>
      <w:tr>
        <w:tc>
          <w:tcPr>
            <w:tcW w:type="dxa" w:w="3216"/>
          </w:tcPr>
          <w:p>
            <w:r>
              <w:rPr>
                <w:sz w:val="19"/>
              </w:rPr>
              <w:t>Dill, K. &amp; Martin, L. (2011). "A Game AI Approach to Autonomous Control of Virtual Characters." I/ITSEC.</w:t>
            </w:r>
          </w:p>
        </w:tc>
        <w:tc>
          <w:tcPr>
            <w:tcW w:type="dxa" w:w="3216"/>
          </w:tcPr>
          <w:p>
            <w:r>
              <w:rPr>
                <w:sz w:val="19"/>
              </w:rPr>
              <w:t>https://web.archive.org/web/20240416015323/https://course.ccs.neu.edu/cs5150f13/readings/dill_granny.pdf</w:t>
            </w:r>
          </w:p>
        </w:tc>
        <w:tc>
          <w:tcPr>
            <w:tcW w:type="dxa" w:w="3216"/>
          </w:tcPr>
          <w:p>
            <w:r>
              <w:rPr>
                <w:sz w:val="19"/>
              </w:rPr>
              <w:t>Utility-based AI for MILITARY-TRAINING virtual characters specifically — the strongest domain-match citation.</w:t>
            </w:r>
          </w:p>
        </w:tc>
      </w:tr>
      <w:tr>
        <w:tc>
          <w:tcPr>
            <w:tcW w:type="dxa" w:w="3216"/>
          </w:tcPr>
          <w:p>
            <w:r>
              <w:rPr>
                <w:sz w:val="19"/>
              </w:rPr>
              <w:t>Dill, K. (2012). "Design Patterns for the Configuration of Utility-Based AI." I/ITSEC.</w:t>
            </w:r>
          </w:p>
        </w:tc>
        <w:tc>
          <w:tcPr>
            <w:tcW w:type="dxa" w:w="3216"/>
          </w:tcPr>
          <w:p>
            <w:r>
              <w:rPr>
                <w:sz w:val="19"/>
              </w:rPr>
              <w:t>https://web.archive.org/web/20250709085313/https://course.ccs.neu.edu/cs5150f13/readings/dill_designpatterns.pdf</w:t>
            </w:r>
          </w:p>
        </w:tc>
        <w:tc>
          <w:tcPr>
            <w:tcW w:type="dxa" w:w="3216"/>
          </w:tcPr>
          <w:p>
            <w:r>
              <w:rPr>
                <w:sz w:val="19"/>
              </w:rPr>
              <w:t>Structuring/configuring a utility-AI scoring system.</w:t>
            </w:r>
          </w:p>
        </w:tc>
      </w:tr>
    </w:tbl>
    <w:p/>
    <w:p>
      <w:r>
        <w:rPr>
          <w:b/>
        </w:rPr>
        <w:t>Note on the Mark (2009) book: confirmed via direct check that archive.org lists it under Controlled Digital Lending ("Access-restricted-item: true") — it requires a free account and a temporary borrow, not a download. This is normal for a commercially published book (unlike the papers above) and is not a broken link.</w:t>
      </w:r>
    </w:p>
    <w:p>
      <w:r>
        <w:rPr>
          <w:b/>
        </w:rPr>
        <w:t>Note on the two Dill I/ITSEC papers: the original course.ccs.neu.edu links are dead (404 — the hosting course page was taken down). The links above are Wayback Machine snapshots, confirmed live via the Wayback availability API. If either stops working, search "site:web.archive.org [paper title]" for a fresh snapshot.</w:t>
      </w:r>
    </w:p>
    <w:p>
      <w:r>
        <w:t>Full 43-source bibliography with every group (statistics methodology, multi-robot task allocation, weapon-target assignment, etc.) is in MODULE2_MASTER_BIBLIOGRAPHY.md / .docx — this section covers only the sources most likely to come up in a live Q&amp;A.</w:t>
      </w:r>
    </w:p>
    <w:p>
      <w:pPr>
        <w:pStyle w:val="Heading1"/>
      </w:pPr>
      <w:r>
        <w:rPr>
          <w:color w:val="0B0B0B"/>
        </w:rPr>
        <w:t>11. Open Items — track before the evaluation</w:t>
      </w:r>
    </w:p>
    <w:p>
      <w:pPr>
        <w:pStyle w:val="ListBullet"/>
      </w:pPr>
      <w:r>
        <w:t>No SME (subject-matter expert) comparison has been run yet — this is the only thing that could establish ground-truth "correctness" for the selection formula, as opposed to robustness. Planned in MODULE2_EVALUATION_METHODOLOGY.md Part B5, not yet executed.</w:t>
      </w:r>
    </w:p>
    <w:p>
      <w:pPr>
        <w:pStyle w:val="ListBullet"/>
      </w:pPr>
      <w:r>
        <w:t>The 45-world "full" weight-sensitivity design (varying arena scale, not just event type and seed) was scoped but not run — the current sensitivity study still only tests one arena size (30m x 30m).</w:t>
      </w:r>
    </w:p>
    <w:p>
      <w:pPr>
        <w:pStyle w:val="ListBullet"/>
      </w:pPr>
      <w:r>
        <w:t>ATP 3-21.8 has no verified free authoritative link — only unofficial mirrors.</w:t>
      </w:r>
    </w:p>
    <w:p>
      <w:pPr>
        <w:pStyle w:val="ListBullet"/>
      </w:pPr>
      <w:r>
        <w:t>Two citation discrepancies flagged in the master bibliography (#12 DiVA thesis title/authors, #20 Almeida FPS-AI review authors) — re-check against original sources before citing in front of an evaluator.</w:t>
      </w:r>
    </w:p>
    <w:p>
      <w:pPr>
        <w:pStyle w:val="ListBullet"/>
      </w:pPr>
      <w:r>
        <w:t>The three behaviour fixes in Section 7 need an actual VR playtest confirmation — not yet done.</w:t>
      </w:r>
    </w:p>
    <w:p>
      <w:r>
        <w:t>Add new findings to this section (or a new numbered section above it) as they come up — that is the point of this being a living document.</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0B0B0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