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6C732">
      <w:pPr>
        <w:spacing w:after="0"/>
        <w:jc w:val="center"/>
        <w:rPr>
          <w:sz w:val="21"/>
          <w:szCs w:val="24"/>
        </w:rPr>
      </w:pPr>
      <w:bookmarkStart w:id="0" w:name="_GoBack"/>
      <w:r>
        <w:rPr>
          <w:rFonts w:ascii="微软雅黑" w:hAnsi="微软雅黑" w:eastAsia="微软雅黑"/>
          <w:b/>
          <w:color w:val="000000"/>
          <w:sz w:val="40"/>
          <w:szCs w:val="24"/>
        </w:rPr>
        <w:t>座联互动</w:t>
      </w:r>
      <w:r>
        <w:rPr>
          <w:rFonts w:hint="eastAsia"/>
          <w:b/>
          <w:color w:val="000000"/>
          <w:sz w:val="40"/>
          <w:szCs w:val="24"/>
          <w:lang w:val="en-US" w:eastAsia="zh-CN"/>
        </w:rPr>
        <w:t>参考</w:t>
      </w:r>
      <w:r>
        <w:rPr>
          <w:rFonts w:ascii="微软雅黑" w:hAnsi="微软雅黑" w:eastAsia="微软雅黑"/>
          <w:b/>
          <w:color w:val="000000"/>
          <w:sz w:val="40"/>
          <w:szCs w:val="24"/>
        </w:rPr>
        <w:t>供应商筛选表</w:t>
      </w:r>
    </w:p>
    <w:bookmarkEnd w:id="0"/>
    <w:p w14:paraId="6687464F">
      <w:pPr>
        <w:spacing w:after="60"/>
      </w:pPr>
      <w:r>
        <w:rPr>
          <w:rFonts w:ascii="微软雅黑" w:hAnsi="微软雅黑" w:eastAsia="微软雅黑"/>
          <w:color w:val="5A5A5A"/>
          <w:sz w:val="19"/>
        </w:rPr>
        <w:t>筛选口径：本次评分综合五个维度：服务匹配度、API 开放程度、合作资质清晰度、合作案例/业务真实性、合规与落地风险。酒店 / 景点门票 / 综合供应平台取前 7 名；专车 / 接送机平台取前 4 名。</w:t>
      </w:r>
    </w:p>
    <w:tbl>
      <w:tblPr>
        <w:tblStyle w:val="32"/>
        <w:tblW w:w="14000" w:type="dxa"/>
        <w:tblInd w:w="0" w:type="dxa"/>
        <w:tblBorders>
          <w:top w:val="single" w:color="D8DEE8" w:sz="6" w:space="0"/>
          <w:left w:val="single" w:color="D8DEE8" w:sz="6" w:space="0"/>
          <w:bottom w:val="single" w:color="D8DEE8" w:sz="6" w:space="0"/>
          <w:right w:val="single" w:color="D8DEE8" w:sz="6" w:space="0"/>
          <w:insideH w:val="single" w:color="D8DEE8" w:sz="6" w:space="0"/>
          <w:insideV w:val="single" w:color="D8DEE8" w:sz="6" w:space="0"/>
        </w:tblBorders>
        <w:shd w:val="clear" w:color="auto" w:fill="DCE6F2" w:themeFill="accent1" w:themeFillTint="32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0"/>
      </w:tblGrid>
      <w:tr w14:paraId="1CB6FCE8">
        <w:tc>
          <w:tcPr>
            <w:tcW w:w="14000" w:type="dxa"/>
            <w:shd w:val="clear" w:color="auto" w:fill="DCE6F2" w:themeFill="accent1" w:themeFillTint="32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CC9281">
            <w:pPr>
              <w:spacing w:after="0" w:line="228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E1E1E"/>
                <w:sz w:val="17"/>
              </w:rPr>
              <w:t>合作判断：优先选择公开资料显示具备企业合作、API/H5 接入或成熟客户案例的平台，后续以商务提供的正式合同、沙箱、生产权限和结算条款为准。</w:t>
            </w:r>
          </w:p>
        </w:tc>
      </w:tr>
    </w:tbl>
    <w:p w14:paraId="6A9EDA0B">
      <w:pPr>
        <w:spacing w:after="0"/>
        <w:rPr>
          <w:sz w:val="21"/>
          <w:szCs w:val="24"/>
        </w:rPr>
      </w:pPr>
    </w:p>
    <w:p w14:paraId="1B23C464">
      <w:pPr>
        <w:spacing w:before="140" w:after="60"/>
        <w:jc w:val="center"/>
        <w:rPr>
          <w:sz w:val="21"/>
          <w:szCs w:val="24"/>
        </w:rPr>
      </w:pPr>
      <w:r>
        <w:rPr>
          <w:rFonts w:ascii="微软雅黑" w:hAnsi="微软雅黑" w:eastAsia="微软雅黑"/>
          <w:b/>
          <w:color w:val="1F4E79"/>
          <w:sz w:val="28"/>
          <w:szCs w:val="24"/>
        </w:rPr>
        <w:t>一、酒店 / 景点门票 / 综合供应平台（前 7 名）</w:t>
      </w:r>
    </w:p>
    <w:tbl>
      <w:tblPr>
        <w:tblStyle w:val="33"/>
        <w:tblW w:w="13950" w:type="dxa"/>
        <w:jc w:val="center"/>
        <w:tblBorders>
          <w:top w:val="single" w:color="B7C4D1" w:sz="6" w:space="0"/>
          <w:left w:val="single" w:color="B7C4D1" w:sz="6" w:space="0"/>
          <w:bottom w:val="single" w:color="B7C4D1" w:sz="6" w:space="0"/>
          <w:right w:val="single" w:color="B7C4D1" w:sz="6" w:space="0"/>
          <w:insideH w:val="single" w:color="B7C4D1" w:sz="6" w:space="0"/>
          <w:insideV w:val="single" w:color="B7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50"/>
        <w:gridCol w:w="3900"/>
        <w:gridCol w:w="2500"/>
        <w:gridCol w:w="4200"/>
      </w:tblGrid>
      <w:tr w14:paraId="4BA928DA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E2CB6A2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平台名字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7E5C2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服务内容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9220C7C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资质背景介绍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095CAD6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详细 API 文档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3FEA24A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合作可能性</w:t>
            </w:r>
          </w:p>
          <w:p w14:paraId="385AD7E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（程度 + 案例）</w:t>
            </w:r>
          </w:p>
        </w:tc>
      </w:tr>
      <w:tr w14:paraId="58706FAF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77B9D97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道旅旅游 / DidaTravel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8666A4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酒店：强</w:t>
            </w:r>
          </w:p>
          <w:p w14:paraId="451CD0F6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景点：体验活动</w:t>
            </w:r>
          </w:p>
          <w:p w14:paraId="085C75E8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专车：商务确认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8C94BA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全球酒店 B2B/旅游分销平台，官网产品线覆盖酒店、体验、Dida Go。</w:t>
            </w:r>
          </w:p>
          <w:p w14:paraId="1D1769D2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 API 上线流程清楚，业务连续性和技术文档质量最好。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40B87FD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</w:t>
            </w:r>
          </w:p>
          <w:p w14:paraId="19A323EE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 Booking + Content 文档完整；体验/接送机 API 需商务确认。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23F251D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高</w:t>
            </w:r>
          </w:p>
          <w:p w14:paraId="3847B6D9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SiteMinder、泰坦云等案例可核验；建议第一优先，先接酒店。</w:t>
            </w:r>
          </w:p>
        </w:tc>
      </w:tr>
      <w:tr w14:paraId="693CD512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2341C18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深圳捷旅国际 / 房掌柜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ACC9E9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酒店：强</w:t>
            </w:r>
          </w:p>
          <w:p w14:paraId="0A58C8DF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景点：弱</w:t>
            </w:r>
          </w:p>
          <w:p w14:paraId="541D12BB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专车：无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AEC3F4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国内/港澳酒店 B2B 资源平台，房掌柜有分销入口和公开协议。</w:t>
            </w:r>
          </w:p>
          <w:p w14:paraId="5D2EAF06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合同、结算、分销合作形态相对清楚。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296085C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</w:t>
            </w:r>
          </w:p>
          <w:p w14:paraId="7F8A662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酒店开放平台入口和字段页可查。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E41BD01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高</w:t>
            </w:r>
          </w:p>
          <w:p w14:paraId="1C3B3060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房掌柜与 CHINAonline 等合作可核验；适合国内/港澳酒店补充供应。</w:t>
            </w:r>
          </w:p>
        </w:tc>
      </w:tr>
      <w:tr w14:paraId="471A2031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98532F1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红色加力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06A54AD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酒店：强</w:t>
            </w:r>
          </w:p>
          <w:p w14:paraId="241802FC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景点：无</w:t>
            </w:r>
          </w:p>
          <w:p w14:paraId="4EEB24B4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专车：无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C6516C4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企业差旅/酒店供应链服务商，偏企业商旅、公付和酒店供应链。</w:t>
            </w:r>
          </w:p>
          <w:p w14:paraId="2626376F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公开客户案例强，适合企业客户用房和商旅管理。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24A212D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模糊</w:t>
            </w:r>
          </w:p>
          <w:p w14:paraId="5F4F2B4E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有开发文档说明，详细参数和正式地址需商务获取。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F3C37D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高</w:t>
            </w:r>
          </w:p>
          <w:p w14:paraId="4B53F8FA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中移动、鞍钢、国网商旅云、保利/雷迪森等案例；酒店候选。</w:t>
            </w:r>
          </w:p>
        </w:tc>
      </w:tr>
      <w:tr w14:paraId="423A59B9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1569378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票付通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B2FA55B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酒店：弱</w:t>
            </w:r>
          </w:p>
          <w:p w14:paraId="75E62B0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景点：强</w:t>
            </w:r>
          </w:p>
          <w:p w14:paraId="75DCDDBD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专车：无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8AF8D05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景区票务和文旅分销生态平台，覆盖景区、旅行社、OTA、分销商。</w:t>
            </w:r>
          </w:p>
          <w:p w14:paraId="535DFCE9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更适合座联补齐景点门票能力。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EAF53B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有/受限</w:t>
            </w:r>
          </w:p>
          <w:p w14:paraId="6F433771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有开发者平台入口，字段级文档需账号或权限。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B6E4FE0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较高</w:t>
            </w:r>
          </w:p>
          <w:p w14:paraId="5F5A487C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5300+ 景区、32 万+ 分销生态及景区案例；门票第一候选。</w:t>
            </w:r>
          </w:p>
        </w:tc>
      </w:tr>
      <w:tr w14:paraId="1759E01C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5C7128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易景通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FAE29D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酒店：套餐补充</w:t>
            </w:r>
          </w:p>
          <w:p w14:paraId="5A7197B6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景点：强</w:t>
            </w:r>
          </w:p>
          <w:p w14:paraId="32B68F67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专车：无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2DFBAA8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智慧景区系统商，案例集中在景区票务、闸机、渠道分销。</w:t>
            </w:r>
          </w:p>
          <w:p w14:paraId="4C7A2FA6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可做景区一手库存或 OTA 渠道对接，准入需确认。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6CA0FEF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模糊</w:t>
            </w:r>
          </w:p>
          <w:p w14:paraId="398EE2E6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 API 开放平台说明，未见完整字段级文档公开。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3AF7B7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中高</w:t>
            </w:r>
          </w:p>
          <w:p w14:paraId="792684F0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公开景区案例多；进入前需确认 OTA/旅行社分销方准入。</w:t>
            </w:r>
          </w:p>
        </w:tc>
      </w:tr>
      <w:tr w14:paraId="0182201F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52E7883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泰坦云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9297301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酒店：强</w:t>
            </w:r>
          </w:p>
          <w:p w14:paraId="6411C65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景点：无</w:t>
            </w:r>
          </w:p>
          <w:p w14:paraId="1EBA0C23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专车：无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5FD0458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酒店分销技术/SaaS 服务商，面向旅行社、包房商、酒店集团和 TMC。</w:t>
            </w:r>
          </w:p>
          <w:p w14:paraId="4F1077BA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角色偏技术连接层，库存仍需另签供应方。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106D91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模糊</w:t>
            </w:r>
          </w:p>
          <w:p w14:paraId="08A48758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未见公开字段级 API；官网和案例提 API 集成能力。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E3F0A08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中高</w:t>
            </w:r>
          </w:p>
          <w:p w14:paraId="38C299AB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与道旅、途牛、绿云等 API/直连案例强；商务合作候选。</w:t>
            </w:r>
          </w:p>
        </w:tc>
      </w:tr>
      <w:tr w14:paraId="5BBD3B8A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6DF75CE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智游宝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5C6D21E">
            <w:pPr>
              <w:spacing w:after="0" w:line="228" w:lineRule="auto"/>
              <w:jc w:val="center"/>
              <w:rPr>
                <w:rFonts w:hint="eastAsia" w:eastAsia="微软雅黑"/>
                <w:sz w:val="21"/>
                <w:szCs w:val="24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酒店：</w:t>
            </w:r>
            <w:r>
              <w:rPr>
                <w:rFonts w:hint="eastAsia"/>
                <w:b w:val="0"/>
                <w:color w:val="1E1E1E"/>
                <w:sz w:val="16"/>
                <w:szCs w:val="24"/>
                <w:lang w:val="en-US" w:eastAsia="zh-CN"/>
              </w:rPr>
              <w:t>中</w:t>
            </w:r>
          </w:p>
          <w:p w14:paraId="21636E0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景点：强</w:t>
            </w:r>
          </w:p>
          <w:p w14:paraId="4C030F77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专车：无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B1D554F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早期旅游票务/景区分销系统，覆盖门票、酒店、餐饮、线路等。</w:t>
            </w:r>
          </w:p>
          <w:p w14:paraId="52FC69BB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业务真实度高，但现代公开 API 透明度不足。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E39BDF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模糊</w:t>
            </w:r>
          </w:p>
          <w:p w14:paraId="2F488471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未找到公开详细 API 文档。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7F8A0D90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中</w:t>
            </w:r>
          </w:p>
          <w:p w14:paraId="691E5035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与携程、驴妈妈升级对接等历史案例；适合商务沟通。</w:t>
            </w:r>
          </w:p>
        </w:tc>
      </w:tr>
    </w:tbl>
    <w:p w14:paraId="23208D4C">
      <w:pPr>
        <w:rPr>
          <w:sz w:val="21"/>
          <w:szCs w:val="24"/>
        </w:rPr>
      </w:pPr>
      <w:r>
        <w:br w:type="page"/>
      </w:r>
    </w:p>
    <w:p w14:paraId="795B7E06">
      <w:pPr>
        <w:spacing w:before="140" w:after="60"/>
        <w:jc w:val="center"/>
        <w:rPr>
          <w:sz w:val="21"/>
          <w:szCs w:val="24"/>
        </w:rPr>
      </w:pPr>
      <w:r>
        <w:rPr>
          <w:rFonts w:ascii="微软雅黑" w:hAnsi="微软雅黑" w:eastAsia="微软雅黑"/>
          <w:b/>
          <w:color w:val="1F4E79"/>
          <w:sz w:val="28"/>
          <w:szCs w:val="24"/>
        </w:rPr>
        <w:t>二、专车 / 接送机平台（前 4 名）</w:t>
      </w:r>
    </w:p>
    <w:tbl>
      <w:tblPr>
        <w:tblStyle w:val="33"/>
        <w:tblW w:w="13950" w:type="dxa"/>
        <w:jc w:val="center"/>
        <w:tblBorders>
          <w:top w:val="single" w:color="B7C4D1" w:sz="6" w:space="0"/>
          <w:left w:val="single" w:color="B7C4D1" w:sz="6" w:space="0"/>
          <w:bottom w:val="single" w:color="B7C4D1" w:sz="6" w:space="0"/>
          <w:right w:val="single" w:color="B7C4D1" w:sz="6" w:space="0"/>
          <w:insideH w:val="single" w:color="B7C4D1" w:sz="6" w:space="0"/>
          <w:insideV w:val="single" w:color="B7C4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850"/>
        <w:gridCol w:w="3900"/>
        <w:gridCol w:w="2500"/>
        <w:gridCol w:w="4200"/>
      </w:tblGrid>
      <w:tr w14:paraId="1227805B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8569FF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平台名字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913DB37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服务内容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61C81AD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资质背景介绍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5A901A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详细 API 文档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CA1DA54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合作可能性</w:t>
            </w:r>
          </w:p>
          <w:p w14:paraId="53BFE9C5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8"/>
                <w:szCs w:val="24"/>
              </w:rPr>
              <w:t>（程度 + 案例）</w:t>
            </w:r>
          </w:p>
        </w:tc>
      </w:tr>
      <w:tr w14:paraId="1883C503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25304EF1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曹操出行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4A39EEE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企业用车、专车、接送机、商务出行；新能源自营/加盟运力强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FDC97A4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吉利背景，企业用车、专车、接送机、商务出行能力强。</w:t>
            </w:r>
          </w:p>
          <w:p w14:paraId="4C10CEDC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开放平台路径清楚，适合做企业用车 API 联调。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4A2012E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</w:t>
            </w:r>
          </w:p>
          <w:p w14:paraId="419201D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开放平台文档完整，含沙箱、正式应用、企业用车/H5/管理接口。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BB711C2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高</w:t>
            </w:r>
          </w:p>
          <w:p w14:paraId="1715885D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开放平台支持企业/出行平台接入；适合先做企业用车 API PoC。</w:t>
            </w:r>
          </w:p>
        </w:tc>
      </w:tr>
      <w:tr w14:paraId="7579372F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A4E955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首汽约车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002333AE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专车、出租车、国际用车、巴士、接送机、包车、政企公务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B2214E9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首旅/首汽国资背景，高端专车、政企公务、会务和接送机能力强。</w:t>
            </w:r>
          </w:p>
          <w:p w14:paraId="555CCF19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适合政企客户、高品质接待和会议用车。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1C22DA1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</w:t>
            </w:r>
          </w:p>
          <w:p w14:paraId="45DF8002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OpenAPI 文档完整，覆盖专车、出租车、国际用车、巴士等。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EDB7338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高</w:t>
            </w:r>
          </w:p>
          <w:p w14:paraId="4F110D6D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公开文档完整；需商务确认合同、结算、生产权限。</w:t>
            </w:r>
          </w:p>
        </w:tc>
      </w:tr>
      <w:tr w14:paraId="53581362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8D30857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神州专车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981BEA3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商务专车、接送机、企业用车、H5 内嵌叫车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C7C3B32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神州专车/神州租车体系，商务专车、接送机、企业用车标准化较强。</w:t>
            </w:r>
          </w:p>
          <w:p w14:paraId="66873E08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自营和企业能力有利于服务稳定。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9E9DFE8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有</w:t>
            </w:r>
          </w:p>
          <w:p w14:paraId="602C61D4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开放平台支持 H5/API，OAuth、订单、企业、充值等字段清楚。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BF0EE80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高</w:t>
            </w:r>
          </w:p>
          <w:p w14:paraId="0AA112E4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注册应用、回调 URL、企业账户路径清楚；适合先做 H5 Demo，再做 API 深接。</w:t>
            </w:r>
          </w:p>
        </w:tc>
      </w:tr>
      <w:tr w14:paraId="6E832C6F">
        <w:trPr>
          <w:jc w:val="center"/>
        </w:trPr>
        <w:tc>
          <w:tcPr>
            <w:tcW w:w="1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1C89BB40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/>
                <w:color w:val="1E1E1E"/>
                <w:sz w:val="16"/>
                <w:szCs w:val="24"/>
              </w:rPr>
              <w:t>享道出行</w:t>
            </w:r>
          </w:p>
        </w:tc>
        <w:tc>
          <w:tcPr>
            <w:tcW w:w="185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442AE744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网约车、企业出行、租车、Robotaxi 等全场景出行</w:t>
            </w:r>
          </w:p>
        </w:tc>
        <w:tc>
          <w:tcPr>
            <w:tcW w:w="39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53DAE38D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上汽背景，覆盖网约车、企业出行、租车、Robotaxi 等。</w:t>
            </w:r>
          </w:p>
          <w:p w14:paraId="20AF90B3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长三角和上海场景有价值，需商务确认完整接入权限。</w:t>
            </w:r>
          </w:p>
        </w:tc>
        <w:tc>
          <w:tcPr>
            <w:tcW w:w="25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3CBD79C6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模糊</w:t>
            </w:r>
          </w:p>
          <w:p w14:paraId="6EF169F2">
            <w:pPr>
              <w:spacing w:after="0" w:line="228" w:lineRule="auto"/>
              <w:jc w:val="center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可见订单 API 片段，完整开放平台、沙箱和生产权限需商务确认。</w:t>
            </w:r>
          </w:p>
        </w:tc>
        <w:tc>
          <w:tcPr>
            <w:tcW w:w="4200" w:type="dxa"/>
            <w:shd w:val="clear" w:color="auto" w:fill="auto"/>
            <w:tcMar>
              <w:top w:w="45" w:type="dxa"/>
              <w:left w:w="95" w:type="dxa"/>
              <w:bottom w:w="45" w:type="dxa"/>
              <w:right w:w="95" w:type="dxa"/>
            </w:tcMar>
            <w:vAlign w:val="center"/>
          </w:tcPr>
          <w:p w14:paraId="602E6428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中</w:t>
            </w:r>
          </w:p>
          <w:p w14:paraId="450796F1">
            <w:pPr>
              <w:spacing w:after="0" w:line="228" w:lineRule="auto"/>
              <w:jc w:val="left"/>
              <w:rPr>
                <w:sz w:val="21"/>
                <w:szCs w:val="24"/>
              </w:rPr>
            </w:pPr>
            <w:r>
              <w:rPr>
                <w:rFonts w:ascii="微软雅黑" w:hAnsi="微软雅黑" w:eastAsia="微软雅黑"/>
                <w:b w:val="0"/>
                <w:color w:val="1E1E1E"/>
                <w:sz w:val="16"/>
                <w:szCs w:val="24"/>
              </w:rPr>
              <w:t>企业出行客户基础较强；需商务提供完整 API 包、沙箱和合同。</w:t>
            </w:r>
          </w:p>
        </w:tc>
      </w:tr>
    </w:tbl>
    <w:p w14:paraId="60673ED7">
      <w:pPr>
        <w:rPr>
          <w:sz w:val="22"/>
          <w:szCs w:val="28"/>
        </w:rPr>
      </w:pPr>
    </w:p>
    <w:sectPr>
      <w:headerReference r:id="rId5" w:type="default"/>
      <w:footerReference r:id="rId6" w:type="default"/>
      <w:pgSz w:w="15840" w:h="12240" w:orient="landscape"/>
      <w:pgMar w:top="504" w:right="648" w:bottom="504" w:left="648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75030">
    <w:pPr>
      <w:pStyle w:val="2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A97088">
    <w:pPr>
      <w:pStyle w:val="25"/>
      <w:jc w:val="right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810500" cy="1137920"/>
          <wp:effectExtent l="2569210" t="0" r="2592070" b="0"/>
          <wp:wrapNone/>
          <wp:docPr id="2" name="WordPictureWatermark298289" descr="logo-sid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298289" descr="logo-side"/>
                  <pic:cNvPicPr>
                    <a:picLocks noChangeAspect="1"/>
                  </pic:cNvPicPr>
                </pic:nvPicPr>
                <pic:blipFill>
                  <a:blip r:embed="rId1">
                    <a:lum bright="69998" contrast="-70001"/>
                  </a:blip>
                  <a:stretch>
                    <a:fillRect/>
                  </a:stretch>
                </pic:blipFill>
                <pic:spPr>
                  <a:xfrm rot="-2700000">
                    <a:off x="0" y="0"/>
                    <a:ext cx="7810500" cy="1137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documentProtection w:enforcement="0"/>
  <w:defaultTabStop w:val="72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7B8FBA"/>
    <w:rsid w:val="EFFD08F8"/>
    <w:rsid w:val="F6754B12"/>
    <w:rsid w:val="FFC3A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Avogadro.</cp:lastModifiedBy>
  <dcterms:modified xsi:type="dcterms:W3CDTF">2026-06-06T12:39:41Z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C55C1103A95908971D34236AEA3F4409_42</vt:lpwstr>
  </property>
</Properties>
</file>