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5587" w:rsidRDefault="00124614">
      <w:pPr>
        <w:spacing w:after="320"/>
        <w:jc w:val="center"/>
      </w:pPr>
      <w:r>
        <w:rPr>
          <w:b/>
          <w:bCs/>
          <w:sz w:val="32"/>
          <w:szCs w:val="32"/>
        </w:rPr>
        <w:t>Predicting Customer Conversion in Digital Marketing: A Multi-Channel Perspective</w:t>
      </w:r>
    </w:p>
    <w:p w:rsidR="00B75587" w:rsidRDefault="00124614">
      <w:pPr>
        <w:pStyle w:val="Heading1"/>
      </w:pPr>
      <w:r>
        <w:t>1   Introduction</w:t>
      </w:r>
    </w:p>
    <w:p w:rsidR="00B11248" w:rsidRPr="00B11248" w:rsidRDefault="00B11248">
      <w:pPr>
        <w:spacing w:after="160" w:line="276" w:lineRule="auto"/>
        <w:jc w:val="both"/>
        <w:rPr>
          <w:color w:val="1F2937"/>
          <w:sz w:val="24"/>
          <w:szCs w:val="24"/>
          <w:shd w:val="clear" w:color="auto" w:fill="FFFFFF"/>
        </w:rPr>
      </w:pPr>
      <w:r>
        <w:rPr>
          <w:color w:val="1F2937"/>
          <w:sz w:val="24"/>
          <w:szCs w:val="24"/>
          <w:shd w:val="clear" w:color="auto" w:fill="FFFFFF"/>
        </w:rPr>
        <w:t>In the last decade</w:t>
      </w:r>
      <w:r w:rsidRPr="00B11248">
        <w:rPr>
          <w:color w:val="1F2937"/>
          <w:sz w:val="24"/>
          <w:szCs w:val="24"/>
          <w:shd w:val="clear" w:color="auto" w:fill="FFFFFF"/>
        </w:rPr>
        <w:t>, changes in technology have made an impact on how companies sell their prod</w:t>
      </w:r>
      <w:r>
        <w:rPr>
          <w:color w:val="1F2937"/>
          <w:sz w:val="24"/>
          <w:szCs w:val="24"/>
          <w:shd w:val="clear" w:color="auto" w:fill="FFFFFF"/>
        </w:rPr>
        <w:t>ucts and</w:t>
      </w:r>
      <w:r w:rsidRPr="00B11248">
        <w:rPr>
          <w:color w:val="1F2937"/>
          <w:sz w:val="24"/>
          <w:szCs w:val="24"/>
          <w:shd w:val="clear" w:color="auto" w:fill="FFFFFF"/>
        </w:rPr>
        <w:t xml:space="preserve"> interact with</w:t>
      </w:r>
      <w:r>
        <w:rPr>
          <w:color w:val="1F2937"/>
          <w:sz w:val="24"/>
          <w:szCs w:val="24"/>
          <w:shd w:val="clear" w:color="auto" w:fill="FFFFFF"/>
        </w:rPr>
        <w:t xml:space="preserve"> their</w:t>
      </w:r>
      <w:r w:rsidRPr="00B11248">
        <w:rPr>
          <w:color w:val="1F2937"/>
          <w:sz w:val="24"/>
          <w:szCs w:val="24"/>
          <w:shd w:val="clear" w:color="auto" w:fill="FFFFFF"/>
        </w:rPr>
        <w:t xml:space="preserve"> customers. With the large-scale integration of smartphones, evolution of social platforms, and a more data driven way of making decisions, companies have moved their foc</w:t>
      </w:r>
      <w:r>
        <w:rPr>
          <w:color w:val="1F2937"/>
          <w:sz w:val="24"/>
          <w:szCs w:val="24"/>
          <w:shd w:val="clear" w:color="auto" w:fill="FFFFFF"/>
        </w:rPr>
        <w:t>us to digital advertising</w:t>
      </w:r>
      <w:r w:rsidRPr="00B11248">
        <w:rPr>
          <w:color w:val="1F2937"/>
          <w:sz w:val="24"/>
          <w:szCs w:val="24"/>
          <w:shd w:val="clear" w:color="auto" w:fill="FFFFFF"/>
        </w:rPr>
        <w:t xml:space="preserve">. </w:t>
      </w:r>
      <w:r w:rsidRPr="00B11248">
        <w:rPr>
          <w:color w:val="1F2937"/>
          <w:sz w:val="24"/>
          <w:szCs w:val="24"/>
          <w:shd w:val="clear" w:color="auto" w:fill="FFFFFF"/>
        </w:rPr>
        <w:t>The scale of that shift is striking</w:t>
      </w:r>
      <w:r w:rsidRPr="00B11248">
        <w:rPr>
          <w:color w:val="1F2937"/>
          <w:sz w:val="24"/>
          <w:szCs w:val="24"/>
          <w:shd w:val="clear" w:color="auto" w:fill="FFFFFF"/>
        </w:rPr>
        <w:t xml:space="preserve">. Digital media now comprise 72.7% of global advertising, and in the year 2024, the online ads expenditure is expected to surpass USD 790 billion, </w:t>
      </w:r>
      <w:r>
        <w:rPr>
          <w:color w:val="1F2937"/>
          <w:sz w:val="24"/>
          <w:szCs w:val="24"/>
          <w:shd w:val="clear" w:color="auto" w:fill="FFFFFF"/>
        </w:rPr>
        <w:t>with an annual growth of 10.3% [</w:t>
      </w:r>
      <w:r w:rsidRPr="00B11248">
        <w:rPr>
          <w:color w:val="1F2937"/>
          <w:sz w:val="24"/>
          <w:szCs w:val="24"/>
          <w:shd w:val="clear" w:color="auto" w:fill="FFFFFF"/>
        </w:rPr>
        <w:t>1</w:t>
      </w:r>
      <w:r>
        <w:rPr>
          <w:color w:val="1F2937"/>
          <w:sz w:val="24"/>
          <w:szCs w:val="24"/>
          <w:shd w:val="clear" w:color="auto" w:fill="FFFFFF"/>
        </w:rPr>
        <w:t>]</w:t>
      </w:r>
      <w:r w:rsidRPr="00B11248">
        <w:rPr>
          <w:color w:val="1F2937"/>
          <w:sz w:val="24"/>
          <w:szCs w:val="24"/>
          <w:shd w:val="clear" w:color="auto" w:fill="FFFFFF"/>
        </w:rPr>
        <w:t>. Estimates suggest that the global expenditure on the digital media</w:t>
      </w:r>
      <w:r>
        <w:rPr>
          <w:color w:val="1F2937"/>
          <w:sz w:val="24"/>
          <w:szCs w:val="24"/>
          <w:shd w:val="clear" w:color="auto" w:fill="FFFFFF"/>
        </w:rPr>
        <w:t xml:space="preserve"> (digital ad spend)</w:t>
      </w:r>
      <w:r w:rsidRPr="00B11248">
        <w:rPr>
          <w:color w:val="1F2937"/>
          <w:sz w:val="24"/>
          <w:szCs w:val="24"/>
          <w:shd w:val="clear" w:color="auto" w:fill="FFFFFF"/>
        </w:rPr>
        <w:t xml:space="preserve"> in 2025 will be around USD 798.7 billion, and that this will surpas</w:t>
      </w:r>
      <w:r>
        <w:rPr>
          <w:color w:val="1F2937"/>
          <w:sz w:val="24"/>
          <w:szCs w:val="24"/>
          <w:shd w:val="clear" w:color="auto" w:fill="FFFFFF"/>
        </w:rPr>
        <w:t>s USD 870 billion before 2028 [2]</w:t>
      </w:r>
      <w:r w:rsidRPr="00B11248">
        <w:rPr>
          <w:color w:val="1F2937"/>
          <w:sz w:val="24"/>
          <w:szCs w:val="24"/>
          <w:shd w:val="clear" w:color="auto" w:fill="FFFFFF"/>
        </w:rPr>
        <w:t xml:space="preserve">. These numbers help show the confidence </w:t>
      </w:r>
      <w:r>
        <w:rPr>
          <w:color w:val="1F2937"/>
          <w:sz w:val="24"/>
          <w:szCs w:val="24"/>
          <w:shd w:val="clear" w:color="auto" w:fill="FFFFFF"/>
        </w:rPr>
        <w:t>an</w:t>
      </w:r>
      <w:bookmarkStart w:id="0" w:name="_GoBack"/>
      <w:bookmarkEnd w:id="0"/>
      <w:r>
        <w:rPr>
          <w:color w:val="1F2937"/>
          <w:sz w:val="24"/>
          <w:szCs w:val="24"/>
          <w:shd w:val="clear" w:color="auto" w:fill="FFFFFF"/>
        </w:rPr>
        <w:t xml:space="preserve">d the trajectory </w:t>
      </w:r>
      <w:r w:rsidRPr="00B11248">
        <w:rPr>
          <w:color w:val="1F2937"/>
          <w:sz w:val="24"/>
          <w:szCs w:val="24"/>
          <w:shd w:val="clear" w:color="auto" w:fill="FFFFFF"/>
        </w:rPr>
        <w:t>regarding the potential of the digital media.</w:t>
      </w:r>
    </w:p>
    <w:p w:rsidR="00B11248" w:rsidRPr="00B11248" w:rsidRDefault="00B11248">
      <w:pPr>
        <w:spacing w:after="160" w:line="276" w:lineRule="auto"/>
        <w:jc w:val="both"/>
        <w:rPr>
          <w:color w:val="1F2937"/>
          <w:sz w:val="24"/>
          <w:szCs w:val="24"/>
          <w:shd w:val="clear" w:color="auto" w:fill="FFFFFF"/>
        </w:rPr>
      </w:pPr>
      <w:r w:rsidRPr="00B11248">
        <w:rPr>
          <w:color w:val="1F2937"/>
          <w:sz w:val="24"/>
          <w:szCs w:val="24"/>
          <w:shd w:val="clear" w:color="auto" w:fill="FFFFFF"/>
        </w:rPr>
        <w:t xml:space="preserve">Despite the stark focus on digital channels, marketers have an infinite amount of questions, with the main one being: how do we know which ads actually lead to conversions? A conversion is defined as the completion of a desired activity such as a purchase. While most companies have found that advertising on social media, using PPC, and display ads have </w:t>
      </w:r>
      <w:proofErr w:type="spellStart"/>
      <w:r w:rsidRPr="00B11248">
        <w:rPr>
          <w:color w:val="1F2937"/>
          <w:sz w:val="24"/>
          <w:szCs w:val="24"/>
          <w:shd w:val="clear" w:color="auto" w:fill="FFFFFF"/>
        </w:rPr>
        <w:t>lead</w:t>
      </w:r>
      <w:proofErr w:type="spellEnd"/>
      <w:r w:rsidRPr="00B11248">
        <w:rPr>
          <w:color w:val="1F2937"/>
          <w:sz w:val="24"/>
          <w:szCs w:val="24"/>
          <w:shd w:val="clear" w:color="auto" w:fill="FFFFFF"/>
        </w:rPr>
        <w:t xml:space="preserve"> to conversions, many of them have no evidence or even a hypothesis of which of these led most to conversions. This lack of conversion data, while significant amounts of budget are being spent, is an economic and strategic inefficiency.</w:t>
      </w:r>
    </w:p>
    <w:p w:rsidR="00B75587" w:rsidRDefault="00124614">
      <w:pPr>
        <w:spacing w:after="160" w:line="276" w:lineRule="auto"/>
        <w:jc w:val="both"/>
      </w:pPr>
      <w:r>
        <w:t>The multi-ch</w:t>
      </w:r>
      <w:r>
        <w:t xml:space="preserve">annel nature of modern marketing adds a further layer of difficulty. Before they buy, consumers typically move across several platforms and </w:t>
      </w:r>
      <w:proofErr w:type="spellStart"/>
      <w:r>
        <w:t>touchpoints</w:t>
      </w:r>
      <w:proofErr w:type="spellEnd"/>
      <w:r>
        <w:t>. Social media ads, email campaigns, and PPC each work differently, reach different audiences, and are ju</w:t>
      </w:r>
      <w:r>
        <w:t>dged by different engagement metrics. To get the most out of return on advertising spend (ROAS), it helps to understand how each channel contributes to conversion, and how that contribution shifts with customer demographics. Data-driven targeting, which dr</w:t>
      </w:r>
      <w:r>
        <w:t xml:space="preserve">aws on </w:t>
      </w:r>
      <w:proofErr w:type="spellStart"/>
      <w:r>
        <w:t>behavioural</w:t>
      </w:r>
      <w:proofErr w:type="spellEnd"/>
      <w:r>
        <w:t xml:space="preserve"> signals from across these </w:t>
      </w:r>
      <w:proofErr w:type="spellStart"/>
      <w:r>
        <w:t>touchpoints</w:t>
      </w:r>
      <w:proofErr w:type="spellEnd"/>
      <w:r>
        <w:t>, has been shown to sharpen segmentation and lift marketing returns relative to broad, intuition-led approaches [3].</w:t>
      </w:r>
    </w:p>
    <w:p w:rsidR="00B75587" w:rsidRDefault="00124614">
      <w:pPr>
        <w:spacing w:after="160" w:line="276" w:lineRule="auto"/>
        <w:jc w:val="both"/>
      </w:pPr>
      <w:r>
        <w:t>Predictive analytics and machine learning have become central to this effort. Among</w:t>
      </w:r>
      <w:r>
        <w:t xml:space="preserve"> the available methods, </w:t>
      </w:r>
      <w:proofErr w:type="gramStart"/>
      <w:r>
        <w:t>logistic</w:t>
      </w:r>
      <w:proofErr w:type="gramEnd"/>
      <w:r>
        <w:t xml:space="preserve"> regression remains one of the most widely used and interpretable models for binary outcomes such as conversion (yes or no). Its appeal lies less in raw accuracy than in transparency: it yields interpretable odds ratios, so </w:t>
      </w:r>
      <w:r>
        <w:t>a marketer can read off both the direction and the strength of each predictor's influence on the probability of conversion. More complex models, such as decision trees, gradient boosting, and neural networks, can edge out logistic regression on classificat</w:t>
      </w:r>
      <w:r>
        <w:t>ion accuracy in some settings [4]; but when the goal is to explain what drives conversion, rather than simply to predict it, interpretability carries real weight.</w:t>
      </w:r>
    </w:p>
    <w:p w:rsidR="00B75587" w:rsidRDefault="00124614">
      <w:pPr>
        <w:spacing w:after="160" w:line="276" w:lineRule="auto"/>
        <w:jc w:val="both"/>
      </w:pPr>
      <w:r>
        <w:t>This study examines the key factors that predict customer conversion in digital marketing cam</w:t>
      </w:r>
      <w:r>
        <w:t>paigns, with particular attention to campaign channel, advertising expenditure, click-through rate, and customer demographics. Drawing on a dataset of 8,000 digital marketing campaigns alongside cross-platform performance data, we build a logistic regressi</w:t>
      </w:r>
      <w:r>
        <w:t xml:space="preserve">on model of the probability of conversion. The findings add </w:t>
      </w:r>
      <w:r>
        <w:lastRenderedPageBreak/>
        <w:t>empirical weight to the growing literature on data-driven marketing and offer practical guidance for practitioners looking to improve their multi-channel advertising strategies.</w:t>
      </w:r>
    </w:p>
    <w:p w:rsidR="00B75587" w:rsidRDefault="00124614">
      <w:pPr>
        <w:spacing w:after="160" w:line="276" w:lineRule="auto"/>
        <w:jc w:val="both"/>
      </w:pPr>
      <w:r>
        <w:t>The remainder of t</w:t>
      </w:r>
      <w:r>
        <w:t xml:space="preserve">he paper is </w:t>
      </w:r>
      <w:proofErr w:type="spellStart"/>
      <w:r>
        <w:t>organised</w:t>
      </w:r>
      <w:proofErr w:type="spellEnd"/>
      <w:r>
        <w:t xml:space="preserve"> as follows. Section 2 reviews the relevant background and literature. Section 3 sets out the methodology, including data sources, variable definitions, and analytical methods. Section 4 reports the results of the logistic regression a</w:t>
      </w:r>
      <w:r>
        <w:t>nalysis. Section 5 discusses these findings in light of prior research, and Section 6 considers the implications, limitations, and directions for future work.</w:t>
      </w:r>
    </w:p>
    <w:p w:rsidR="00B75587" w:rsidRDefault="00124614">
      <w:pPr>
        <w:pStyle w:val="Heading1"/>
      </w:pPr>
      <w:r>
        <w:t>2   Background and Literature Review</w:t>
      </w:r>
    </w:p>
    <w:p w:rsidR="00B75587" w:rsidRDefault="00124614">
      <w:pPr>
        <w:pStyle w:val="Heading2"/>
      </w:pPr>
      <w:r>
        <w:t>2.1   The Evolution of Digital Marketing Channels</w:t>
      </w:r>
    </w:p>
    <w:p w:rsidR="00B75587" w:rsidRDefault="00124614">
      <w:pPr>
        <w:spacing w:after="160" w:line="276" w:lineRule="auto"/>
        <w:jc w:val="both"/>
      </w:pPr>
      <w:r>
        <w:t>Digital ma</w:t>
      </w:r>
      <w:r>
        <w:t>rketing has travelled a long way from the simple banner ad to today's complex, data-rich ecosystem. The rise of social platforms, search engines, and email tools has multiplied the channels available to advertisers, and with that abundance comes the harder</w:t>
      </w:r>
      <w:r>
        <w:t xml:space="preserve"> problem of spreading limited resources wisely across them. Social media alone illustrates the stakes: it has become one of internet users' leading sources of brand discovery, and social ad spend is forecast to keep growing at double-digit rates [5]. Searc</w:t>
      </w:r>
      <w:r>
        <w:t>h advertising remains the single largest digital channel, accounting for roughly 41% of global digital ad spend [6].</w:t>
      </w:r>
    </w:p>
    <w:p w:rsidR="00B75587" w:rsidRDefault="00124614">
      <w:pPr>
        <w:spacing w:after="160" w:line="276" w:lineRule="auto"/>
        <w:jc w:val="both"/>
      </w:pPr>
      <w:r>
        <w:t>The COVID-19 pandemic sharply accelerated this move online. Digital's share of global ad spend sat at about 54% in 2019; it jumped during t</w:t>
      </w:r>
      <w:r>
        <w:t>he 2020 lockdowns as both consumers and advertisers shifted to digital, and it has taken further share from offline channels every year since [1]. That structural change has turned the ability to measure and forecast campaign performance from a competitive</w:t>
      </w:r>
      <w:r>
        <w:t xml:space="preserve"> edge into a basic operational requirement.</w:t>
      </w:r>
    </w:p>
    <w:p w:rsidR="00B75587" w:rsidRDefault="00124614">
      <w:pPr>
        <w:spacing w:after="160" w:line="276" w:lineRule="auto"/>
        <w:jc w:val="both"/>
      </w:pPr>
      <w:r>
        <w:t>Each channel carries its own performance signature. PPC ads are intent-driven, surfacing in front of users who are actively searching, and they tend to convert better than awareness-led formats. Email marketing l</w:t>
      </w:r>
      <w:r>
        <w:t xml:space="preserve">eans on existing customer relationships and is prized for its strong ROI, thanks to low cost and a high degree of </w:t>
      </w:r>
      <w:proofErr w:type="spellStart"/>
      <w:r>
        <w:t>personalisation</w:t>
      </w:r>
      <w:proofErr w:type="spellEnd"/>
      <w:r>
        <w:t xml:space="preserve">. Social media spans the widest range, from top-of-funnel awareness through to </w:t>
      </w:r>
      <w:proofErr w:type="spellStart"/>
      <w:r>
        <w:t>trackable</w:t>
      </w:r>
      <w:proofErr w:type="spellEnd"/>
      <w:r>
        <w:t xml:space="preserve"> direct-response campaigns. Understandi</w:t>
      </w:r>
      <w:r>
        <w:t xml:space="preserve">ng how these differences interact with customer </w:t>
      </w:r>
      <w:proofErr w:type="spellStart"/>
      <w:r>
        <w:t>behaviour</w:t>
      </w:r>
      <w:proofErr w:type="spellEnd"/>
      <w:r>
        <w:t xml:space="preserve"> and demographics is central to </w:t>
      </w:r>
      <w:proofErr w:type="spellStart"/>
      <w:r>
        <w:t>optimising</w:t>
      </w:r>
      <w:proofErr w:type="spellEnd"/>
      <w:r>
        <w:t xml:space="preserve"> any multi-channel campaign.</w:t>
      </w:r>
    </w:p>
    <w:p w:rsidR="00B75587" w:rsidRDefault="00124614">
      <w:pPr>
        <w:pStyle w:val="Heading2"/>
      </w:pPr>
      <w:r>
        <w:t>2.2   Predictive Analytics in Digital Marketing</w:t>
      </w:r>
    </w:p>
    <w:p w:rsidR="00B75587" w:rsidRDefault="00124614">
      <w:pPr>
        <w:spacing w:after="160" w:line="276" w:lineRule="auto"/>
        <w:jc w:val="both"/>
      </w:pPr>
      <w:r>
        <w:t>Applying predictive analytics and machine learning to digital marketing has draw</w:t>
      </w:r>
      <w:r>
        <w:t xml:space="preserve">n sustained academic interest over the past decade, with work spanning customer targeting, campaign </w:t>
      </w:r>
      <w:proofErr w:type="spellStart"/>
      <w:r>
        <w:t>personalisation</w:t>
      </w:r>
      <w:proofErr w:type="spellEnd"/>
      <w:r>
        <w:t xml:space="preserve">, and budget </w:t>
      </w:r>
      <w:proofErr w:type="spellStart"/>
      <w:r>
        <w:t>optimisation</w:t>
      </w:r>
      <w:proofErr w:type="spellEnd"/>
      <w:r>
        <w:t xml:space="preserve"> [4]. A recurring theme is that machine learning lets firms anticipate campaign outcomes more reliably than older, i</w:t>
      </w:r>
      <w:r>
        <w:t>ntuition-based methods, while helping to contain customer acquisition costs.</w:t>
      </w:r>
    </w:p>
    <w:p w:rsidR="00B75587" w:rsidRDefault="00124614">
      <w:pPr>
        <w:spacing w:after="160" w:line="276" w:lineRule="auto"/>
        <w:jc w:val="both"/>
      </w:pPr>
      <w:r>
        <w:t xml:space="preserve">Several studies tackle conversion prediction directly. </w:t>
      </w:r>
      <w:proofErr w:type="spellStart"/>
      <w:r>
        <w:t>Korniichuk</w:t>
      </w:r>
      <w:proofErr w:type="spellEnd"/>
      <w:r>
        <w:t xml:space="preserve"> and </w:t>
      </w:r>
      <w:proofErr w:type="spellStart"/>
      <w:r>
        <w:t>Boryczka</w:t>
      </w:r>
      <w:proofErr w:type="spellEnd"/>
      <w:r>
        <w:t xml:space="preserve"> built machine learning models that predict conversion rates from the readability of landing-page tex</w:t>
      </w:r>
      <w:r>
        <w:t>t, and found that specific readability features are meaningfully correlated, positively or negatively, with conversion [7]. Their work is a useful reminder that conversion is shaped not only by channel and demographics but also by content and user experien</w:t>
      </w:r>
      <w:r>
        <w:t>ce. Of the five models they trained, a support vector machine produced the most promising accuracy.</w:t>
      </w:r>
    </w:p>
    <w:p w:rsidR="00B75587" w:rsidRDefault="00124614">
      <w:pPr>
        <w:spacing w:after="160" w:line="276" w:lineRule="auto"/>
        <w:jc w:val="both"/>
      </w:pPr>
      <w:r>
        <w:lastRenderedPageBreak/>
        <w:t>Customer-response modelling has been examined just as closely on the campaign-targeting side. Using a decision tree to model responses to marketing campaign</w:t>
      </w:r>
      <w:r>
        <w:t xml:space="preserve">s, El-Hajj and </w:t>
      </w:r>
      <w:proofErr w:type="spellStart"/>
      <w:r>
        <w:t>Pavlova</w:t>
      </w:r>
      <w:proofErr w:type="spellEnd"/>
      <w:r>
        <w:t xml:space="preserve"> reported an initial accuracy of 87.3%, which improved substantially once class imbalance was addressed through resampling, lifting recall from 44% to 83.1% [4]. Their results point to a methodological fact that runs through most conv</w:t>
      </w:r>
      <w:r>
        <w:t>ersion-prediction research: the datasets are typically imbalanced, with non-converters far outnumbering converters, which can distort performance measures unless it is handled during preprocessing.</w:t>
      </w:r>
    </w:p>
    <w:p w:rsidR="00B75587" w:rsidRDefault="00124614">
      <w:pPr>
        <w:spacing w:after="160" w:line="276" w:lineRule="auto"/>
        <w:jc w:val="both"/>
      </w:pPr>
      <w:r>
        <w:t>Comparative studies of model families reinforce the trade-</w:t>
      </w:r>
      <w:r>
        <w:t xml:space="preserve">off between accuracy and interpretability. Across support vector machines, gradient-boosting methods, and neural networks, ensemble approaches such as </w:t>
      </w:r>
      <w:proofErr w:type="spellStart"/>
      <w:r>
        <w:t>CatBoost</w:t>
      </w:r>
      <w:proofErr w:type="spellEnd"/>
      <w:r>
        <w:t xml:space="preserve"> and </w:t>
      </w:r>
      <w:proofErr w:type="spellStart"/>
      <w:r>
        <w:t>XGBoost</w:t>
      </w:r>
      <w:proofErr w:type="spellEnd"/>
      <w:r>
        <w:t xml:space="preserve"> tend to deliver the strongest predictive performance on large, complex feature sets,</w:t>
      </w:r>
      <w:r>
        <w:t xml:space="preserve"> while simpler models retain an edge in transparency [3]. For multi-channel attribution and cross-platform conversion prediction specifically, the literature remains comparatively thin, which is precisely the gap this study sets out to narrow.</w:t>
      </w:r>
    </w:p>
    <w:p w:rsidR="00B75587" w:rsidRDefault="00124614">
      <w:pPr>
        <w:pStyle w:val="Heading2"/>
      </w:pPr>
      <w:r>
        <w:t>2.3   The Ro</w:t>
      </w:r>
      <w:r>
        <w:t>le of Demographics and Engagement Metrics in Conversion</w:t>
      </w:r>
    </w:p>
    <w:p w:rsidR="00B75587" w:rsidRDefault="00124614">
      <w:pPr>
        <w:spacing w:after="160" w:line="276" w:lineRule="auto"/>
        <w:jc w:val="both"/>
      </w:pPr>
      <w:r>
        <w:t>Beyond channel type, demographic variables and engagement metrics are well-established drivers of conversion. Age and income recur as moderating factors in how people respond to digital advertising, r</w:t>
      </w:r>
      <w:r>
        <w:t>eflecting differences in purchasing power, media habits, and receptiveness to particular messages. Gender effects also appear, though they are less consistent and tend to vary by context and platform.</w:t>
      </w:r>
    </w:p>
    <w:p w:rsidR="00B75587" w:rsidRDefault="00124614">
      <w:pPr>
        <w:spacing w:after="160" w:line="276" w:lineRule="auto"/>
        <w:jc w:val="both"/>
      </w:pPr>
      <w:r>
        <w:t>Click-through rate (CTR), the share of ad impressions t</w:t>
      </w:r>
      <w:r>
        <w:t>hat result in a click, is among the most common metrics in digital advertising and is often treated as a predictor of downstream conversion. The link is not straightforward, however. A high CTR can accompany strong conversion, but the eventual outcome also</w:t>
      </w:r>
      <w:r>
        <w:t xml:space="preserve"> depends on the quality of the post-click experience, the fit between ad messaging and landing-page content, and the underlying intent of the person doing the clicking.</w:t>
      </w:r>
    </w:p>
    <w:p w:rsidR="00B75587" w:rsidRDefault="00124614">
      <w:pPr>
        <w:spacing w:after="160" w:line="276" w:lineRule="auto"/>
        <w:jc w:val="both"/>
      </w:pPr>
      <w:r>
        <w:t>Advertising spend (</w:t>
      </w:r>
      <w:proofErr w:type="spellStart"/>
      <w:r>
        <w:t>AdSpend</w:t>
      </w:r>
      <w:proofErr w:type="spellEnd"/>
      <w:r>
        <w:t>) is another variable that conversion research returns to rep</w:t>
      </w:r>
      <w:r>
        <w:t>eatedly. Higher spend generally buys greater reach and impression volume, but its effect on conversion is mediated by targeting precision, channel choice, and campaign type. Evidence from programmatic advertising indicates that algorithmically targeted spe</w:t>
      </w:r>
      <w:r>
        <w:t xml:space="preserve">nd converts far more efficiently than untargeted, broad-reach campaigns [6]. In other words, what </w:t>
      </w:r>
      <w:proofErr w:type="spellStart"/>
      <w:r>
        <w:t>AdSpend</w:t>
      </w:r>
      <w:proofErr w:type="spellEnd"/>
      <w:r>
        <w:t xml:space="preserve"> does for conversion depends heavily on how intelligently it is distributed across audiences and channels.</w:t>
      </w:r>
    </w:p>
    <w:p w:rsidR="00B75587" w:rsidRDefault="00124614">
      <w:pPr>
        <w:pStyle w:val="Heading2"/>
      </w:pPr>
      <w:r>
        <w:t>2.4   Research Gap and Study Contribution</w:t>
      </w:r>
    </w:p>
    <w:p w:rsidR="00B75587" w:rsidRDefault="00124614">
      <w:pPr>
        <w:spacing w:after="160" w:line="276" w:lineRule="auto"/>
        <w:jc w:val="both"/>
      </w:pPr>
      <w:r>
        <w:t>Al</w:t>
      </w:r>
      <w:r>
        <w:t xml:space="preserve">though the literature has made real progress on the individual determinants of conversion, several gaps remain. First, most studies concentrate on a single channel or campaign type, which limits how far their findings carry into the multi-channel settings </w:t>
      </w:r>
      <w:r>
        <w:t>where marketers actually allocate budgets. Second, relatively little work brings demographic factors, engagement metrics, and channel type together within one predictive model, especially using transparent, interpretable methods such as logistic regression</w:t>
      </w:r>
      <w:r>
        <w:t xml:space="preserve"> that yield directly actionable insight. Third, much prior research relies on proprietary industry datasets or single-country samples, which constrains how broadly the results </w:t>
      </w:r>
      <w:proofErr w:type="spellStart"/>
      <w:r>
        <w:t>generalise</w:t>
      </w:r>
      <w:proofErr w:type="spellEnd"/>
      <w:r>
        <w:t>.</w:t>
      </w:r>
    </w:p>
    <w:p w:rsidR="00B75587" w:rsidRDefault="00124614">
      <w:pPr>
        <w:spacing w:after="160" w:line="276" w:lineRule="auto"/>
        <w:jc w:val="both"/>
      </w:pPr>
      <w:r>
        <w:t>This study addresses those gaps by modelling conversion across multi</w:t>
      </w:r>
      <w:r>
        <w:t xml:space="preserve">ple digital channels, including social media, email, and PPC, using a dataset that combines customer demographics with campaign engagement metrics. By taking logistic regression as the primary analytical method, the study produces interpretable </w:t>
      </w:r>
      <w:r>
        <w:lastRenderedPageBreak/>
        <w:t>estimates t</w:t>
      </w:r>
      <w:r>
        <w:t xml:space="preserve">hat reveal not just whether each variable predicts conversion, but the size and direction of its effect. The addition of cross-platform advertising performance data further strengthens the robustness of the analysis. Taken together, these elements offer a </w:t>
      </w:r>
      <w:r>
        <w:t>transparent, multi-channel empirical contribution to the digital marketing literature.</w:t>
      </w:r>
    </w:p>
    <w:p w:rsidR="00B75587" w:rsidRDefault="00124614">
      <w:pPr>
        <w:pStyle w:val="Heading1"/>
      </w:pPr>
      <w:r>
        <w:t>References</w:t>
      </w:r>
    </w:p>
    <w:p w:rsidR="00B75587" w:rsidRDefault="00124614">
      <w:pPr>
        <w:spacing w:after="80" w:line="264" w:lineRule="auto"/>
        <w:ind w:left="360" w:hanging="360"/>
      </w:pPr>
      <w:r>
        <w:t xml:space="preserve">1. </w:t>
      </w:r>
      <w:proofErr w:type="spellStart"/>
      <w:r>
        <w:t>DataReportal</w:t>
      </w:r>
      <w:proofErr w:type="spellEnd"/>
      <w:r>
        <w:t xml:space="preserve">: Digital 2025: Global Advertising Trends. </w:t>
      </w:r>
      <w:hyperlink r:id="rId5" w:history="1">
        <w:r>
          <w:rPr>
            <w:rStyle w:val="Hyperlink"/>
          </w:rPr>
          <w:t>https://datareportal.com/reports/digital-2025-sub-section-global-advertising-trends</w:t>
        </w:r>
      </w:hyperlink>
      <w:r>
        <w:t>, last accessed 2025/06/05</w:t>
      </w:r>
    </w:p>
    <w:p w:rsidR="00B75587" w:rsidRDefault="00124614">
      <w:pPr>
        <w:spacing w:after="80" w:line="264" w:lineRule="auto"/>
        <w:ind w:left="360" w:hanging="360"/>
      </w:pPr>
      <w:r>
        <w:t xml:space="preserve">2. </w:t>
      </w:r>
      <w:proofErr w:type="spellStart"/>
      <w:r>
        <w:t>Oberlo</w:t>
      </w:r>
      <w:proofErr w:type="spellEnd"/>
      <w:r>
        <w:t xml:space="preserve">: Digital Ad Spend (2017–2028). </w:t>
      </w:r>
      <w:hyperlink r:id="rId6" w:history="1">
        <w:r>
          <w:rPr>
            <w:rStyle w:val="Hyperlink"/>
          </w:rPr>
          <w:t>https://www.oberlo.com/statistics/digi</w:t>
        </w:r>
        <w:r>
          <w:rPr>
            <w:rStyle w:val="Hyperlink"/>
          </w:rPr>
          <w:t>tal-ad-spend</w:t>
        </w:r>
      </w:hyperlink>
      <w:r>
        <w:t>, last accessed 2025/06/05</w:t>
      </w:r>
    </w:p>
    <w:p w:rsidR="00B75587" w:rsidRDefault="00124614">
      <w:pPr>
        <w:spacing w:after="80" w:line="264" w:lineRule="auto"/>
        <w:ind w:left="360" w:hanging="360"/>
      </w:pPr>
      <w:r>
        <w:t xml:space="preserve">3. Lin, J.: Application of Machine Learning in Predicting Consumer Behavior and Precision Marketing. PLOS ONE 20(5), e0321854 (2025). </w:t>
      </w:r>
      <w:hyperlink r:id="rId7" w:history="1">
        <w:r>
          <w:rPr>
            <w:rStyle w:val="Hyperlink"/>
          </w:rPr>
          <w:t>https://doi.org/10.137</w:t>
        </w:r>
        <w:r>
          <w:rPr>
            <w:rStyle w:val="Hyperlink"/>
          </w:rPr>
          <w:t>1/journal.pone.0321854</w:t>
        </w:r>
      </w:hyperlink>
    </w:p>
    <w:p w:rsidR="00B75587" w:rsidRDefault="00124614">
      <w:pPr>
        <w:spacing w:after="80" w:line="264" w:lineRule="auto"/>
        <w:ind w:left="360" w:hanging="360"/>
      </w:pPr>
      <w:r>
        <w:t xml:space="preserve">4. El-Hajj, M., </w:t>
      </w:r>
      <w:proofErr w:type="spellStart"/>
      <w:r>
        <w:t>Pavlova</w:t>
      </w:r>
      <w:proofErr w:type="spellEnd"/>
      <w:r>
        <w:t xml:space="preserve">, M.: Predictive Modeling of Customer Response to Marketing Campaigns. Electronics 13(19), 3953 (2024). </w:t>
      </w:r>
      <w:hyperlink r:id="rId8" w:history="1">
        <w:r>
          <w:rPr>
            <w:rStyle w:val="Hyperlink"/>
          </w:rPr>
          <w:t>https://doi.org/10.3390/electronics13193953</w:t>
        </w:r>
      </w:hyperlink>
    </w:p>
    <w:p w:rsidR="00B75587" w:rsidRDefault="00124614">
      <w:pPr>
        <w:spacing w:after="80" w:line="264" w:lineRule="auto"/>
        <w:ind w:left="360" w:hanging="360"/>
      </w:pPr>
      <w:r>
        <w:t>5.</w:t>
      </w:r>
      <w:r>
        <w:t xml:space="preserve"> Digital Silk: Top 40 Digital Advertising Statistics. </w:t>
      </w:r>
      <w:hyperlink r:id="rId9" w:history="1">
        <w:r>
          <w:rPr>
            <w:rStyle w:val="Hyperlink"/>
          </w:rPr>
          <w:t>https://www.digitalsilk.com/digital-trends/digital-advertising-statistics/</w:t>
        </w:r>
      </w:hyperlink>
      <w:r>
        <w:t>, last accessed 2025/06/05</w:t>
      </w:r>
    </w:p>
    <w:p w:rsidR="00B75587" w:rsidRDefault="00124614">
      <w:pPr>
        <w:spacing w:after="80" w:line="264" w:lineRule="auto"/>
        <w:ind w:left="360" w:hanging="360"/>
      </w:pPr>
      <w:r>
        <w:t>6. Market.</w:t>
      </w:r>
      <w:r>
        <w:t xml:space="preserve">us: Digital Marketing Spending Market Size. </w:t>
      </w:r>
      <w:hyperlink r:id="rId10" w:history="1">
        <w:r>
          <w:rPr>
            <w:rStyle w:val="Hyperlink"/>
          </w:rPr>
          <w:t>https://market.us/report/digital-marketing-spending-market/</w:t>
        </w:r>
      </w:hyperlink>
      <w:r>
        <w:t>, last accessed 2025/06/05</w:t>
      </w:r>
    </w:p>
    <w:p w:rsidR="00B75587" w:rsidRDefault="00124614">
      <w:pPr>
        <w:spacing w:after="80" w:line="264" w:lineRule="auto"/>
        <w:ind w:left="360" w:hanging="360"/>
      </w:pPr>
      <w:r>
        <w:t xml:space="preserve">7. </w:t>
      </w:r>
      <w:proofErr w:type="spellStart"/>
      <w:r>
        <w:t>Korniichuk</w:t>
      </w:r>
      <w:proofErr w:type="spellEnd"/>
      <w:r>
        <w:t xml:space="preserve">, R., </w:t>
      </w:r>
      <w:proofErr w:type="spellStart"/>
      <w:r>
        <w:t>Boryczka</w:t>
      </w:r>
      <w:proofErr w:type="spellEnd"/>
      <w:r>
        <w:t>, M.: Conversion Rate P</w:t>
      </w:r>
      <w:r>
        <w:t xml:space="preserve">rediction Based on Text Readability Analysis of Landing Pages. Entropy 23(11), 1388 (2021). </w:t>
      </w:r>
      <w:hyperlink r:id="rId11" w:history="1">
        <w:r>
          <w:rPr>
            <w:rStyle w:val="Hyperlink"/>
          </w:rPr>
          <w:t>https://doi.org/10.3390/e23111388</w:t>
        </w:r>
      </w:hyperlink>
    </w:p>
    <w:sectPr w:rsidR="00B7558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EF0E11"/>
    <w:multiLevelType w:val="hybridMultilevel"/>
    <w:tmpl w:val="C4384D64"/>
    <w:lvl w:ilvl="0" w:tplc="7AC69DE6">
      <w:start w:val="1"/>
      <w:numFmt w:val="bullet"/>
      <w:lvlText w:val="●"/>
      <w:lvlJc w:val="left"/>
      <w:pPr>
        <w:ind w:left="720" w:hanging="360"/>
      </w:pPr>
    </w:lvl>
    <w:lvl w:ilvl="1" w:tplc="FB881AF6">
      <w:start w:val="1"/>
      <w:numFmt w:val="bullet"/>
      <w:lvlText w:val="○"/>
      <w:lvlJc w:val="left"/>
      <w:pPr>
        <w:ind w:left="1440" w:hanging="360"/>
      </w:pPr>
    </w:lvl>
    <w:lvl w:ilvl="2" w:tplc="CF5CB448">
      <w:start w:val="1"/>
      <w:numFmt w:val="bullet"/>
      <w:lvlText w:val="■"/>
      <w:lvlJc w:val="left"/>
      <w:pPr>
        <w:ind w:left="2160" w:hanging="360"/>
      </w:pPr>
    </w:lvl>
    <w:lvl w:ilvl="3" w:tplc="D5CEB93C">
      <w:start w:val="1"/>
      <w:numFmt w:val="bullet"/>
      <w:lvlText w:val="●"/>
      <w:lvlJc w:val="left"/>
      <w:pPr>
        <w:ind w:left="2880" w:hanging="360"/>
      </w:pPr>
    </w:lvl>
    <w:lvl w:ilvl="4" w:tplc="DAAA2B2A">
      <w:start w:val="1"/>
      <w:numFmt w:val="bullet"/>
      <w:lvlText w:val="○"/>
      <w:lvlJc w:val="left"/>
      <w:pPr>
        <w:ind w:left="3600" w:hanging="360"/>
      </w:pPr>
    </w:lvl>
    <w:lvl w:ilvl="5" w:tplc="484034CC">
      <w:start w:val="1"/>
      <w:numFmt w:val="bullet"/>
      <w:lvlText w:val="■"/>
      <w:lvlJc w:val="left"/>
      <w:pPr>
        <w:ind w:left="4320" w:hanging="360"/>
      </w:pPr>
    </w:lvl>
    <w:lvl w:ilvl="6" w:tplc="BFA81244">
      <w:start w:val="1"/>
      <w:numFmt w:val="bullet"/>
      <w:lvlText w:val="●"/>
      <w:lvlJc w:val="left"/>
      <w:pPr>
        <w:ind w:left="5040" w:hanging="360"/>
      </w:pPr>
    </w:lvl>
    <w:lvl w:ilvl="7" w:tplc="22800ED0">
      <w:start w:val="1"/>
      <w:numFmt w:val="bullet"/>
      <w:lvlText w:val="●"/>
      <w:lvlJc w:val="left"/>
      <w:pPr>
        <w:ind w:left="5760" w:hanging="360"/>
      </w:pPr>
    </w:lvl>
    <w:lvl w:ilvl="8" w:tplc="8B02759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5587"/>
    <w:rsid w:val="00124614"/>
    <w:rsid w:val="00B11248"/>
    <w:rsid w:val="00B755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79BF966-E0E4-4BDE-9118-D35C9AAAA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80" w:after="160"/>
      <w:outlineLvl w:val="0"/>
    </w:pPr>
    <w:rPr>
      <w:b/>
      <w:bCs/>
      <w:sz w:val="28"/>
      <w:szCs w:val="28"/>
    </w:rPr>
  </w:style>
  <w:style w:type="paragraph" w:styleId="Heading2">
    <w:name w:val="heading 2"/>
    <w:qFormat/>
    <w:pPr>
      <w:spacing w:before="220" w:after="120"/>
      <w:outlineLvl w:val="1"/>
    </w:pPr>
    <w:rPr>
      <w:b/>
      <w:bCs/>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electronics13193953"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371/journal.pone.0321854"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berlo.com/statistics/digital-ad-spend" TargetMode="External"/><Relationship Id="rId11" Type="http://schemas.openxmlformats.org/officeDocument/2006/relationships/hyperlink" Target="https://doi.org/10.3390/e23111388" TargetMode="External"/><Relationship Id="rId5" Type="http://schemas.openxmlformats.org/officeDocument/2006/relationships/hyperlink" Target="https://datareportal.com/reports/digital-2025-sub-section-global-advertising-trends" TargetMode="External"/><Relationship Id="rId10" Type="http://schemas.openxmlformats.org/officeDocument/2006/relationships/hyperlink" Target="https://market.us/report/digital-marketing-spending-market/" TargetMode="External"/><Relationship Id="rId4" Type="http://schemas.openxmlformats.org/officeDocument/2006/relationships/webSettings" Target="webSettings.xml"/><Relationship Id="rId9" Type="http://schemas.openxmlformats.org/officeDocument/2006/relationships/hyperlink" Target="https://www.digitalsilk.com/digital-trends/digital-advertising-statis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TotalTime>
  <Pages>1</Pages>
  <Words>1860</Words>
  <Characters>10603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3</cp:revision>
  <dcterms:created xsi:type="dcterms:W3CDTF">2026-06-05T14:52:00Z</dcterms:created>
  <dcterms:modified xsi:type="dcterms:W3CDTF">2026-06-05T18:00:00Z</dcterms:modified>
</cp:coreProperties>
</file>