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D806" w14:textId="361BB386" w:rsidR="00907B26" w:rsidRPr="00907B26" w:rsidRDefault="00907B26" w:rsidP="00907B26">
      <w:pPr>
        <w:rPr>
          <w:b/>
          <w:bCs/>
        </w:rPr>
      </w:pPr>
      <w:r w:rsidRPr="00907B26">
        <w:rPr>
          <w:b/>
          <w:bCs/>
        </w:rPr>
        <w:t>RESULTS</w:t>
      </w:r>
    </w:p>
    <w:p w14:paraId="1B52AA36" w14:textId="786E5B20" w:rsidR="00907B26" w:rsidRPr="00150211" w:rsidRDefault="00150211" w:rsidP="00971666">
      <w:pPr>
        <w:jc w:val="both"/>
        <w:rPr>
          <w:lang w:val="en-US"/>
        </w:rPr>
      </w:pPr>
      <w:r w:rsidRPr="00150211">
        <w:rPr>
          <w:lang w:val="en-US"/>
        </w:rPr>
        <w:t xml:space="preserve">After data cleaning and outlier removal, the final dataset included 581 observations and 141 variables. Differences in </w:t>
      </w:r>
      <w:proofErr w:type="spellStart"/>
      <w:r w:rsidRPr="00150211">
        <w:rPr>
          <w:lang w:val="en-US"/>
        </w:rPr>
        <w:t>VO₂max</w:t>
      </w:r>
      <w:proofErr w:type="spellEnd"/>
      <w:r w:rsidRPr="00150211">
        <w:rPr>
          <w:lang w:val="en-US"/>
        </w:rPr>
        <w:t xml:space="preserve"> and QTc were analyzed across sport types and nosology groups using one-way ANOVA or the Kruskal–</w:t>
      </w:r>
      <w:proofErr w:type="gramStart"/>
      <w:r w:rsidRPr="00150211">
        <w:rPr>
          <w:lang w:val="en-US"/>
        </w:rPr>
        <w:t>Wallis</w:t>
      </w:r>
      <w:proofErr w:type="gramEnd"/>
      <w:r w:rsidRPr="00150211">
        <w:rPr>
          <w:lang w:val="en-US"/>
        </w:rPr>
        <w:t xml:space="preserve"> test (in cases where assumptions of normality or homogeneity of variances were violated).</w:t>
      </w:r>
    </w:p>
    <w:p w14:paraId="4D589376" w14:textId="11BB0D55" w:rsidR="00907B26" w:rsidRPr="00907B26" w:rsidRDefault="00907B26" w:rsidP="00907B26">
      <w:pPr>
        <w:rPr>
          <w:b/>
          <w:bCs/>
        </w:rPr>
      </w:pPr>
      <w:r w:rsidRPr="00907B26">
        <w:rPr>
          <w:b/>
          <w:bCs/>
        </w:rPr>
        <w:t xml:space="preserve">1. </w:t>
      </w:r>
      <w:r w:rsidRPr="00907B26">
        <w:rPr>
          <w:b/>
          <w:bCs/>
          <w:lang w:val="en-US"/>
        </w:rPr>
        <w:t>Differences</w:t>
      </w:r>
      <w:r w:rsidRPr="00907B26">
        <w:rPr>
          <w:b/>
          <w:bCs/>
        </w:rPr>
        <w:t xml:space="preserve"> </w:t>
      </w:r>
      <w:r w:rsidRPr="00907B26">
        <w:rPr>
          <w:b/>
          <w:bCs/>
          <w:lang w:val="en-US"/>
        </w:rPr>
        <w:t>across</w:t>
      </w:r>
      <w:r w:rsidRPr="00907B26">
        <w:rPr>
          <w:b/>
          <w:bCs/>
        </w:rPr>
        <w:t xml:space="preserve"> </w:t>
      </w:r>
      <w:r w:rsidRPr="00907B26">
        <w:rPr>
          <w:b/>
          <w:bCs/>
          <w:lang w:val="en-US"/>
        </w:rPr>
        <w:t>sport</w:t>
      </w:r>
      <w:r w:rsidRPr="00907B26">
        <w:rPr>
          <w:b/>
          <w:bCs/>
        </w:rPr>
        <w:t xml:space="preserve"> </w:t>
      </w:r>
      <w:r w:rsidRPr="00907B26">
        <w:rPr>
          <w:b/>
          <w:bCs/>
          <w:lang w:val="en-US"/>
        </w:rPr>
        <w:t>types</w:t>
      </w:r>
    </w:p>
    <w:p w14:paraId="265FC50B" w14:textId="34FBD456" w:rsidR="00150211" w:rsidRPr="00150211" w:rsidRDefault="00150211" w:rsidP="00150211">
      <w:pPr>
        <w:keepNext/>
        <w:jc w:val="both"/>
        <w:rPr>
          <w:noProof/>
        </w:rPr>
      </w:pPr>
      <w:r w:rsidRPr="00150211">
        <w:rPr>
          <w:lang w:val="en-US"/>
        </w:rPr>
        <w:t xml:space="preserve">The analysis revealed statistically significant differences in </w:t>
      </w:r>
      <w:proofErr w:type="spellStart"/>
      <w:r w:rsidRPr="00150211">
        <w:rPr>
          <w:lang w:val="en-US"/>
        </w:rPr>
        <w:t>VO₂max</w:t>
      </w:r>
      <w:proofErr w:type="spellEnd"/>
      <w:r w:rsidRPr="00150211">
        <w:rPr>
          <w:lang w:val="en-US"/>
        </w:rPr>
        <w:t xml:space="preserve"> across sport-type groups (one-way ANOVA, </w:t>
      </w:r>
      <w:r w:rsidRPr="00150211">
        <w:rPr>
          <w:i/>
          <w:iCs/>
          <w:lang w:val="en-US"/>
        </w:rPr>
        <w:t>p</w:t>
      </w:r>
      <w:r w:rsidRPr="00150211">
        <w:rPr>
          <w:lang w:val="en-US"/>
        </w:rPr>
        <w:t xml:space="preserve"> = 0.00063; </w:t>
      </w:r>
      <w:r w:rsidRPr="00150211">
        <w:t>η</w:t>
      </w:r>
      <w:r w:rsidRPr="00150211">
        <w:rPr>
          <w:lang w:val="en-US"/>
        </w:rPr>
        <w:t>² = 0.1577).</w:t>
      </w:r>
      <w:r w:rsidRPr="00150211">
        <w:rPr>
          <w:lang w:val="en-US"/>
        </w:rPr>
        <w:br/>
        <w:t>The effect size indicates a medium magnitude of the influence of sport type on aerobic performance.</w:t>
      </w:r>
      <w:r w:rsidRPr="00150211">
        <w:rPr>
          <w:lang w:val="en-US"/>
        </w:rPr>
        <w:br/>
        <w:t xml:space="preserve">These differences are also clearly visible in the boxplot “VO2max by Sport”, where the groups show distinct </w:t>
      </w: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EF62536" wp14:editId="78C535B8">
            <wp:simplePos x="0" y="0"/>
            <wp:positionH relativeFrom="column">
              <wp:posOffset>955040</wp:posOffset>
            </wp:positionH>
            <wp:positionV relativeFrom="paragraph">
              <wp:posOffset>490855</wp:posOffset>
            </wp:positionV>
            <wp:extent cx="4277995" cy="3206115"/>
            <wp:effectExtent l="0" t="0" r="8255" b="0"/>
            <wp:wrapTopAndBottom/>
            <wp:docPr id="18145206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0211">
        <w:rPr>
          <w:lang w:val="en-US"/>
        </w:rPr>
        <w:t>median levels and variability ranges.</w:t>
      </w:r>
      <w:r w:rsidRPr="00150211">
        <w:rPr>
          <w:noProof/>
          <w:lang w:val="en-US"/>
        </w:rPr>
        <w:t xml:space="preserve">  </w:t>
      </w:r>
    </w:p>
    <w:p w14:paraId="0A415E4F" w14:textId="496AC80B" w:rsidR="00907B26" w:rsidRPr="00150211" w:rsidRDefault="00150211" w:rsidP="0015021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proofErr w:type="spellStart"/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Figure</w:t>
      </w:r>
      <w:proofErr w:type="spellEnd"/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150211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</w:t>
      </w:r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- VO2max </w:t>
      </w:r>
      <w:proofErr w:type="spellStart"/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by</w:t>
      </w:r>
      <w:proofErr w:type="spellEnd"/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Sport</w:t>
      </w:r>
    </w:p>
    <w:p w14:paraId="08CBA9A9" w14:textId="2C3FF4C8" w:rsidR="00907B26" w:rsidRPr="00150211" w:rsidRDefault="00907B26" w:rsidP="00907B26">
      <w:pPr>
        <w:rPr>
          <w:b/>
          <w:bCs/>
          <w:lang w:val="en-US"/>
        </w:rPr>
      </w:pPr>
      <w:r w:rsidRPr="00150211">
        <w:rPr>
          <w:b/>
          <w:bCs/>
          <w:lang w:val="en-US"/>
        </w:rPr>
        <w:t>QTc</w:t>
      </w:r>
    </w:p>
    <w:p w14:paraId="68D1249D" w14:textId="4F2AB8AE" w:rsidR="00150211" w:rsidRPr="00150211" w:rsidRDefault="00150211" w:rsidP="001502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7B26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85A5CD8" wp14:editId="69F17EE6">
            <wp:simplePos x="0" y="0"/>
            <wp:positionH relativeFrom="column">
              <wp:posOffset>1377950</wp:posOffset>
            </wp:positionH>
            <wp:positionV relativeFrom="paragraph">
              <wp:posOffset>1263650</wp:posOffset>
            </wp:positionV>
            <wp:extent cx="2981960" cy="2236470"/>
            <wp:effectExtent l="0" t="0" r="8890" b="0"/>
            <wp:wrapTopAndBottom/>
            <wp:docPr id="1240236279" name="Рисунок 2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36279" name="Рисунок 2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t>The QTc interval also differed significantly across sport types; however, because the data violated normality assumptions, the Kruskal–Wallis test was applied (</w:t>
      </w:r>
      <w:r w:rsidRPr="00150211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t xml:space="preserve"> &lt; 0.00001; </w:t>
      </w:r>
      <w:r w:rsidRPr="00150211">
        <w:rPr>
          <w:rFonts w:ascii="Times New Roman" w:hAnsi="Times New Roman" w:cs="Times New Roman"/>
          <w:sz w:val="24"/>
          <w:szCs w:val="24"/>
        </w:rPr>
        <w:t>ε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t>² = 0.1462).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br/>
        <w:t>The resulting effect size can also be interpreted as medium, indicating systematic differences in cardiac electrical activity across sports disciplines.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br/>
        <w:t>The boxplot “QTc by Sport” illustrates these variations, showing distinct shifts in medians and differences in the overall spread of QTc values.</w:t>
      </w:r>
    </w:p>
    <w:p w14:paraId="2DB53639" w14:textId="71E09115" w:rsidR="00907B26" w:rsidRPr="00907B26" w:rsidRDefault="00907B26" w:rsidP="00907B26">
      <w:pPr>
        <w:keepNext/>
      </w:pPr>
    </w:p>
    <w:p w14:paraId="55F292D6" w14:textId="63EFFA52" w:rsidR="00907B26" w:rsidRPr="00150211" w:rsidRDefault="00907B26" w:rsidP="0015021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Рисунок</w: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instrText xml:space="preserve"> SEQ </w:instrTex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Рисунок</w:instrTex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instrText xml:space="preserve"> \* ARABIC </w:instrTex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en-US"/>
        </w:rPr>
        <w:t>2</w: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- QTc by Sport</w:t>
      </w:r>
    </w:p>
    <w:p w14:paraId="7946B70F" w14:textId="707403A2" w:rsidR="00150211" w:rsidRPr="00150211" w:rsidRDefault="00907B26" w:rsidP="00150211">
      <w:pPr>
        <w:rPr>
          <w:b/>
          <w:bCs/>
          <w:lang w:val="en-US"/>
        </w:rPr>
      </w:pPr>
      <w:r w:rsidRPr="00907B26">
        <w:rPr>
          <w:b/>
          <w:bCs/>
          <w:lang w:val="en-US"/>
        </w:rPr>
        <w:t>2. Differences across nosology groups</w:t>
      </w:r>
    </w:p>
    <w:p w14:paraId="28273DAD" w14:textId="0D87C436" w:rsidR="00907B26" w:rsidRPr="00150211" w:rsidRDefault="00907B26" w:rsidP="00907B26">
      <w:pPr>
        <w:rPr>
          <w:b/>
          <w:bCs/>
          <w:lang w:val="en-US"/>
        </w:rPr>
      </w:pPr>
      <w:proofErr w:type="spellStart"/>
      <w:r w:rsidRPr="00907B26">
        <w:rPr>
          <w:b/>
          <w:bCs/>
          <w:lang w:val="en-US"/>
        </w:rPr>
        <w:t>VO</w:t>
      </w:r>
      <w:r w:rsidRPr="00150211">
        <w:rPr>
          <w:b/>
          <w:bCs/>
          <w:lang w:val="en-US"/>
        </w:rPr>
        <w:t>₂</w:t>
      </w:r>
      <w:r w:rsidRPr="00907B26">
        <w:rPr>
          <w:b/>
          <w:bCs/>
          <w:lang w:val="en-US"/>
        </w:rPr>
        <w:t>max</w:t>
      </w:r>
      <w:proofErr w:type="spellEnd"/>
    </w:p>
    <w:p w14:paraId="66A3424F" w14:textId="2DBC58CF" w:rsidR="00150211" w:rsidRPr="00150211" w:rsidRDefault="00150211" w:rsidP="00150211">
      <w:pPr>
        <w:keepNext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FB803D6" wp14:editId="32288C7C">
            <wp:simplePos x="0" y="0"/>
            <wp:positionH relativeFrom="column">
              <wp:posOffset>920514</wp:posOffset>
            </wp:positionH>
            <wp:positionV relativeFrom="paragraph">
              <wp:posOffset>1303655</wp:posOffset>
            </wp:positionV>
            <wp:extent cx="4131945" cy="3094990"/>
            <wp:effectExtent l="0" t="0" r="1905" b="0"/>
            <wp:wrapTopAndBottom/>
            <wp:docPr id="14632273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t xml:space="preserve">Statistically significant differences in </w:t>
      </w:r>
      <w:proofErr w:type="spellStart"/>
      <w:r w:rsidRPr="00150211">
        <w:rPr>
          <w:rFonts w:ascii="Times New Roman" w:hAnsi="Times New Roman" w:cs="Times New Roman"/>
          <w:sz w:val="24"/>
          <w:szCs w:val="24"/>
          <w:lang w:val="en-US"/>
        </w:rPr>
        <w:t>VO₂max</w:t>
      </w:r>
      <w:proofErr w:type="spellEnd"/>
      <w:r w:rsidRPr="00150211">
        <w:rPr>
          <w:rFonts w:ascii="Times New Roman" w:hAnsi="Times New Roman" w:cs="Times New Roman"/>
          <w:sz w:val="24"/>
          <w:szCs w:val="24"/>
          <w:lang w:val="en-US"/>
        </w:rPr>
        <w:t xml:space="preserve"> were also observed across nosology groups (One-way ANOVA, p = 0.01028; </w:t>
      </w:r>
      <w:r w:rsidRPr="00150211">
        <w:rPr>
          <w:rFonts w:ascii="Times New Roman" w:hAnsi="Times New Roman" w:cs="Times New Roman"/>
          <w:sz w:val="24"/>
          <w:szCs w:val="24"/>
        </w:rPr>
        <w:t>η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t>² = 0.0717).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lastRenderedPageBreak/>
        <w:t>The effect size can be interpreted as small, indicating moderate variations in aerobic capacity across categories of disability.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br/>
        <w:t>As shown in the “VO2max by Nosology” plot, these differences are less pronounced than those observed between sport-type groups, yet they remain present.</w:t>
      </w:r>
    </w:p>
    <w:p w14:paraId="512BE8E8" w14:textId="58A24018" w:rsidR="00150211" w:rsidRPr="00150211" w:rsidRDefault="00150211" w:rsidP="0015021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Рисунок</w:t>
      </w:r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instrText xml:space="preserve"> SEQ </w:instrTex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>Рисунок</w:instrText>
      </w:r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instrText xml:space="preserve"> \* ARABIC </w:instrTex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150211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:lang w:val="en-US"/>
        </w:rPr>
        <w:t>3</w:t>
      </w:r>
      <w:r w:rsidRPr="00907B26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150211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- VO2max by Nosology</w:t>
      </w:r>
    </w:p>
    <w:p w14:paraId="447E47AF" w14:textId="2F0ED9B2" w:rsidR="00907B26" w:rsidRPr="00150211" w:rsidRDefault="00907B26" w:rsidP="00907B26">
      <w:pPr>
        <w:rPr>
          <w:b/>
          <w:bCs/>
          <w:lang w:val="en-US"/>
        </w:rPr>
      </w:pPr>
      <w:r w:rsidRPr="00150211">
        <w:rPr>
          <w:b/>
          <w:bCs/>
          <w:lang w:val="en-US"/>
        </w:rPr>
        <w:t>QTc</w:t>
      </w:r>
    </w:p>
    <w:p w14:paraId="74A37560" w14:textId="0CC80EBF" w:rsidR="00907B26" w:rsidRPr="00150211" w:rsidRDefault="00150211" w:rsidP="00150211">
      <w:pPr>
        <w:jc w:val="both"/>
        <w:rPr>
          <w:rFonts w:ascii="Times New Roman" w:hAnsi="Times New Roman" w:cs="Times New Roman"/>
          <w:sz w:val="24"/>
          <w:szCs w:val="24"/>
        </w:rPr>
      </w:pPr>
      <w:r w:rsidRPr="00150211">
        <w:rPr>
          <w:rFonts w:ascii="Times New Roman" w:hAnsi="Times New Roman" w:cs="Times New Roman"/>
          <w:sz w:val="24"/>
          <w:szCs w:val="24"/>
          <w:lang w:val="en-US"/>
        </w:rPr>
        <w:t xml:space="preserve">QTc interval also differed across nosology groups (Kruskal–Wallis, </w:t>
      </w:r>
      <w:r w:rsidRPr="00150211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t xml:space="preserve"> = 0.02185; </w:t>
      </w:r>
      <w:r w:rsidRPr="00150211">
        <w:rPr>
          <w:rFonts w:ascii="Times New Roman" w:hAnsi="Times New Roman" w:cs="Times New Roman"/>
          <w:sz w:val="24"/>
          <w:szCs w:val="24"/>
        </w:rPr>
        <w:t>ε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t>² = 0.0175).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br/>
        <w:t>The effect size is very small, indicating a weak yet statistically detectable trend.</w:t>
      </w:r>
      <w:r w:rsidRPr="00150211">
        <w:rPr>
          <w:rFonts w:ascii="Times New Roman" w:hAnsi="Times New Roman" w:cs="Times New Roman"/>
          <w:sz w:val="24"/>
          <w:szCs w:val="24"/>
          <w:lang w:val="en-US"/>
        </w:rPr>
        <w:br/>
        <w:t>The “QTc by Nosology” visualization confirms that QTc distributions across groups partially overlap, and the differences are modest.</w:t>
      </w:r>
    </w:p>
    <w:p w14:paraId="4BCDD50A" w14:textId="77777777" w:rsidR="00150211" w:rsidRDefault="00150211" w:rsidP="00907B26"/>
    <w:p w14:paraId="480CDD07" w14:textId="5C76F0CE" w:rsidR="00150211" w:rsidRPr="00150211" w:rsidRDefault="00150211" w:rsidP="00150211">
      <w:pPr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51BCA24" wp14:editId="09FFC873">
            <wp:simplePos x="0" y="0"/>
            <wp:positionH relativeFrom="column">
              <wp:posOffset>633598</wp:posOffset>
            </wp:positionH>
            <wp:positionV relativeFrom="paragraph">
              <wp:posOffset>-351</wp:posOffset>
            </wp:positionV>
            <wp:extent cx="4686935" cy="3511550"/>
            <wp:effectExtent l="0" t="0" r="3810" b="0"/>
            <wp:wrapTopAndBottom/>
            <wp:docPr id="17088673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3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7B26">
        <w:rPr>
          <w:rFonts w:ascii="Times New Roman" w:hAnsi="Times New Roman" w:cs="Times New Roman"/>
        </w:rPr>
        <w:t>Рисунок</w:t>
      </w:r>
      <w:r w:rsidRPr="00150211">
        <w:rPr>
          <w:rFonts w:ascii="Times New Roman" w:hAnsi="Times New Roman" w:cs="Times New Roman"/>
          <w:lang w:val="en-US"/>
        </w:rPr>
        <w:t xml:space="preserve"> </w:t>
      </w:r>
      <w:r w:rsidRPr="00907B26">
        <w:rPr>
          <w:rFonts w:ascii="Times New Roman" w:hAnsi="Times New Roman" w:cs="Times New Roman"/>
          <w:i/>
          <w:iCs/>
        </w:rPr>
        <w:fldChar w:fldCharType="begin"/>
      </w:r>
      <w:r w:rsidRPr="00150211">
        <w:rPr>
          <w:rFonts w:ascii="Times New Roman" w:hAnsi="Times New Roman" w:cs="Times New Roman"/>
          <w:lang w:val="en-US"/>
        </w:rPr>
        <w:instrText xml:space="preserve"> SEQ </w:instrText>
      </w:r>
      <w:r w:rsidRPr="00907B26">
        <w:rPr>
          <w:rFonts w:ascii="Times New Roman" w:hAnsi="Times New Roman" w:cs="Times New Roman"/>
        </w:rPr>
        <w:instrText>Рисунок</w:instrText>
      </w:r>
      <w:r w:rsidRPr="00150211">
        <w:rPr>
          <w:rFonts w:ascii="Times New Roman" w:hAnsi="Times New Roman" w:cs="Times New Roman"/>
          <w:lang w:val="en-US"/>
        </w:rPr>
        <w:instrText xml:space="preserve"> \* ARABIC </w:instrText>
      </w:r>
      <w:r w:rsidRPr="00907B26">
        <w:rPr>
          <w:rFonts w:ascii="Times New Roman" w:hAnsi="Times New Roman" w:cs="Times New Roman"/>
          <w:i/>
          <w:iCs/>
        </w:rPr>
        <w:fldChar w:fldCharType="separate"/>
      </w:r>
      <w:r w:rsidRPr="00150211">
        <w:rPr>
          <w:rFonts w:ascii="Times New Roman" w:hAnsi="Times New Roman" w:cs="Times New Roman"/>
          <w:noProof/>
          <w:lang w:val="en-US"/>
        </w:rPr>
        <w:t>4</w:t>
      </w:r>
      <w:r w:rsidRPr="00907B26">
        <w:rPr>
          <w:rFonts w:ascii="Times New Roman" w:hAnsi="Times New Roman" w:cs="Times New Roman"/>
          <w:i/>
          <w:iCs/>
        </w:rPr>
        <w:fldChar w:fldCharType="end"/>
      </w:r>
      <w:r w:rsidRPr="00150211">
        <w:rPr>
          <w:rFonts w:ascii="Times New Roman" w:hAnsi="Times New Roman" w:cs="Times New Roman"/>
          <w:lang w:val="en-US"/>
        </w:rPr>
        <w:t xml:space="preserve"> - QTc by Nosology</w:t>
      </w:r>
    </w:p>
    <w:p w14:paraId="74D5C5A9" w14:textId="77777777" w:rsidR="00150211" w:rsidRPr="00150211" w:rsidRDefault="00150211" w:rsidP="00907B26">
      <w:pPr>
        <w:rPr>
          <w:b/>
          <w:bCs/>
          <w:lang w:val="en-US"/>
        </w:rPr>
      </w:pPr>
    </w:p>
    <w:p w14:paraId="656462D7" w14:textId="27A15F67" w:rsidR="00907B26" w:rsidRPr="00907B26" w:rsidRDefault="00907B26" w:rsidP="00907B26">
      <w:pPr>
        <w:rPr>
          <w:b/>
          <w:bCs/>
          <w:lang w:val="en-US"/>
        </w:rPr>
      </w:pPr>
      <w:r w:rsidRPr="00907B26">
        <w:rPr>
          <w:b/>
          <w:bCs/>
          <w:lang w:val="en-US"/>
        </w:rPr>
        <w:t>3. Effect sizes</w:t>
      </w:r>
    </w:p>
    <w:p w14:paraId="2DDE9ACC" w14:textId="0E730842" w:rsidR="00336DB6" w:rsidRPr="00336DB6" w:rsidRDefault="00336DB6" w:rsidP="00336DB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6DB6">
        <w:rPr>
          <w:rFonts w:ascii="Times New Roman" w:hAnsi="Times New Roman" w:cs="Times New Roman"/>
          <w:sz w:val="24"/>
          <w:szCs w:val="24"/>
          <w:lang w:val="en-US"/>
        </w:rPr>
        <w:t>The integrated “Effect sizes for factors Sport/Nosology” diagram shows that:</w:t>
      </w:r>
    </w:p>
    <w:p w14:paraId="4FE55DF3" w14:textId="77777777" w:rsidR="00336DB6" w:rsidRPr="00336DB6" w:rsidRDefault="00336DB6" w:rsidP="00336D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6DB6">
        <w:rPr>
          <w:rFonts w:ascii="Times New Roman" w:hAnsi="Times New Roman" w:cs="Times New Roman"/>
          <w:sz w:val="24"/>
          <w:szCs w:val="24"/>
          <w:lang w:val="en-US"/>
        </w:rPr>
        <w:t xml:space="preserve">The strongest influence is exerted by sport type on </w:t>
      </w:r>
      <w:proofErr w:type="spellStart"/>
      <w:r w:rsidRPr="00336DB6">
        <w:rPr>
          <w:rFonts w:ascii="Times New Roman" w:hAnsi="Times New Roman" w:cs="Times New Roman"/>
          <w:sz w:val="24"/>
          <w:szCs w:val="24"/>
          <w:lang w:val="en-US"/>
        </w:rPr>
        <w:t>VO₂max</w:t>
      </w:r>
      <w:proofErr w:type="spellEnd"/>
      <w:r w:rsidRPr="00336DB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36DB6">
        <w:rPr>
          <w:rFonts w:ascii="Times New Roman" w:hAnsi="Times New Roman" w:cs="Times New Roman"/>
          <w:sz w:val="24"/>
          <w:szCs w:val="24"/>
        </w:rPr>
        <w:t>η</w:t>
      </w:r>
      <w:r w:rsidRPr="00336DB6">
        <w:rPr>
          <w:rFonts w:ascii="Times New Roman" w:hAnsi="Times New Roman" w:cs="Times New Roman"/>
          <w:sz w:val="24"/>
          <w:szCs w:val="24"/>
          <w:lang w:val="en-US"/>
        </w:rPr>
        <w:t>² ≈ 0.158).</w:t>
      </w:r>
    </w:p>
    <w:p w14:paraId="2D5204F3" w14:textId="77777777" w:rsidR="00336DB6" w:rsidRPr="00336DB6" w:rsidRDefault="00336DB6" w:rsidP="00336D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6DB6">
        <w:rPr>
          <w:rFonts w:ascii="Times New Roman" w:hAnsi="Times New Roman" w:cs="Times New Roman"/>
          <w:sz w:val="24"/>
          <w:szCs w:val="24"/>
          <w:lang w:val="en-US"/>
        </w:rPr>
        <w:t>A similar effect magnitude is observed for sport type on QTc (</w:t>
      </w:r>
      <w:r w:rsidRPr="00336DB6">
        <w:rPr>
          <w:rFonts w:ascii="Times New Roman" w:hAnsi="Times New Roman" w:cs="Times New Roman"/>
          <w:sz w:val="24"/>
          <w:szCs w:val="24"/>
        </w:rPr>
        <w:t>ε</w:t>
      </w:r>
      <w:r w:rsidRPr="00336DB6">
        <w:rPr>
          <w:rFonts w:ascii="Times New Roman" w:hAnsi="Times New Roman" w:cs="Times New Roman"/>
          <w:sz w:val="24"/>
          <w:szCs w:val="24"/>
          <w:lang w:val="en-US"/>
        </w:rPr>
        <w:t>² ≈ 0.146).</w:t>
      </w:r>
    </w:p>
    <w:p w14:paraId="3E94B7AB" w14:textId="77777777" w:rsidR="00336DB6" w:rsidRPr="00336DB6" w:rsidRDefault="00336DB6" w:rsidP="00336D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6DB6">
        <w:rPr>
          <w:rFonts w:ascii="Times New Roman" w:hAnsi="Times New Roman" w:cs="Times New Roman"/>
          <w:sz w:val="24"/>
          <w:szCs w:val="24"/>
          <w:lang w:val="en-US"/>
        </w:rPr>
        <w:t>Nosology demonstrates a noticeably weaker influence, especially for QTc (</w:t>
      </w:r>
      <w:r w:rsidRPr="00336DB6">
        <w:rPr>
          <w:rFonts w:ascii="Times New Roman" w:hAnsi="Times New Roman" w:cs="Times New Roman"/>
          <w:sz w:val="24"/>
          <w:szCs w:val="24"/>
        </w:rPr>
        <w:t>ε</w:t>
      </w:r>
      <w:r w:rsidRPr="00336DB6">
        <w:rPr>
          <w:rFonts w:ascii="Times New Roman" w:hAnsi="Times New Roman" w:cs="Times New Roman"/>
          <w:sz w:val="24"/>
          <w:szCs w:val="24"/>
          <w:lang w:val="en-US"/>
        </w:rPr>
        <w:t>² ≈ 0.018).</w:t>
      </w:r>
    </w:p>
    <w:p w14:paraId="6A56E958" w14:textId="77777777" w:rsidR="00336DB6" w:rsidRPr="00336DB6" w:rsidRDefault="00336DB6" w:rsidP="00336DB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6DB6">
        <w:rPr>
          <w:rFonts w:ascii="Times New Roman" w:hAnsi="Times New Roman" w:cs="Times New Roman"/>
          <w:sz w:val="24"/>
          <w:szCs w:val="24"/>
          <w:lang w:val="en-US"/>
        </w:rPr>
        <w:lastRenderedPageBreak/>
        <w:t>Thus, sport type is a substantially stronger factor explaining variability in physiological indicators compared to nosology.</w:t>
      </w:r>
    </w:p>
    <w:p w14:paraId="628BAADF" w14:textId="2342C716" w:rsidR="00907B26" w:rsidRPr="00336DB6" w:rsidRDefault="00907B26" w:rsidP="00336DB6">
      <w:pPr>
        <w:rPr>
          <w:lang w:val="en-US"/>
        </w:rPr>
      </w:pPr>
    </w:p>
    <w:p w14:paraId="2A087CE4" w14:textId="77777777" w:rsidR="00907B26" w:rsidRPr="00336DB6" w:rsidRDefault="00907B26">
      <w:pPr>
        <w:rPr>
          <w:noProof/>
          <w:lang w:val="en-US"/>
        </w:rPr>
      </w:pPr>
    </w:p>
    <w:p w14:paraId="090A2D2C" w14:textId="49A3A8E3" w:rsidR="00812BC5" w:rsidRPr="00907B26" w:rsidRDefault="00907B2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2F43E" wp14:editId="4A8B10E2">
                <wp:simplePos x="0" y="0"/>
                <wp:positionH relativeFrom="column">
                  <wp:posOffset>613410</wp:posOffset>
                </wp:positionH>
                <wp:positionV relativeFrom="paragraph">
                  <wp:posOffset>3496945</wp:posOffset>
                </wp:positionV>
                <wp:extent cx="4944745" cy="635"/>
                <wp:effectExtent l="0" t="0" r="0" b="0"/>
                <wp:wrapTopAndBottom/>
                <wp:docPr id="63062330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A06FE9" w14:textId="1C7CC8D4" w:rsidR="00907B26" w:rsidRPr="00907B26" w:rsidRDefault="00907B26" w:rsidP="00907B26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07B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Рисунок</w:t>
                            </w:r>
                            <w:r w:rsidRPr="00907B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907B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07B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instrText xml:space="preserve"> SEQ </w:instrText>
                            </w:r>
                            <w:r w:rsidRPr="00907B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instrText>Рисунок</w:instrText>
                            </w:r>
                            <w:r w:rsidRPr="00907B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instrText xml:space="preserve"> \* ARABIC </w:instrText>
                            </w:r>
                            <w:r w:rsidRPr="00907B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5</w:t>
                            </w:r>
                            <w:r w:rsidRPr="00907B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07B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- Effect sizes for factors Sport/Nosology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92F43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48.3pt;margin-top:275.35pt;width:389.3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" stroked="f">
                <v:textbox style="mso-fit-shape-to-text:t" inset="0,0,0,0">
                  <w:txbxContent>
                    <w:p w14:paraId="54A06FE9" w14:textId="1C7CC8D4" w:rsidR="00907B26" w:rsidRPr="00907B26" w:rsidRDefault="00907B26" w:rsidP="00907B26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 w:rsidRPr="00907B2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Рисунок</w:t>
                      </w:r>
                      <w:r w:rsidRPr="00907B2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907B2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907B2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  <w:lang w:val="en-US"/>
                        </w:rPr>
                        <w:instrText xml:space="preserve"> SEQ </w:instrText>
                      </w:r>
                      <w:r w:rsidRPr="00907B2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instrText>Рисунок</w:instrText>
                      </w:r>
                      <w:r w:rsidRPr="00907B2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  <w:lang w:val="en-US"/>
                        </w:rPr>
                        <w:instrText xml:space="preserve"> \* ARABIC </w:instrText>
                      </w:r>
                      <w:r w:rsidRPr="00907B2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  <w:lang w:val="en-US"/>
                        </w:rPr>
                        <w:t>5</w:t>
                      </w:r>
                      <w:r w:rsidRPr="00907B2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907B2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2"/>
                          <w:szCs w:val="22"/>
                          <w:lang w:val="en-US"/>
                        </w:rPr>
                        <w:t xml:space="preserve"> - Effect sizes for factors Sport/Nosology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852D5C1" wp14:editId="7DABB56B">
            <wp:simplePos x="0" y="0"/>
            <wp:positionH relativeFrom="column">
              <wp:posOffset>613611</wp:posOffset>
            </wp:positionH>
            <wp:positionV relativeFrom="paragraph">
              <wp:posOffset>368</wp:posOffset>
            </wp:positionV>
            <wp:extent cx="4944745" cy="3439795"/>
            <wp:effectExtent l="0" t="0" r="8255" b="8255"/>
            <wp:wrapTopAndBottom/>
            <wp:docPr id="15844623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12BC5" w:rsidRPr="00907B26" w:rsidSect="00100C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176AC"/>
    <w:multiLevelType w:val="multilevel"/>
    <w:tmpl w:val="F584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42EBC"/>
    <w:multiLevelType w:val="multilevel"/>
    <w:tmpl w:val="2F7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13774">
    <w:abstractNumId w:val="0"/>
  </w:num>
  <w:num w:numId="2" w16cid:durableId="1597788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DD"/>
    <w:rsid w:val="00100C39"/>
    <w:rsid w:val="00143DE1"/>
    <w:rsid w:val="00150211"/>
    <w:rsid w:val="00336DB6"/>
    <w:rsid w:val="003A57DD"/>
    <w:rsid w:val="003E1FE9"/>
    <w:rsid w:val="005F2953"/>
    <w:rsid w:val="00812BC5"/>
    <w:rsid w:val="00907B26"/>
    <w:rsid w:val="00943EAB"/>
    <w:rsid w:val="00971666"/>
    <w:rsid w:val="00E6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6BA7"/>
  <w15:chartTrackingRefBased/>
  <w15:docId w15:val="{B1AE9D70-1C9D-4390-8723-290D2BD8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7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7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7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7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7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7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7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7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7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7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57D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07B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336D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351</Words>
  <Characters>2339</Characters>
  <Application>Microsoft Office Word</Application>
  <DocSecurity>0</DocSecurity>
  <Lines>46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Епифанов Арсений Павлович</dc:creator>
  <cp:keywords/>
  <dc:description/>
  <cp:lastModifiedBy>Епифанов Арсений Павлович</cp:lastModifiedBy>
  <cp:revision>2</cp:revision>
  <dcterms:created xsi:type="dcterms:W3CDTF">2025-11-14T20:24:00Z</dcterms:created>
  <dcterms:modified xsi:type="dcterms:W3CDTF">2025-11-14T20:24:00Z</dcterms:modified>
</cp:coreProperties>
</file>