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3D5C"/>
          <w:sz w:val="30"/>
        </w:rPr>
        <w:t>INFORME EJECUTIVO SEO</w:t>
      </w:r>
    </w:p>
    <w:p>
      <w:pPr>
        <w:spacing w:after="40"/>
      </w:pPr>
      <w:r>
        <w:rPr>
          <w:b/>
          <w:color w:val="0F3D5C"/>
          <w:sz w:val="22"/>
        </w:rPr>
        <w:t>Propuesta de re-rename — Apartamentos Can Denga (ex “Aptos Miramar 2”)</w:t>
      </w:r>
    </w:p>
    <w:p>
      <w:pPr>
        <w:spacing w:after="80"/>
      </w:pPr>
      <w:r>
        <w:rPr>
          <w:i/>
          <w:color w:val="555555"/>
          <w:sz w:val="17"/>
        </w:rPr>
        <w:t>Cliente: Miramar Mallorca Collection · Web: miramarcollection.com · Establecimiento: Apartamentos Can Denga (Port de Pollença) · Para: Account · Autor: SEO Manager — Hotetec · Fecha: 14 mayo 2026</w:t>
      </w:r>
    </w:p>
    <w:p>
      <w:pPr>
        <w:spacing w:after="80"/>
      </w:pPr>
      <w:r>
        <w:rPr>
          <w:color w:val="0F3D5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0F3D5C"/>
          <w:sz w:val="22"/>
        </w:rPr>
        <w:t>1 · Recomendación al cliente</w:t>
      </w:r>
    </w:p>
    <w:p>
      <w:pPr>
        <w:spacing w:after="80" w:before="0"/>
      </w:pPr>
      <w:r>
        <w:rPr>
          <w:b/>
          <w:color w:val="B31B1B"/>
          <w:sz w:val="19"/>
        </w:rPr>
        <w:t>NO revertir</w:t>
      </w:r>
      <w:r>
        <w:rPr>
          <w:b w:val="0"/>
          <w:sz w:val="19"/>
        </w:rPr>
        <w:t xml:space="preserve"> el naming a “Aptos Miramar 2” y </w:t>
      </w:r>
      <w:r>
        <w:rPr>
          <w:b/>
          <w:color w:val="B31B1B"/>
          <w:sz w:val="19"/>
        </w:rPr>
        <w:t>NO ejecutar ningún cambio de marca en plena temporada</w:t>
      </w:r>
      <w:r>
        <w:rPr>
          <w:b w:val="0"/>
          <w:sz w:val="19"/>
        </w:rPr>
        <w:t xml:space="preserve"> (mayo–octubre 2026). El cambio de 2023 fue una decisión SEO correcta y los datos lo respaldan: </w:t>
      </w:r>
      <w:r>
        <w:rPr>
          <w:b/>
          <w:sz w:val="19"/>
        </w:rPr>
        <w:t>la caída de conversión percibida no se explica de forma concluyente por el rename</w:t>
      </w:r>
      <w:r>
        <w:rPr>
          <w:b w:val="0"/>
          <w:sz w:val="19"/>
        </w:rPr>
        <w:t>. Sí existen oportunidades reales de mejora en la ficha y en el ecosistema de marca que deben ser el foco de acción.</w:t>
      </w:r>
    </w:p>
    <w:p>
      <w:pPr>
        <w:spacing w:before="160" w:after="40"/>
      </w:pPr>
      <w:r>
        <w:rPr>
          <w:b/>
          <w:color w:val="0F3D5C"/>
          <w:sz w:val="22"/>
        </w:rPr>
        <w:t>2 · Argumentos para defender la decisión de 2023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Naming anterior débil y canibalizador. </w:t>
      </w:r>
      <w:r>
        <w:rPr>
          <w:b w:val="0"/>
          <w:sz w:val="19"/>
        </w:rPr>
        <w:t>“Aptos Miramar 2” era genérico, con sufijo numérico, sin entidad propia y colisionaba con Hotel Miramar Mallorca y Apartamentos Miramar dentro del mismo grupo. Provocaba canibalización SERP, confusión de usuario y ambigüedad para Google.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“Can Denga” es toponímico, único y arraigado. </w:t>
      </w:r>
      <w:r>
        <w:rPr>
          <w:b w:val="0"/>
          <w:sz w:val="19"/>
        </w:rPr>
        <w:t>Identifica un POI físico diferenciado, rankeable como entidad propia (Knowledge Graph), sin colisión con el resto de la cadena.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La keyword “aptos miramar 2” no tenía demanda real. </w:t>
      </w:r>
      <w:r>
        <w:rPr>
          <w:b w:val="0"/>
          <w:sz w:val="19"/>
        </w:rPr>
        <w:t>Volumen ≈ 0 en Ahrefs y GSC: era una zombie keyword sin búsquedas branded medibles. Volver no recupera tráfico, porque nunca lo hubo bajo ese nombre.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Tendencia del dominio post-rename es positiva. </w:t>
      </w:r>
      <w:r>
        <w:rPr>
          <w:b w:val="0"/>
          <w:sz w:val="19"/>
        </w:rPr>
        <w:t>Posición media en GSC mejora de 46 (oct 2024) → 10,8 (abr 2026); impresiones y clicks crecen en temporada (pico 1.116 clicks en jul 2025). El dominio NO se ha deteriorado tras el cambio.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Revertir ahora sería el peor escenario posible. </w:t>
      </w:r>
      <w:r>
        <w:rPr>
          <w:b w:val="0"/>
          <w:sz w:val="19"/>
        </w:rPr>
        <w:t>Implica reindexación, pérdida temporal de branded, fluctuaciones SEO, desalineación OTA, problemas de tracking, confusión del usuario en plena temporada y pérdida del trabajo de notoriedad de los últimos 24 meses.</w:t>
      </w:r>
    </w:p>
    <w:p>
      <w:pPr>
        <w:spacing w:before="160" w:after="40"/>
      </w:pPr>
      <w:r>
        <w:rPr>
          <w:b/>
          <w:color w:val="0F3D5C"/>
          <w:sz w:val="22"/>
        </w:rPr>
        <w:t>3 · Lección aprendida: la migración de 2023 necesitaba orquestación</w:t>
      </w:r>
    </w:p>
    <w:p>
      <w:pPr>
        <w:spacing w:after="60" w:before="0"/>
      </w:pPr>
      <w:r>
        <w:rPr>
          <w:b w:val="0"/>
          <w:sz w:val="19"/>
        </w:rPr>
        <w:t xml:space="preserve">Un cambio de nombre solo funciona si se ejecuta como </w:t>
      </w:r>
      <w:r>
        <w:rPr>
          <w:b/>
          <w:sz w:val="19"/>
        </w:rPr>
        <w:t>una operación coordinada en bloque, simultánea y rápida en todos los canales</w:t>
      </w:r>
      <w:r>
        <w:rPr>
          <w:b w:val="0"/>
          <w:sz w:val="19"/>
        </w:rPr>
        <w:t xml:space="preserve">. En 2023 desde SEO se acompañó la migración con redirecciones 301, actualización de la ficha y metadatos. </w:t>
      </w:r>
      <w:r>
        <w:rPr>
          <w:b w:val="0"/>
          <w:sz w:val="19"/>
        </w:rPr>
        <w:t xml:space="preserve">Sin embargo, </w:t>
      </w:r>
      <w:r>
        <w:rPr>
          <w:b/>
          <w:sz w:val="19"/>
        </w:rPr>
        <w:t>si el cambio no se trasladó de forma sincronizada al resto de canales</w:t>
      </w:r>
      <w:r>
        <w:rPr>
          <w:b w:val="0"/>
          <w:sz w:val="19"/>
        </w:rPr>
        <w:t xml:space="preserve"> — Booking, Expedia, Tripadvisor, metabuscadores, directorios locales, GBP, Apple Maps, campañas de email a clientes y prospects, RRSS, materiales offline, comunicación pre-stay y post-stay — el ecosistema de marca queda fragmentado durante meses, las entidades no se fusionan correctamente en Google, los reviews históricos no se traspasan al nuevo perfil, y la nueva marca tarda mucho más en consolidarse.</w:t>
      </w:r>
    </w:p>
    <w:p>
      <w:pPr>
        <w:spacing w:after="80" w:before="0"/>
      </w:pPr>
      <w:r>
        <w:rPr>
          <w:b w:val="0"/>
          <w:sz w:val="19"/>
        </w:rPr>
        <w:t xml:space="preserve">Es razonable que parte de la caída de conversión que percibe el cliente provenga de ese gap de coordinación, no del nombre en sí mismo. </w:t>
      </w:r>
      <w:r>
        <w:rPr>
          <w:b/>
          <w:sz w:val="19"/>
        </w:rPr>
        <w:t>La lectura correcta no es revertir, sino completar y reforzar ahora lo que entonces no se cerró:</w:t>
      </w:r>
      <w:r>
        <w:rPr>
          <w:b w:val="0"/>
          <w:sz w:val="19"/>
        </w:rPr>
        <w:t xml:space="preserve"> auditar y unificar la presencia en todas las OTAs/directorios, ejecutar una campaña activa de comunicación de marca (email a base de clientes, post-stay con CTA a reseña, social, prensa local de Pollença, materiales del propio establecimiento), y aplicar endorsing visual “Ca’n Denga — Miramar Mallorca Collection” en todos los puntos de contacto.</w:t>
      </w:r>
    </w:p>
    <w:p>
      <w:pPr>
        <w:spacing w:before="160" w:after="40"/>
      </w:pPr>
      <w:r>
        <w:rPr>
          <w:b/>
          <w:color w:val="0F3D5C"/>
          <w:sz w:val="22"/>
        </w:rPr>
        <w:t>4 · Hallazgos clave (Ahrefs · GSC · revisión SEO)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shd w:fill="0F3D5C"/>
          </w:tcPr>
          <w:p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236"/>
            <w:shd w:fill="0F3D5C"/>
          </w:tcPr>
          <w:p>
            <w:r>
              <w:rPr>
                <w:b/>
                <w:color w:val="FFFFFF"/>
                <w:sz w:val="18"/>
              </w:rPr>
              <w:t>Diagnóstico</w:t>
            </w:r>
          </w:p>
        </w:tc>
        <w:tc>
          <w:tcPr>
            <w:tcW w:type="dxa" w:w="1417"/>
            <w:shd w:fill="0F3D5C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Decisión rename 2023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Acertada. Era nombre débil y canibalizador dentro del grupo.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✅ Defendible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Volumen branded “Can Denga”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Sin volumen medible en Ahrefs tras 24 meses: marca aún en fase de construcción de notoriedad (proceso 5–7 años en este nicho).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🟠 Esperado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Volumen “Aptos Miramar 2”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Volumen ≈ 0. El nombre anterior tampoco generaba demanda branded.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✅ Confirma rename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URL de ficha en Ahrefs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0 keywords / 0 tráfico orgánico (mayo 2026). Caída anómala del URL Rating jun–sep 2025 (5,0 → 0,6) — incidencia técnica a investigar.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🔴 Crítico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Tendencia GSC dominio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Posición media 46 → 10,8 en 18 meses. Clicks pico 1.116 en jul 2025. Tendencia positiva sostenida.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✅ Positivo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Ficha técnica SEO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Schema VacationRental incompleto (sin AggregateRating, sin Offer, numberOfRooms null), og:url incorrecto, endorsing “by Miramar” no visible junto al H1.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🔴 Crítico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Web bloquea crawlers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Acceso devuelve HTTP 403 incluso a User-Agent de navegador. Puede afectar a bots SEO y matching engines de OTAs.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🟠 Revisar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Google Business Profile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NAP correcto y verificado, pero solo 6 reseñas / 4,7★. Knowledge Panel no se dispara para búsqueda branded pura, sí con destino añadido.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🟠 Mejorable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Teléfono GBP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Compartido con Hotel Miramar (+34 971 866 400). Riesgo de que Google fusione entidades.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🟠 Mejorable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Cambio en plena temporada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7"/>
              </w:rPr>
              <w:t>Riesgo SEO/local muy alto: reindexación, desalineación OTA, confusión usuario, pérdida temporal de branded.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7"/>
              </w:rPr>
              <w:t>🛑 No hacer</w:t>
            </w:r>
          </w:p>
        </w:tc>
      </w:tr>
    </w:tbl>
    <w:p>
      <w:pPr>
        <w:spacing w:before="160" w:after="40"/>
      </w:pPr>
      <w:r>
        <w:rPr>
          <w:b/>
          <w:color w:val="0F3D5C"/>
          <w:sz w:val="22"/>
        </w:rPr>
        <w:t>5 · Factores ajenos al SEO a considerar en la caída de conversión</w:t>
      </w:r>
    </w:p>
    <w:p>
      <w:pPr>
        <w:spacing w:after="80" w:before="0"/>
      </w:pPr>
      <w:r>
        <w:rPr>
          <w:b w:val="0"/>
          <w:sz w:val="19"/>
        </w:rPr>
        <w:t xml:space="preserve">La caída de conversión que percibe el cliente puede estar influida por variables que escapan del ámbito SEO y que conviene contrastar con datos antes de imputarlas al rename: </w:t>
      </w:r>
      <w:r>
        <w:rPr>
          <w:b w:val="0"/>
          <w:sz w:val="19"/>
        </w:rPr>
        <w:t xml:space="preserve">estacionalidad y cambios de mercado en Pollensa, política de precios y ADR vs competencia directa, pérdida de reviews históricas asociadas al perfil antiguo, cambios en motor de reservas o UX de la ficha, visibilidad y ranking en OTAs (Booking score, Genius, Preferred), inversión paid y media mix, y </w:t>
      </w:r>
      <w:r>
        <w:rPr>
          <w:b/>
          <w:sz w:val="19"/>
        </w:rPr>
        <w:t>la falta de una campaña de comunicación de marca acompañando el rename en 2023.</w:t>
      </w:r>
      <w:r>
        <w:rPr>
          <w:b w:val="0"/>
          <w:sz w:val="19"/>
        </w:rPr>
        <w:t xml:space="preserve"> Se solicita al cliente compartir datos de GA4, motor de reservas y OTAs (ADR, ocupación, revenue directo, CVR, canales) en ventana abr 2022–abr 2026 para completar el análisis de conversión que el SEO puro no cubre.</w:t>
      </w:r>
    </w:p>
    <w:p>
      <w:pPr>
        <w:spacing w:before="160" w:after="40"/>
      </w:pPr>
      <w:r>
        <w:rPr>
          <w:b/>
          <w:color w:val="0F3D5C"/>
          <w:sz w:val="22"/>
        </w:rPr>
        <w:t>6 · Plan de acción propuesto (sin tocar el naming)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Refuerzo de endorsing de marca (no es rename). </w:t>
      </w:r>
      <w:r>
        <w:rPr>
          <w:b w:val="0"/>
          <w:sz w:val="19"/>
        </w:rPr>
        <w:t xml:space="preserve">Reposicionar la ficha como </w:t>
      </w:r>
      <w:r>
        <w:rPr>
          <w:b/>
          <w:color w:val="0F3D5C"/>
          <w:sz w:val="19"/>
        </w:rPr>
        <w:t>“Apartamentos Ca’n Denga — Miramar Mallorca Collection”</w:t>
      </w:r>
      <w:r>
        <w:rPr>
          <w:b w:val="0"/>
          <w:sz w:val="19"/>
        </w:rPr>
        <w:t xml:space="preserve"> en title, H1, meta description, Open Graph, schema, GBP, OTAs y materiales. Mantiene la diferenciación SEO y recupera el vínculo de cadena.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Optimización técnica de la ficha. </w:t>
      </w:r>
      <w:r>
        <w:rPr>
          <w:b w:val="0"/>
          <w:sz w:val="19"/>
        </w:rPr>
        <w:t>Completar schema VacationRental (AggregateRating, Offer, numberOfRooms, brand), corregir og:url, jerarquía H1/H2, alts de imagen, hreflang, render JS, y resolver el bloqueo 403 a crawlers SEO.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Auditoría NAP y limpieza en bloque. </w:t>
      </w:r>
      <w:r>
        <w:rPr>
          <w:b w:val="0"/>
          <w:sz w:val="19"/>
        </w:rPr>
        <w:t>Revisar Booking, Expedia, Tripadvisor, Trivago, Kayak, HolidayCheck, Apple Maps, Yelp, Foursquare, Bing Places y registros turísticos CAIB. Eliminar listings residuales como “Aptos Miramar 2”, consolidar reviews y unificar denominación.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SEO Local intensivo. </w:t>
      </w:r>
      <w:r>
        <w:rPr>
          <w:b w:val="0"/>
          <w:sz w:val="19"/>
        </w:rPr>
        <w:t>Alta y curación en Wikidata, OpenStreetMap, Mapbox, Geonames, Foursquare, Visit Mallorca, Illesbalears.travel. Diferenciar teléfono respecto al Hotel Miramar.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Estrategia activa de reseñas. </w:t>
      </w:r>
      <w:r>
        <w:rPr>
          <w:b w:val="0"/>
          <w:sz w:val="19"/>
        </w:rPr>
        <w:t>Objetivo +30 reseñas en GBP en 6 meses vía email post-stay automatizado, QR en check-in/llaves, formación de recepción y respuesta sistemática.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Campaña de comunicación de marca (la que faltó en 2023). </w:t>
      </w:r>
      <w:r>
        <w:rPr>
          <w:b w:val="0"/>
          <w:sz w:val="19"/>
        </w:rPr>
        <w:t>Email a base histórica y prospects anunciando la consolidación de marca, social ads geolocalizadas, nota a prensa local, materiales del establecimiento con el endorsing nuevo.</w:t>
      </w:r>
    </w:p>
    <w:p>
      <w:pPr>
        <w:pStyle w:val="ListBullet"/>
        <w:spacing w:after="20" w:before="0"/>
        <w:ind w:left="283"/>
      </w:pPr>
      <w:r>
        <w:rPr>
          <w:b/>
          <w:sz w:val="19"/>
        </w:rPr>
        <w:t xml:space="preserve">Aplazar cualquier movimiento disruptivo a noviembre 2026 (post-temporada). </w:t>
      </w:r>
      <w:r>
        <w:rPr>
          <w:b w:val="0"/>
          <w:sz w:val="19"/>
        </w:rPr>
        <w:t>Ventana segura para cambios estructurales si tras 6 meses los KPIs siguen por debajo de objetivo.</w:t>
      </w:r>
    </w:p>
    <w:p>
      <w:pPr>
        <w:spacing w:before="80" w:after="0"/>
      </w:pPr>
      <w:r>
        <w:rPr>
          <w:i/>
          <w:color w:val="0F3D5C"/>
          <w:sz w:val="18"/>
        </w:rPr>
        <w:t>Resumen para el cliente: el cambio de 2023 fue correcto y los datos lo respaldan; lo que faltó fue una campaña coordinada que acompañara la migración en todos los canales. Esa es la palanca a activar ahora — no revertir.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