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사출성형 데이터 분석</w:t>
        <w:br/>
        <w:t>주제 선정 보고서</w:t>
      </w:r>
    </w:p>
    <w:p>
      <w:r>
        <w:t>CN7 및 RG3 자동차 사이드 몰딩 공정  |  2026년 9월 22일</w:t>
      </w:r>
    </w:p>
    <w:p>
      <w:pPr>
        <w:pStyle w:val="Heading1"/>
      </w:pPr>
      <w:r>
        <w:t>1 최종 선정 주제</w:t>
      </w:r>
    </w:p>
    <w:p>
      <w:pPr>
        <w:pStyle w:val="Heading2"/>
      </w:pPr>
      <w:r>
        <w:t>사출성형 공정 데이터 기반 불량 위험 예측 및 검사 우선순위 결정</w:t>
      </w:r>
    </w:p>
    <w:p>
      <w:r>
        <w:t>공정조건으로 최종검사 전 불량 위험을 추정하고, 같은 검사량에서 더 많은 불량을 발견할 수 있는 검사 순서를 제시한다. 공정조건별 불량 누락과 과잉경보를 함께 분석하여 작업자의 점검 판단을 지원한다. 기존에 제안한 6개 후보 중 검사 우선순위 결정을 핵심 주제로 선정하고, 경보 기준 설정과 오류분석을 세부 목표로 결합한다.</w:t>
      </w:r>
    </w:p>
    <w:p>
      <w:pPr>
        <w:pStyle w:val="Heading1"/>
      </w:pPr>
      <w:r>
        <w:t>2 공정과 현장 문제</w:t>
      </w:r>
    </w:p>
    <w:p>
      <w:r>
        <w:t>대상은 자동차 앞유리 사이드 몰딩을 생산하는 사출성형 공정이다. 수지를 용융·계량한 뒤 금형에 사출·충전하고, 보압·냉각을 거쳐 제품을 취출한다. 온도·압력·속도·시간 등의 조합이 품질과 관련되며, 냉각·수축 후에 불량이 드러날 수 있다. [1]</w:t>
      </w:r>
    </w:p>
    <w:p>
      <w:r>
        <w:t>가이드북은 미성형·가스자국 발생, 원인 규명과 조치 지연, 작업자 경험에 의존한 조건 설정, 육안 선별의 편차 및 개별 품질 추적의 어려움을 제시한다. 검사 여력이 제한된 상황에서 고위험 대상을 먼저 확인한다는 운영 시나리오를 설정한다. 해당 기업의 실제 검사 인력·처리시간·비용은 제공되지 않았다. [1]</w:t>
      </w:r>
    </w:p>
    <w:p>
      <w:pPr>
        <w:pStyle w:val="Heading1"/>
      </w:pPr>
      <w:r>
        <w:t>3 현재 데이터의 근거</w:t>
      </w:r>
    </w:p>
    <w:tbl>
      <w:tblPr>
        <w:tblW w:type="auto" w:w="0"/>
        <w:jc w:val="center"/>
        <w:tblLayout w:type="fixed"/>
        <w:tblLook w:firstColumn="1" w:firstRow="1" w:lastColumn="0" w:lastRow="0" w:noHBand="0" w:noVBand="1" w:val="04A0"/>
      </w:tblPr>
      <w:tblGrid>
        <w:gridCol w:w="2608"/>
        <w:gridCol w:w="1417"/>
        <w:gridCol w:w="1701"/>
        <w:gridCol w:w="1701"/>
        <w:gridCol w:w="2211"/>
      </w:tblGrid>
      <w:tr>
        <w:trPr>
          <w:cantSplit/>
          <w:tblHeader/>
        </w:trPr>
        <w:tc>
          <w:tcPr>
            <w:tcW w:type="dxa" w:w="2608"/>
            <w:vAlign w:val="center"/>
            <w:tcBorders>
              <w:top w:val="single" w:sz="4" w:color="D9D9D9"/>
              <w:left w:val="single" w:sz="4" w:color="D9D9D9"/>
              <w:bottom w:val="single" w:sz="4" w:color="D9D9D9"/>
              <w:right w:val="single" w:sz="4" w:color="D9D9D9"/>
            </w:tcBorders>
            <w:shd w:fill="E7EDF3"/>
            <w:tcMar>
              <w:top w:w="95" w:type="dxa"/>
              <w:left w:w="95" w:type="dxa"/>
              <w:bottom w:w="95" w:type="dxa"/>
              <w:right w:w="95" w:type="dxa"/>
            </w:tcMar>
          </w:tcPr>
          <w:p>
            <w:pPr>
              <w:spacing w:after="40" w:line="259" w:lineRule="auto"/>
              <w:jc w:val="center"/>
            </w:pPr>
            <w:r>
              <w:rPr>
                <w:b/>
                <w:sz w:val="18"/>
              </w:rPr>
              <w:t>파일 구분</w:t>
            </w:r>
          </w:p>
        </w:tc>
        <w:tc>
          <w:tcPr>
            <w:tcW w:type="dxa" w:w="1417"/>
            <w:vAlign w:val="center"/>
            <w:tcBorders>
              <w:top w:val="single" w:sz="4" w:color="D9D9D9"/>
              <w:left w:val="single" w:sz="4" w:color="D9D9D9"/>
              <w:bottom w:val="single" w:sz="4" w:color="D9D9D9"/>
              <w:right w:val="single" w:sz="4" w:color="D9D9D9"/>
            </w:tcBorders>
            <w:shd w:fill="E7EDF3"/>
            <w:tcMar>
              <w:top w:w="95" w:type="dxa"/>
              <w:left w:w="95" w:type="dxa"/>
              <w:bottom w:w="95" w:type="dxa"/>
              <w:right w:w="95" w:type="dxa"/>
            </w:tcMar>
          </w:tcPr>
          <w:p>
            <w:pPr>
              <w:spacing w:after="40" w:line="259" w:lineRule="auto"/>
              <w:jc w:val="center"/>
            </w:pPr>
            <w:r>
              <w:rPr>
                <w:b/>
                <w:sz w:val="18"/>
              </w:rPr>
              <w:t>행 수</w:t>
            </w:r>
          </w:p>
        </w:tc>
        <w:tc>
          <w:tcPr>
            <w:tcW w:type="dxa" w:w="1701"/>
            <w:vAlign w:val="center"/>
            <w:tcBorders>
              <w:top w:val="single" w:sz="4" w:color="D9D9D9"/>
              <w:left w:val="single" w:sz="4" w:color="D9D9D9"/>
              <w:bottom w:val="single" w:sz="4" w:color="D9D9D9"/>
              <w:right w:val="single" w:sz="4" w:color="D9D9D9"/>
            </w:tcBorders>
            <w:shd w:fill="E7EDF3"/>
            <w:tcMar>
              <w:top w:w="95" w:type="dxa"/>
              <w:left w:w="95" w:type="dxa"/>
              <w:bottom w:w="95" w:type="dxa"/>
              <w:right w:w="95" w:type="dxa"/>
            </w:tcMar>
          </w:tcPr>
          <w:p>
            <w:pPr>
              <w:spacing w:after="40" w:line="259" w:lineRule="auto"/>
              <w:jc w:val="center"/>
            </w:pPr>
            <w:r>
              <w:rPr>
                <w:b/>
                <w:sz w:val="18"/>
              </w:rPr>
              <w:t>양품 0</w:t>
            </w:r>
          </w:p>
        </w:tc>
        <w:tc>
          <w:tcPr>
            <w:tcW w:type="dxa" w:w="1701"/>
            <w:vAlign w:val="center"/>
            <w:tcBorders>
              <w:top w:val="single" w:sz="4" w:color="D9D9D9"/>
              <w:left w:val="single" w:sz="4" w:color="D9D9D9"/>
              <w:bottom w:val="single" w:sz="4" w:color="D9D9D9"/>
              <w:right w:val="single" w:sz="4" w:color="D9D9D9"/>
            </w:tcBorders>
            <w:shd w:fill="E7EDF3"/>
            <w:tcMar>
              <w:top w:w="95" w:type="dxa"/>
              <w:left w:w="95" w:type="dxa"/>
              <w:bottom w:w="95" w:type="dxa"/>
              <w:right w:w="95" w:type="dxa"/>
            </w:tcMar>
          </w:tcPr>
          <w:p>
            <w:pPr>
              <w:spacing w:after="40" w:line="259" w:lineRule="auto"/>
              <w:jc w:val="center"/>
            </w:pPr>
            <w:r>
              <w:rPr>
                <w:b/>
                <w:sz w:val="18"/>
              </w:rPr>
              <w:t>불량 1</w:t>
            </w:r>
          </w:p>
        </w:tc>
        <w:tc>
          <w:tcPr>
            <w:tcW w:type="dxa" w:w="2211"/>
            <w:vAlign w:val="center"/>
            <w:tcBorders>
              <w:top w:val="single" w:sz="4" w:color="D9D9D9"/>
              <w:left w:val="single" w:sz="4" w:color="D9D9D9"/>
              <w:bottom w:val="single" w:sz="4" w:color="D9D9D9"/>
              <w:right w:val="single" w:sz="4" w:color="D9D9D9"/>
            </w:tcBorders>
            <w:shd w:fill="E7EDF3"/>
            <w:tcMar>
              <w:top w:w="95" w:type="dxa"/>
              <w:left w:w="95" w:type="dxa"/>
              <w:bottom w:w="95" w:type="dxa"/>
              <w:right w:w="95" w:type="dxa"/>
            </w:tcMar>
          </w:tcPr>
          <w:p>
            <w:pPr>
              <w:spacing w:after="40" w:line="259" w:lineRule="auto"/>
              <w:jc w:val="center"/>
            </w:pPr>
            <w:r>
              <w:rPr>
                <w:b/>
                <w:sz w:val="18"/>
              </w:rPr>
              <w:t>불량률</w:t>
            </w:r>
          </w:p>
        </w:tc>
      </w:tr>
      <w:tr>
        <w:trPr>
          <w:cantSplit/>
        </w:trPr>
        <w:tc>
          <w:tcPr>
            <w:tcW w:type="dxa" w:w="260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labeled CN7</w:t>
            </w:r>
          </w:p>
        </w:tc>
        <w:tc>
          <w:tcPr>
            <w:tcW w:type="dxa" w:w="141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1,211</w:t>
            </w:r>
          </w:p>
        </w:tc>
        <w:tc>
          <w:tcPr>
            <w:tcW w:type="dxa" w:w="170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1,194</w:t>
            </w:r>
          </w:p>
        </w:tc>
        <w:tc>
          <w:tcPr>
            <w:tcW w:type="dxa" w:w="170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17</w:t>
            </w:r>
          </w:p>
        </w:tc>
        <w:tc>
          <w:tcPr>
            <w:tcW w:type="dxa" w:w="221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1.40%</w:t>
            </w:r>
          </w:p>
        </w:tc>
      </w:tr>
      <w:tr>
        <w:trPr>
          <w:cantSplit/>
        </w:trPr>
        <w:tc>
          <w:tcPr>
            <w:tcW w:type="dxa" w:w="260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labeled RG3</w:t>
            </w:r>
          </w:p>
        </w:tc>
        <w:tc>
          <w:tcPr>
            <w:tcW w:type="dxa" w:w="141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1,182</w:t>
            </w:r>
          </w:p>
        </w:tc>
        <w:tc>
          <w:tcPr>
            <w:tcW w:type="dxa" w:w="170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1,157</w:t>
            </w:r>
          </w:p>
        </w:tc>
        <w:tc>
          <w:tcPr>
            <w:tcW w:type="dxa" w:w="170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25</w:t>
            </w:r>
          </w:p>
        </w:tc>
        <w:tc>
          <w:tcPr>
            <w:tcW w:type="dxa" w:w="221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2.12%</w:t>
            </w:r>
          </w:p>
        </w:tc>
      </w:tr>
      <w:tr>
        <w:trPr>
          <w:cantSplit/>
        </w:trPr>
        <w:tc>
          <w:tcPr>
            <w:tcW w:type="dxa" w:w="260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unlabeled CN7</w:t>
            </w:r>
          </w:p>
        </w:tc>
        <w:tc>
          <w:tcPr>
            <w:tcW w:type="dxa" w:w="141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35,239</w:t>
            </w:r>
          </w:p>
        </w:tc>
        <w:tc>
          <w:tcPr>
            <w:tcW w:type="dxa" w:w="170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미제공</w:t>
            </w:r>
          </w:p>
        </w:tc>
        <w:tc>
          <w:tcPr>
            <w:tcW w:type="dxa" w:w="170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미제공</w:t>
            </w:r>
          </w:p>
        </w:tc>
        <w:tc>
          <w:tcPr>
            <w:tcW w:type="dxa" w:w="221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산출 불가</w:t>
            </w:r>
          </w:p>
        </w:tc>
      </w:tr>
      <w:tr>
        <w:trPr>
          <w:cantSplit/>
        </w:trPr>
        <w:tc>
          <w:tcPr>
            <w:tcW w:type="dxa" w:w="260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unlabeled RG3</w:t>
            </w:r>
          </w:p>
        </w:tc>
        <w:tc>
          <w:tcPr>
            <w:tcW w:type="dxa" w:w="141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35,941</w:t>
            </w:r>
          </w:p>
        </w:tc>
        <w:tc>
          <w:tcPr>
            <w:tcW w:type="dxa" w:w="170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미제공</w:t>
            </w:r>
          </w:p>
        </w:tc>
        <w:tc>
          <w:tcPr>
            <w:tcW w:type="dxa" w:w="170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미제공</w:t>
            </w:r>
          </w:p>
        </w:tc>
        <w:tc>
          <w:tcPr>
            <w:tcW w:type="dxa" w:w="221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산출 불가</w:t>
            </w:r>
          </w:p>
        </w:tc>
      </w:tr>
    </w:tbl>
    <w:p/>
    <w:p>
      <w:r>
        <w:t>공통 공정 변수는 24개이며 결측치는 없다. labeled는 총 2,393행 중 불량 42행으로 불량률이 약 1.76%이다. unlabeled는 총 71,180행이다. 저장 인덱스는 예측 변수에서 제외한다. 수치는 실제 제공 CSV 기준이며 가이드북 예시의 표본 수와 구분한다. [2]</w:t>
      </w:r>
    </w:p>
    <w:p>
      <w:r>
        <w:br w:type="page"/>
      </w:r>
    </w:p>
    <w:p>
      <w:pPr>
        <w:pStyle w:val="Heading1"/>
      </w:pPr>
      <w:r>
        <w:t>4 제안한 주제 후보 비교</w:t>
      </w:r>
    </w:p>
    <w:p>
      <w:r>
        <w:t>현재 데이터로 목표를 평가할 수 있는지, 현장 의사결정에 연결되는지, 추가 자료에 얼마나 의존하는지를 기준으로 비교했다. 아래 판단은 모델 성능을 실험한 결과가 아니라 분석 범위 선정을 위한 판단이다.</w:t>
      </w:r>
    </w:p>
    <w:tbl>
      <w:tblPr>
        <w:tblW w:type="auto" w:w="0"/>
        <w:jc w:val="center"/>
        <w:tblLayout w:type="fixed"/>
        <w:tblLook w:firstColumn="1" w:firstRow="1" w:lastColumn="0" w:lastRow="0" w:noHBand="0" w:noVBand="1" w:val="04A0"/>
      </w:tblPr>
      <w:tblGrid>
        <w:gridCol w:w="1984"/>
        <w:gridCol w:w="5669"/>
        <w:gridCol w:w="1984"/>
      </w:tblGrid>
      <w:tr>
        <w:trPr>
          <w:cantSplit/>
          <w:tblHeader/>
        </w:trPr>
        <w:tc>
          <w:tcPr>
            <w:tcW w:type="dxa" w:w="1984"/>
            <w:vAlign w:val="center"/>
            <w:tcBorders>
              <w:top w:val="single" w:sz="4" w:color="D9D9D9"/>
              <w:left w:val="single" w:sz="4" w:color="D9D9D9"/>
              <w:bottom w:val="single" w:sz="4" w:color="D9D9D9"/>
              <w:right w:val="single" w:sz="4" w:color="D9D9D9"/>
            </w:tcBorders>
            <w:shd w:fill="E7EDF3"/>
            <w:tcMar>
              <w:top w:w="95" w:type="dxa"/>
              <w:left w:w="95" w:type="dxa"/>
              <w:bottom w:w="95" w:type="dxa"/>
              <w:right w:w="95" w:type="dxa"/>
            </w:tcMar>
          </w:tcPr>
          <w:p>
            <w:pPr>
              <w:spacing w:after="40" w:line="259" w:lineRule="auto"/>
              <w:jc w:val="center"/>
            </w:pPr>
            <w:r>
              <w:rPr>
                <w:b/>
                <w:sz w:val="18"/>
              </w:rPr>
              <w:t>후보</w:t>
            </w:r>
          </w:p>
        </w:tc>
        <w:tc>
          <w:tcPr>
            <w:tcW w:type="dxa" w:w="5669"/>
            <w:vAlign w:val="center"/>
            <w:tcBorders>
              <w:top w:val="single" w:sz="4" w:color="D9D9D9"/>
              <w:left w:val="single" w:sz="4" w:color="D9D9D9"/>
              <w:bottom w:val="single" w:sz="4" w:color="D9D9D9"/>
              <w:right w:val="single" w:sz="4" w:color="D9D9D9"/>
            </w:tcBorders>
            <w:shd w:fill="E7EDF3"/>
            <w:tcMar>
              <w:top w:w="95" w:type="dxa"/>
              <w:left w:w="95" w:type="dxa"/>
              <w:bottom w:w="95" w:type="dxa"/>
              <w:right w:w="95" w:type="dxa"/>
            </w:tcMar>
          </w:tcPr>
          <w:p>
            <w:pPr>
              <w:spacing w:after="40" w:line="259" w:lineRule="auto"/>
              <w:jc w:val="center"/>
            </w:pPr>
            <w:r>
              <w:rPr>
                <w:b/>
                <w:sz w:val="18"/>
              </w:rPr>
              <w:t>현장 질문과 활용 방법</w:t>
            </w:r>
          </w:p>
        </w:tc>
        <w:tc>
          <w:tcPr>
            <w:tcW w:type="dxa" w:w="1984"/>
            <w:vAlign w:val="center"/>
            <w:tcBorders>
              <w:top w:val="single" w:sz="4" w:color="D9D9D9"/>
              <w:left w:val="single" w:sz="4" w:color="D9D9D9"/>
              <w:bottom w:val="single" w:sz="4" w:color="D9D9D9"/>
              <w:right w:val="single" w:sz="4" w:color="D9D9D9"/>
            </w:tcBorders>
            <w:shd w:fill="E7EDF3"/>
            <w:tcMar>
              <w:top w:w="95" w:type="dxa"/>
              <w:left w:w="95" w:type="dxa"/>
              <w:bottom w:w="95" w:type="dxa"/>
              <w:right w:w="95" w:type="dxa"/>
            </w:tcMar>
          </w:tcPr>
          <w:p>
            <w:pPr>
              <w:spacing w:after="40" w:line="259" w:lineRule="auto"/>
              <w:jc w:val="center"/>
            </w:pPr>
            <w:r>
              <w:rPr>
                <w:b/>
                <w:sz w:val="18"/>
              </w:rPr>
              <w:t>선정 판단</w:t>
            </w:r>
          </w:p>
        </w:tc>
      </w:tr>
      <w:tr>
        <w:trPr>
          <w:cantSplit/>
        </w:trPr>
        <w:tc>
          <w:tcPr>
            <w:tcW w:type="dxa" w:w="198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1 검사 우선순위</w:t>
            </w:r>
          </w:p>
        </w:tc>
        <w:tc>
          <w:tcPr>
            <w:tcW w:type="dxa" w:w="5669"/>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공정 변수로 위험 순위를 만들고, 일정 검사 비율에서 포착하는 불량 수를 비교한다.</w:t>
            </w:r>
          </w:p>
        </w:tc>
        <w:tc>
          <w:tcPr>
            <w:tcW w:type="dxa" w:w="198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핵심 주제로 선정</w:t>
            </w:r>
          </w:p>
        </w:tc>
      </w:tr>
      <w:tr>
        <w:trPr>
          <w:cantSplit/>
        </w:trPr>
        <w:tc>
          <w:tcPr>
            <w:tcW w:type="dxa" w:w="198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2 경보 기준 설정</w:t>
            </w:r>
          </w:p>
        </w:tc>
        <w:tc>
          <w:tcPr>
            <w:tcW w:type="dxa" w:w="5669"/>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불량 누락과 과잉검사의 관계를 분석해 검사 여력별 임계값을 정한다. 실제 비용은 별도 필요하다.</w:t>
            </w:r>
          </w:p>
        </w:tc>
        <w:tc>
          <w:tcPr>
            <w:tcW w:type="dxa" w:w="198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세부 목표로 채택</w:t>
            </w:r>
          </w:p>
        </w:tc>
      </w:tr>
      <w:tr>
        <w:trPr>
          <w:cantSplit/>
        </w:trPr>
        <w:tc>
          <w:tcPr>
            <w:tcW w:type="dxa" w:w="198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3 공정조건별 위험과 오류</w:t>
            </w:r>
          </w:p>
        </w:tc>
        <w:tc>
          <w:tcPr>
            <w:tcW w:type="dxa" w:w="5669"/>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불량과 FN·FP가 집중되는 조건 조합을 찾아 작업자의 점검 항목을 제시한다.</w:t>
            </w:r>
          </w:p>
        </w:tc>
        <w:tc>
          <w:tcPr>
            <w:tcW w:type="dxa" w:w="198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세부 목표로 채택</w:t>
            </w:r>
          </w:p>
        </w:tc>
      </w:tr>
      <w:tr>
        <w:trPr>
          <w:cantSplit/>
        </w:trPr>
        <w:tc>
          <w:tcPr>
            <w:tcW w:type="dxa" w:w="198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4 불확실한 예측의 사람 검토</w:t>
            </w:r>
          </w:p>
        </w:tc>
        <w:tc>
          <w:tcPr>
            <w:tcW w:type="dxa" w:w="5669"/>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모델 간 불일치나 낯선 조건을 표시하고, 사람 검토 비율별 오류율을 비교한다.</w:t>
            </w:r>
          </w:p>
        </w:tc>
        <w:tc>
          <w:tcPr>
            <w:tcW w:type="dxa" w:w="198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후속 확장</w:t>
            </w:r>
          </w:p>
        </w:tc>
      </w:tr>
      <w:tr>
        <w:trPr>
          <w:cantSplit/>
        </w:trPr>
        <w:tc>
          <w:tcPr>
            <w:tcW w:type="dxa" w:w="198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5 추가 라벨링 대상 선정</w:t>
            </w:r>
          </w:p>
        </w:tc>
        <w:tc>
          <w:tcPr>
            <w:tcW w:type="dxa" w:w="5669"/>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미라벨 데이터 중 추가 검사할 대상을 선택한다. 정답을 숨긴 모의실험으로 전략을 비교한다.</w:t>
            </w:r>
          </w:p>
        </w:tc>
        <w:tc>
          <w:tcPr>
            <w:tcW w:type="dxa" w:w="198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후속 확장</w:t>
            </w:r>
          </w:p>
        </w:tc>
      </w:tr>
      <w:tr>
        <w:trPr>
          <w:cantSplit/>
        </w:trPr>
        <w:tc>
          <w:tcPr>
            <w:tcW w:type="dxa" w:w="198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6 제품별 모델과 통합 모델</w:t>
            </w:r>
          </w:p>
        </w:tc>
        <w:tc>
          <w:tcPr>
            <w:tcW w:type="dxa" w:w="5669"/>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제품별 모델과 통합 모델의 성능을 비교해 모델 관리 방식을 결정한다.</w:t>
            </w:r>
          </w:p>
        </w:tc>
        <w:tc>
          <w:tcPr>
            <w:tcW w:type="dxa" w:w="198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비교 실험으로 포함</w:t>
            </w:r>
          </w:p>
        </w:tc>
      </w:tr>
    </w:tbl>
    <w:p/>
    <w:p>
      <w:pPr>
        <w:pStyle w:val="Heading2"/>
      </w:pPr>
      <w:r>
        <w:t>후보 4와 후보 5를 주목표로 삼지 않은 이유</w:t>
      </w:r>
    </w:p>
    <w:p>
      <w:r>
        <w:t>불량 표본이 42행에 불과하고 중복·라벨 충돌도 있어, 예측 확률의 신뢰도와 불확실성을 정밀하게 검증하기 어렵다. 추가 라벨링 전략은 가치가 있지만 미라벨 데이터의 실제 정답이 없으므로 현장 효과를 직접 확인할 수 없다. 두 주제는 기본 모델과 검증 체계를 확보한 후 확장하는 것이 적절하다.</w:t>
      </w:r>
    </w:p>
    <w:p>
      <w:pPr>
        <w:pStyle w:val="Heading2"/>
      </w:pPr>
      <w:r>
        <w:t>후보 6의 활용 위치</w:t>
      </w:r>
    </w:p>
    <w:p>
      <w:r>
        <w:t>제품 구분은 파일명으로 확보할 수 있어 개별 모델과 통합 모델을 비교할 수 있다. 다만 두 제품의 결과만으로 신제품 전반에 대한 적용성을 입증할 수 없고, 각 파일의 표준화 기준도 다르다. 따라서 독립된 주제보다 최종 모델의 구성 방식을 선택하는 실험으로 활용한다.</w:t>
      </w:r>
    </w:p>
    <w:p>
      <w:pPr>
        <w:pStyle w:val="Heading2"/>
      </w:pPr>
      <w:r>
        <w:t>현장 운영 결과물</w:t>
      </w:r>
    </w:p>
    <w:p>
      <w:r>
        <w:t>예측 대상의 불량 위험 순위, 검사 우선 대상 표시, 주요 관련 변수와 추가 확인 항목을 제공한다. 이 결과는 검사 순서와 점검 판단을 지원한다. 저위험 예측만으로 출하를 자동 승인하거나 기존 품질검사를 생략하는 것은 본 목표에 포함하지 않는다.</w:t>
      </w:r>
    </w:p>
    <w:p>
      <w:r>
        <w:br w:type="page"/>
      </w:r>
    </w:p>
    <w:p>
      <w:pPr>
        <w:pStyle w:val="Heading1"/>
      </w:pPr>
      <w:r>
        <w:t>5 최종 주제의 선정 이유</w:t>
      </w:r>
    </w:p>
    <w:p>
      <w:pPr>
        <w:pStyle w:val="Heading2"/>
      </w:pPr>
      <w:r>
        <w:t>현재 데이터가 예측 대상과 직접 연결된다</w:t>
      </w:r>
    </w:p>
    <w:p>
      <w:r>
        <w:t>공정 변수 24개와 양품·불량 라벨이 있어 공정조건에서 품질 결과를 추정하는 학습과 평가가 가능하다. 온도·압력·속도·시간 변수를 함께 활용할 수 있다. 시간·설비·정비 이력이 없어 필요한 근거를 갖추지 못한 미래 불량 예측이나 설비 고장 예측보다 데이터와 목표의 연결이 명확하다.</w:t>
      </w:r>
    </w:p>
    <w:p>
      <w:pPr>
        <w:pStyle w:val="Heading2"/>
      </w:pPr>
      <w:r>
        <w:t>희소한 불량을 현장 의사결정 지표로 평가할 수 있다</w:t>
      </w:r>
    </w:p>
    <w:p>
      <w:r>
        <w:t>모든 labeled 행을 양품으로 예측해도 정확도는 약 98.24%이다. 따라서 정확도만으로는 실용성을 판단하기 어렵다. 불량 클래스의 F1-score·재현율과 함께 상위 위험 대상의 불량 포착률을 평가하면, 모델이 제한된 검사량을 얼마나 유효하게 배분하는지 확인할 수 있다.</w:t>
      </w:r>
    </w:p>
    <w:p>
      <w:pPr>
        <w:pStyle w:val="Heading2"/>
      </w:pPr>
      <w:r>
        <w:t>기존 검사 업무에 적용하는 경로가 구체적이다</w:t>
      </w:r>
    </w:p>
    <w:p>
      <w:r>
        <w:t>가이드북의 현장 문제는 불량 발견과 원인 파악의 지연이다. 고위험 대상을 먼저 검사하고 오류가 잦은 조건을 우선 점검하는 방식은 품질 담당자의 다음 행동과 연결된다. 설비의 자동 제어값을 제안하려면 추가로 필요한 원단위 측정값과 개입 실험도 요구하지 않는다. 다만 실제 검사시간 단축은 현장 실증으로 확인해야 한다.</w:t>
      </w:r>
    </w:p>
    <w:p>
      <w:pPr>
        <w:pStyle w:val="Heading2"/>
      </w:pPr>
      <w:r>
        <w:t>대회 평가 항목을 하나의 분석 흐름으로 연결한다</w:t>
      </w:r>
    </w:p>
    <w:p>
      <w:r>
        <w:t>데이터 진단으로 검증의 신뢰성을 확보하고, 베이스라인 포함 2개 이상 모델을 비교한 뒤, FN·FP가 발생한 조건을 해석하여 검사 우선순위에 반영한다. 데이터 이해 15점, 모델 개발 40점, 영향요인·오류분석 15점, 현장 활용 10점, 창의성 10점, 재현성 10점의 평가 구조와 연결된다. [3]</w:t>
      </w:r>
    </w:p>
    <w:p>
      <w:pPr>
        <w:pStyle w:val="Heading1"/>
      </w:pPr>
      <w:r>
        <w:t>6 목표와 예측 시점</w:t>
      </w:r>
    </w:p>
    <w:p>
      <w:r>
        <w:t>최종 목표는 동일한 검사 비율에서 무작위 선정 대비 불량 포착률을 높이고, 그 개선이 중복을 통제한 평가에서도 유지되는지 확인하는 것이다. 모델 성능이나 절감률의 목표 수치는 실험 전에 임의로 확정하지 않는다.</w:t>
      </w:r>
    </w:p>
    <w:p>
      <w:r>
        <w:t>기본 예측 시점은 해당 생산 사이클의 공정 요약값이 확보된 후부터 최종 품질검사 전까지로 설정한다. Cycle_Time이나 최대압력처럼 사이클 종료 후 확정될 수 있는 변수가 있기 때문이다. 실제 현장 적용 시에는 각 변수의 수집 시각과 검사 시각을 확인해야 한다.</w:t>
      </w:r>
    </w:p>
    <w:p>
      <w:r>
        <w:t>분석 단위는 제공 CSV의 관측 행이다. 한 행이 개별 제품 한 개 또는 독립된 생산 사이클 한 번과 정확히 대응하는지는 현재 파일만으로 확정할 수 없다. 따라서 검사 우선순위 효과는 먼저 관측 행 기준으로 보고하고, 제품 단위 효과는 추적 정보를 확보한 뒤 검증한다.</w:t>
      </w:r>
    </w:p>
    <w:p>
      <w:r>
        <w:br w:type="page"/>
      </w:r>
    </w:p>
    <w:p>
      <w:pPr>
        <w:pStyle w:val="Heading1"/>
      </w:pPr>
      <w:r>
        <w:t>7 검증 설계와 해석 범위</w:t>
      </w:r>
    </w:p>
    <w:p>
      <w:pPr>
        <w:pStyle w:val="Heading2"/>
      </w:pPr>
      <w:r>
        <w:t>중복과 라벨 충돌을 통제한다</w:t>
      </w:r>
    </w:p>
    <w:p>
      <w:r>
        <w:t>인덱스를 제외한 완전 중복의 추가 행 수는 labeled CN7 594행, RG3 566행이다. 24개 공정 변수가 같은데 라벨이 다른 그룹은 각각 11개, 25개이다. 동일 조건이 학습·평가에 동시에 들어가지 않도록 제품 구분과 공정 변수로 그룹을 구성한다. 라벨 충돌은 임의로 정상이나 불량으로 덮어쓰지 않고, 충돌 포함 평가와 별도 민감도 분석을 구분한다. [2]</w:t>
      </w:r>
    </w:p>
    <w:p>
      <w:pPr>
        <w:pStyle w:val="Heading2"/>
      </w:pPr>
      <w:r>
        <w:t>표준화와 정보 누출의 한계를 명시한다</w:t>
      </w:r>
    </w:p>
    <w:p>
      <w:r>
        <w:t>네 파일은 각각 표준화되어 있으며 labeled의 Clamp_Open_Position은 상수이다. 원래의 물리 단위와 변환 계수가 없어 온도·압력 설정값을 역산할 수 없다. 파일 전체에 이미 적용된 표준화는 이후 분할로 되돌릴 수 없으므로, 원자료에서 학습 구간만으로 전처리한 평가와 동등하다고 주장하지 않는다. labeled와 unlabeled의 결합 효과는 기본 지도학습 결과를 확보한 뒤 별도로 검증한다. [1, 2]</w:t>
      </w:r>
    </w:p>
    <w:p>
      <w:pPr>
        <w:pStyle w:val="Heading2"/>
      </w:pPr>
      <w:r>
        <w:t>불량 표본 수에 맞춰 성능을 보고한다</w:t>
      </w:r>
    </w:p>
    <w:p>
      <w:r>
        <w:t>각 평가 분할의 불량 행 수와 서로 다른 불량 조건 그룹 수를 확인한다. 그룹을 유지하면서 클래스 비율을 고려하고, 불량 그룹 수가 허용하는 범위에서 반복 평가한다. 평균 성능뿐 아니라 분할 간 변동과 FN·FP 건수를 함께 제시한다. 모델 선택과 임계값 조정은 학습·검증 영역에서 수행하고 최종 평가 정답으로 조정하지 않는다.</w:t>
      </w:r>
    </w:p>
    <w:tbl>
      <w:tblPr>
        <w:tblW w:type="auto" w:w="0"/>
        <w:jc w:val="center"/>
        <w:tblLayout w:type="fixed"/>
        <w:tblLook w:firstColumn="1" w:firstRow="1" w:lastColumn="0" w:lastRow="0" w:noHBand="0" w:noVBand="1" w:val="04A0"/>
      </w:tblPr>
      <w:tblGrid>
        <w:gridCol w:w="2324"/>
        <w:gridCol w:w="7313"/>
      </w:tblGrid>
      <w:tr>
        <w:trPr>
          <w:cantSplit/>
          <w:tblHeader/>
        </w:trPr>
        <w:tc>
          <w:tcPr>
            <w:tcW w:type="dxa" w:w="2324"/>
            <w:vAlign w:val="center"/>
            <w:tcBorders>
              <w:top w:val="single" w:sz="4" w:color="D9D9D9"/>
              <w:left w:val="single" w:sz="4" w:color="D9D9D9"/>
              <w:bottom w:val="single" w:sz="4" w:color="D9D9D9"/>
              <w:right w:val="single" w:sz="4" w:color="D9D9D9"/>
            </w:tcBorders>
            <w:shd w:fill="E7EDF3"/>
            <w:tcMar>
              <w:top w:w="95" w:type="dxa"/>
              <w:left w:w="95" w:type="dxa"/>
              <w:bottom w:w="95" w:type="dxa"/>
              <w:right w:w="95" w:type="dxa"/>
            </w:tcMar>
          </w:tcPr>
          <w:p>
            <w:pPr>
              <w:spacing w:after="40" w:line="259" w:lineRule="auto"/>
              <w:jc w:val="center"/>
            </w:pPr>
            <w:r>
              <w:rPr>
                <w:b/>
                <w:sz w:val="18"/>
              </w:rPr>
              <w:t>검증 항목</w:t>
            </w:r>
          </w:p>
        </w:tc>
        <w:tc>
          <w:tcPr>
            <w:tcW w:type="dxa" w:w="7313"/>
            <w:vAlign w:val="center"/>
            <w:tcBorders>
              <w:top w:val="single" w:sz="4" w:color="D9D9D9"/>
              <w:left w:val="single" w:sz="4" w:color="D9D9D9"/>
              <w:bottom w:val="single" w:sz="4" w:color="D9D9D9"/>
              <w:right w:val="single" w:sz="4" w:color="D9D9D9"/>
            </w:tcBorders>
            <w:shd w:fill="E7EDF3"/>
            <w:tcMar>
              <w:top w:w="95" w:type="dxa"/>
              <w:left w:w="95" w:type="dxa"/>
              <w:bottom w:w="95" w:type="dxa"/>
              <w:right w:w="95" w:type="dxa"/>
            </w:tcMar>
          </w:tcPr>
          <w:p>
            <w:pPr>
              <w:spacing w:after="40" w:line="259" w:lineRule="auto"/>
              <w:jc w:val="center"/>
            </w:pPr>
            <w:r>
              <w:rPr>
                <w:b/>
                <w:sz w:val="18"/>
              </w:rPr>
              <w:t>측정 방법</w:t>
            </w:r>
          </w:p>
        </w:tc>
      </w:tr>
      <w:tr>
        <w:trPr>
          <w:cantSplit/>
        </w:trPr>
        <w:tc>
          <w:tcPr>
            <w:tcW w:type="dxa" w:w="232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분류 성능</w:t>
            </w:r>
          </w:p>
        </w:tc>
        <w:tc>
          <w:tcPr>
            <w:tcW w:type="dxa" w:w="7313"/>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불량 클래스 F1-score, 정밀도, 재현율, PR-AUC와 혼동행렬</w:t>
            </w:r>
          </w:p>
        </w:tc>
      </w:tr>
      <w:tr>
        <w:trPr>
          <w:cantSplit/>
        </w:trPr>
        <w:tc>
          <w:tcPr>
            <w:tcW w:type="dxa" w:w="232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검사 우선순위</w:t>
            </w:r>
          </w:p>
        </w:tc>
        <w:tc>
          <w:tcPr>
            <w:tcW w:type="dxa" w:w="7313"/>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상위 10%·20%·30%의 불량 포착률과 무작위 선정 대비 개선</w:t>
            </w:r>
          </w:p>
        </w:tc>
      </w:tr>
      <w:tr>
        <w:trPr>
          <w:cantSplit/>
        </w:trPr>
        <w:tc>
          <w:tcPr>
            <w:tcW w:type="dxa" w:w="232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공정조건별 오류</w:t>
            </w:r>
          </w:p>
        </w:tc>
        <w:tc>
          <w:tcPr>
            <w:tcW w:type="dxa" w:w="7313"/>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제품별 FN·FP 건수와 오류가 집중된 조건의 표본 수·오류율</w:t>
            </w:r>
          </w:p>
        </w:tc>
      </w:tr>
      <w:tr>
        <w:trPr>
          <w:cantSplit/>
        </w:trPr>
        <w:tc>
          <w:tcPr>
            <w:tcW w:type="dxa" w:w="232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경보 운영</w:t>
            </w:r>
          </w:p>
        </w:tc>
        <w:tc>
          <w:tcPr>
            <w:tcW w:type="dxa" w:w="7313"/>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검사 대상 비율에 따른 불량 누락과 과잉경보 변화</w:t>
            </w:r>
          </w:p>
        </w:tc>
      </w:tr>
    </w:tbl>
    <w:p/>
    <w:p>
      <w:r>
        <w:t>상위 k% 불량 포착률은 평가 데이터의 위험 점수 상위 k%에 포함된 불량 수를 평가 데이터 전체 불량 수로 나눈 값이다. 무작위 선정의 기대 포착률은 k%이며 반복 무작위 선정의 변동도 함께 비교한다. 비용비율이나 검사 여력 수치는 실제 실적과 구분한 시나리오로 제시한다.</w:t>
      </w:r>
    </w:p>
    <w:p>
      <w:pPr>
        <w:pStyle w:val="Heading2"/>
      </w:pPr>
      <w:r>
        <w:t>근거 자료</w:t>
      </w:r>
    </w:p>
    <w:p>
      <w:r>
        <w:rPr>
          <w:sz w:val="17"/>
        </w:rPr>
        <w:t>[1] KAMP, 「사출성형기 AI 데이터셋」 분석실습 가이드북. 현장 문제와 공정: 인쇄 10~16쪽 및 86쪽. 변수 정의: 17~21쪽. 가공 데이터 라벨과 파일별 StandardScaler 적용: 69~70쪽. 앞부분 표와 라벨 설명이 상충하므로 해당 가공 데이터 실습의 0=양품, 1=불량 기준을 적용했다.</w:t>
      </w:r>
    </w:p>
    <w:p>
      <w:r>
        <w:rPr>
          <w:sz w:val="17"/>
        </w:rPr>
        <w:t>[2] 제공 CSV 4개: moldset_labeled_cn7.csv, moldset_labeled_rg3.csv, moldset_unlabeled_cn7.csv, moldset_unlabeled_rg3.csv. 전체 행 점검 결과를 사용했다. [3] 사용자가 제공한 경진대회 문제 설명 및 서면평가 지표 이미지 2개.</w:t>
      </w:r>
    </w:p>
    <w:p>
      <w:r>
        <w:br w:type="page"/>
      </w:r>
    </w:p>
    <w:p>
      <w:pPr>
        <w:pStyle w:val="Heading1"/>
      </w:pPr>
      <w:r>
        <w:t>8 추가 준비가이드의 적용 전략</w:t>
      </w:r>
    </w:p>
    <w:p>
      <w:r>
        <w:t>추가 자료인 「KAMP 제조AI경진대회 준비가이드」의 Part 3을 반영하여 현장 문제 정의, 경량 모델, 설명가능성, 운영 시나리오와 재현성을 강화한다. 해당 문서는 준비용 지도 자료이며, 이번 과제의 구체적 요구사항과 사용자 제공 평가표를 우선한다. 역대 일정·수상 사례와 환경 권장사항은 이번 대회의 확정 규정으로 간주하지 않는다. [4]</w:t>
      </w:r>
    </w:p>
    <w:tbl>
      <w:tblPr>
        <w:tblW w:type="auto" w:w="0"/>
        <w:jc w:val="center"/>
        <w:tblLayout w:type="fixed"/>
        <w:tblLook w:firstColumn="1" w:firstRow="1" w:lastColumn="0" w:lastRow="0" w:noHBand="0" w:noVBand="1" w:val="04A0"/>
      </w:tblPr>
      <w:tblGrid>
        <w:gridCol w:w="2494"/>
        <w:gridCol w:w="7143"/>
      </w:tblGrid>
      <w:tr>
        <w:trPr>
          <w:cantSplit/>
          <w:tblHeader/>
        </w:trPr>
        <w:tc>
          <w:tcPr>
            <w:tcW w:type="dxa" w:w="2494"/>
            <w:vAlign w:val="center"/>
            <w:tcBorders>
              <w:top w:val="single" w:sz="4" w:color="D9D9D9"/>
              <w:left w:val="single" w:sz="4" w:color="D9D9D9"/>
              <w:bottom w:val="single" w:sz="4" w:color="D9D9D9"/>
              <w:right w:val="single" w:sz="4" w:color="D9D9D9"/>
            </w:tcBorders>
            <w:shd w:fill="E7EDF3"/>
            <w:tcMar>
              <w:top w:w="95" w:type="dxa"/>
              <w:left w:w="95" w:type="dxa"/>
              <w:bottom w:w="95" w:type="dxa"/>
              <w:right w:w="95" w:type="dxa"/>
            </w:tcMar>
          </w:tcPr>
          <w:p>
            <w:pPr>
              <w:spacing w:after="40" w:line="259" w:lineRule="auto"/>
              <w:jc w:val="center"/>
            </w:pPr>
            <w:r>
              <w:rPr>
                <w:b/>
                <w:sz w:val="18"/>
              </w:rPr>
              <w:t>준비가이드의 제안</w:t>
            </w:r>
          </w:p>
        </w:tc>
        <w:tc>
          <w:tcPr>
            <w:tcW w:type="dxa" w:w="7143"/>
            <w:vAlign w:val="center"/>
            <w:tcBorders>
              <w:top w:val="single" w:sz="4" w:color="D9D9D9"/>
              <w:left w:val="single" w:sz="4" w:color="D9D9D9"/>
              <w:bottom w:val="single" w:sz="4" w:color="D9D9D9"/>
              <w:right w:val="single" w:sz="4" w:color="D9D9D9"/>
            </w:tcBorders>
            <w:shd w:fill="E7EDF3"/>
            <w:tcMar>
              <w:top w:w="95" w:type="dxa"/>
              <w:left w:w="95" w:type="dxa"/>
              <w:bottom w:w="95" w:type="dxa"/>
              <w:right w:w="95" w:type="dxa"/>
            </w:tcMar>
          </w:tcPr>
          <w:p>
            <w:pPr>
              <w:spacing w:after="40" w:line="259" w:lineRule="auto"/>
              <w:jc w:val="center"/>
            </w:pPr>
            <w:r>
              <w:rPr>
                <w:b/>
                <w:sz w:val="18"/>
              </w:rPr>
              <w:t>이번 과제에 적용하는 방식</w:t>
            </w:r>
          </w:p>
        </w:tc>
      </w:tr>
      <w:tr>
        <w:trPr>
          <w:cantSplit/>
        </w:trPr>
        <w:tc>
          <w:tcPr>
            <w:tcW w:type="dxa" w:w="249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현장 문제를 먼저 정의</w:t>
            </w:r>
          </w:p>
        </w:tc>
        <w:tc>
          <w:tcPr>
            <w:tcW w:type="dxa" w:w="7143"/>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품질검사 담당자가 공정 요약값으로 고위험 대상을 먼저 확인하도록 지원한다.</w:t>
            </w:r>
          </w:p>
        </w:tc>
      </w:tr>
      <w:tr>
        <w:trPr>
          <w:cantSplit/>
        </w:trPr>
        <w:tc>
          <w:tcPr>
            <w:tcW w:type="dxa" w:w="249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시간 또는 LOT 기준 검증</w:t>
            </w:r>
          </w:p>
        </w:tc>
        <w:tc>
          <w:tcPr>
            <w:tcW w:type="dxa" w:w="7143"/>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해당 정보가 없어 동일 공정조건 그룹 분할을 사용한다. 미래 시점 일반화는 미검증으로 남긴다.</w:t>
            </w:r>
          </w:p>
        </w:tc>
      </w:tr>
      <w:tr>
        <w:trPr>
          <w:cantSplit/>
        </w:trPr>
        <w:tc>
          <w:tcPr>
            <w:tcW w:type="dxa" w:w="249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도메인 파생변수</w:t>
            </w:r>
          </w:p>
        </w:tc>
        <w:tc>
          <w:tcPr>
            <w:tcW w:type="dxa" w:w="7143"/>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원단위가 필요한 압력비·온도차·직전 사이클 변화량을 만들지 않는다. 표준화 공간의 상호작용만 제한적으로 검증한다.</w:t>
            </w:r>
          </w:p>
        </w:tc>
      </w:tr>
      <w:tr>
        <w:trPr>
          <w:cantSplit/>
        </w:trPr>
        <w:tc>
          <w:tcPr>
            <w:tcW w:type="dxa" w:w="249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가벼운 모델과 XAI</w:t>
            </w:r>
          </w:p>
        </w:tc>
        <w:tc>
          <w:tcPr>
            <w:tcW w:type="dxa" w:w="7143"/>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로지스틱 회귀와 트리 계열을 비교하고, CPU 추론시간·파일 크기와 변수 기여를 보고한다.</w:t>
            </w:r>
          </w:p>
        </w:tc>
      </w:tr>
      <w:tr>
        <w:trPr>
          <w:cantSplit/>
        </w:trPr>
        <w:tc>
          <w:tcPr>
            <w:tcW w:type="dxa" w:w="249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현장 효과와 확장</w:t>
            </w:r>
          </w:p>
        </w:tc>
        <w:tc>
          <w:tcPr>
            <w:tcW w:type="dxa" w:w="7143"/>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검사 비율별 불량 포착률을 측정한다. 다른 공정에는 데이터 계약과 평가 절차를 재사용하고 모델은 재학습한다.</w:t>
            </w:r>
          </w:p>
        </w:tc>
      </w:tr>
    </w:tbl>
    <w:p/>
    <w:p>
      <w:pPr>
        <w:pStyle w:val="Heading2"/>
      </w:pPr>
      <w:r>
        <w:t>문제 정의와 적용 가정</w:t>
      </w:r>
    </w:p>
    <w:p>
      <w:r>
        <w:t>사용자는 품질검사 담당자와 공정 관리 담당자이다. 현재 업무는 공정 종료 후 품질검사와 경험 중심의 원인 점검이며, 손실 시나리오는 고위험 대상의 발견 지연과 불필요한 정밀검사이다. AI는 검사 대기 대상의 순서와 점검 참고 정보를 바꾼다. 효과는 동일 검사 비율에서의 불량 포착률과 불량 누락 건수로 증명한다. 실제 현장 처리시간·손실비용은 별도 수집 항목으로 둔다.</w:t>
      </w:r>
    </w:p>
    <w:p>
      <w:pPr>
        <w:pStyle w:val="Heading2"/>
      </w:pPr>
      <w:r>
        <w:t>성공 여부를 판단하는 기준</w:t>
      </w:r>
    </w:p>
    <w:p>
      <w:r>
        <w:t>1차 기준은 동일한 외부 검증 분할에서 베이스라인보다 불량 F1-score가 개선되는지이다. 현장 기준은 상위 20% 검사 포착률의 개선이며 10%·30%는 민감도 분석으로 둔다. 개선이 특정 분할이나 한 제품에만 의존하면 우수성을 단정하지 않는다. 검증 성능이 비슷하면 변수 수·추론시간·설명 편의성을 고려하여 단순한 모델을 선택한다.</w:t>
      </w:r>
    </w:p>
    <w:p>
      <w:r>
        <w:t>미라벨 활용, 확률보정, 추가 파생변수는 필수 성공 조건이 아니다. 동일 검증 조건에서 기본 지도학습보다 개선이 확인되는 경우에만 최종 구성에 포함한다. 모든 성능 수치와 기대효과는 앞으로 실행할 실험으로 검증한다.</w:t>
      </w:r>
    </w:p>
    <w:p>
      <w:r>
        <w:br w:type="page"/>
      </w:r>
    </w:p>
    <w:p>
      <w:pPr>
        <w:pStyle w:val="Heading1"/>
      </w:pPr>
      <w:r>
        <w:t>9 단계별 분석과 실험 전략</w:t>
      </w:r>
    </w:p>
    <w:p>
      <w:pPr>
        <w:pStyle w:val="Heading2"/>
      </w:pPr>
      <w:r>
        <w:t>1단계 데이터 계약과 진단</w:t>
      </w:r>
    </w:p>
    <w:p>
      <w:r>
        <w:t>원본 CSV를 보존하고 파일 해시, 열 순서, 자료형, 행 수를 기록한다. 파일명에서 product를 부여하고 저장 인덱스는 추적용으로만 보관한다. 타깃은 PassOrFail의 1=불량으로 고정한다. 변수별 공정 단계·정의·단위·관측 시점·현재 값의 표준화 여부를 데이터 사전에 적는다. 결측·무한값·중복·라벨 충돌·상수열·극단값을 제품별로 확인한다.</w:t>
      </w:r>
    </w:p>
    <w:p>
      <w:r>
        <w:t>이상한 값은 불량 신호일 수 있으므로 일괄 삭제하지 않는다. 라벨 충돌과 완전 중복의 빈도를 별도 표로 만들고, 제품별 전체 행 가중 평가와 공정조건 그룹을 동일 가중한 평가를 함께 준비한다. 산출물은 데이터 사전, 진단표, 고정된 행 식별자 및 그룹 식별자이다.</w:t>
      </w:r>
    </w:p>
    <w:p>
      <w:pPr>
        <w:pStyle w:val="Heading2"/>
      </w:pPr>
      <w:r>
        <w:t>2단계 검증 구조 고정</w:t>
      </w:r>
    </w:p>
    <w:p>
      <w:r>
        <w:t>제품과 타깃을 제외한 공정 변수의 동일 패턴을 이용해 그룹을 만들고 제품 구분을 포함한다. 타깃은 그룹 생성에 사용하지 않는다. 라벨 충돌 행도 같은 그룹에 둔다. 기본 설계는 외부 3분할과 내부 3분할의 중첩 그룹 교차검증이며, 각 분할에 양품·불량 및 제품별 표본이 충분한지 먼저 확인한다. 불가능하면 분할 수를 줄이고 이유를 기록한다.</w:t>
      </w:r>
    </w:p>
    <w:p>
      <w:r>
        <w:t>외부 분할은 성능 추정에만 사용한다. 내부 분할에서 모델 설정과 분류 임계값을 선택하고 외부 검증 데이터에는 한 번 적용한다. 주 실험의 분할을 고정한 뒤 다른 시드 2개는 안정성 확인에 사용한다. 유리한 시드를 골라 대표 성능으로 제시하지 않는다. 추가 전처리와 샘플링도 내부 학습 데이터에서만 적합한다.</w:t>
      </w:r>
    </w:p>
    <w:p>
      <w:pPr>
        <w:pStyle w:val="Heading2"/>
      </w:pPr>
      <w:r>
        <w:t>3단계 경량 베이스라인과 개선 모델</w:t>
      </w:r>
    </w:p>
    <w:p>
      <w:r>
        <w:t>실험 E0은 전부 양품 분류와 무작위 검사 순위이다. E1은 클래스 가중치를 적용한 로지스틱 회귀, E2는 깊이와 말단 표본 수를 제한한 랜덤포레스트, E3은 필요할 경우 깊이를 제한한 부스팅 모델이다. E1·E2는 필수 비교로 하고 각 모델의 탐색 조합은 12개 이내로 제한한다. 초기에는 복제·합성 오버샘플링보다 클래스 가중치를 우선한다.</w:t>
      </w:r>
    </w:p>
    <w:p>
      <w:r>
        <w:t>개별 제품 모델을 기본으로 비교하고, product를 포함한 통합 모델은 별도 실험으로 둔다. 라벨 없는 71,180행은 초기 분류 학습과 성능 평가에 사용하지 않는다. 파일별 스케일 차이와 예측 분포를 조사한 뒤에도 원래의 물리 조건 정합성이 확인되지 않으면 준지도학습을 보류한다.</w:t>
      </w:r>
    </w:p>
    <w:p>
      <w:pPr>
        <w:pStyle w:val="Heading2"/>
      </w:pPr>
      <w:r>
        <w:t>4단계 파생변수와 설명 분석</w:t>
      </w:r>
    </w:p>
    <w:p>
      <w:r>
        <w:t>기본 24개 변수의 성능을 먼저 확보한다. 추가 후보는 표준화된 충전시간과 사출압력의 곱, 가소화시간과 스크류 회전수의 곱, 온도 변수의 공동 이탈 정도 등이다. 이는 물리량의 비율이나 에너지가 아닌 통계적 특징임을 명시한다. 변수군을 하나씩 추가·제거해 개선 여부를 평가한다. 중요도는 반복 분할에서의 안정성과 상관된 변수의 영향도 함께 해석한다.</w:t>
      </w:r>
    </w:p>
    <w:p>
      <w:r>
        <w:br w:type="page"/>
      </w:r>
    </w:p>
    <w:p>
      <w:pPr>
        <w:pStyle w:val="Heading1"/>
      </w:pPr>
      <w:r>
        <w:t>10 검사 정책과 오류분석 전략</w:t>
      </w:r>
    </w:p>
    <w:p>
      <w:pPr>
        <w:pStyle w:val="Heading2"/>
      </w:pPr>
      <w:r>
        <w:t>순위 평가와 경보 평가를 분리한다</w:t>
      </w:r>
    </w:p>
    <w:p>
      <w:r>
        <w:t>검사 우선순위는 위험 점수의 순서로 결정하며 확률보정을 전제로 하지 않는다. 제품별 평가 집합에서 상위 20%를 주 기준으로 두고 10%·30%도 보고한다. 경계에 동점이 있으면 정답과 무관한 고정 난수로 선택하고 동점 처리에 따른 범위를 확인한다. 서로 다른 제품 모델의 점수는 곧바로 합쳐 하나의 검사 순위로 만들지 않는다.</w:t>
      </w:r>
    </w:p>
    <w:p>
      <w:r>
        <w:t>경보 분류는 내부 검증의 F1-score 최대 임계값을 기본으로 한다. 현장 시나리오에서는 목표 재현율 80%·90%를 만족하는 후보 중 검사 부담이 가장 작은 임계값을 탐색한다. 만족하는 후보가 없으면 달성 불가로 보고한다. 두 목표 재현율은 공식 기준이 아닌 비교용 가정이다.</w:t>
      </w:r>
    </w:p>
    <w:p>
      <w:r>
        <w:t>비용 분석은 정답 라벨로 정의되는 FN·FP에 한해 상대 비용비율 5대1·10대1·20대1의 민감도를 제시한다. 금액 환산이나 실제 비용 절감으로 표현하지 않는다. 검사 포착률 개선은 불량 생산 자체의 감소와 구분한다.</w:t>
      </w:r>
    </w:p>
    <w:p>
      <w:pPr>
        <w:pStyle w:val="Heading2"/>
      </w:pPr>
      <w:r>
        <w:t>실패 사례를 현장 언어로 설명한다</w:t>
      </w:r>
    </w:p>
    <w:p>
      <w:r>
        <w:t>외부 검증 예측만으로 FN·FP 사례표를 만든다. 제품, 예측값, 실제 라벨, 주요 기여 변수, 충돌 그룹 여부를 기록한다. SHAP 또는 검증 데이터의 permutation importance로 관련 변수를 파악하고, 사출·계량·온도 등 공정 단계로 묶어 설명한다. 소수 사례의 조건별 오류율에는 분자와 분모를 함께 표시한다.</w:t>
      </w:r>
    </w:p>
    <w:p>
      <w:r>
        <w:t>표준화 수치의 설명은 같은 제품 데이터에서 상대적으로 높거나 낮은 조건이라는 수준으로 제한한다. 특정 온도나 압력을 얼마만큼 바꾸라는 처방, 불량 유형의 확정, 인과적 원인 판정은 하지 않는다. 대표 FN·FP 사례는 각각 3개 이내로 골라 점검 질문과 함께 제시한다.</w:t>
      </w:r>
    </w:p>
    <w:p>
      <w:pPr>
        <w:pStyle w:val="Heading2"/>
      </w:pPr>
      <w:r>
        <w:t>현장 적용과 경량화 검증</w:t>
      </w:r>
    </w:p>
    <w:p>
      <w:r>
        <w:t>공정값 수집 → 스키마·값 범위 검사 → 모델 추론 → 제품별 검사 대기열 정렬 → 검사자의 확인 → 실제 판정 저장의 흐름으로 설계한다. 입력 누락이나 지원하지 않는 제품은 점수를 억지로 생성하지 않고 수동 확인으로 넘긴다. 품질 판정 피드백은 별도로 축적하여 재학습 시 사용한다.</w:t>
      </w:r>
    </w:p>
    <w:p>
      <w:r>
        <w:t>초기 데모는 제공된 표준화 데이터 재생 방식으로 만든다. 원단위 센서값을 직접 받는 현장 배포에는 기존 변환 계수 또는 원자료를 활용한 재학습이 필요하다. CPU 환경에서 단건 추론의 중앙값·상위 95% 지연시간, 학습시간, 모델 크기를 측정하고 사용한 하드웨어를 명시한다. 운영 전에는 기존 검사와 병행하는 관찰 기간을 둔다.</w:t>
      </w:r>
    </w:p>
    <w:p>
      <w:pPr>
        <w:pStyle w:val="Heading2"/>
      </w:pPr>
      <w:r>
        <w:t>성능이 개선되지 않을 때의 대응</w:t>
      </w:r>
    </w:p>
    <w:p>
      <w:r>
        <w:t>그룹 분할에서 개선이 사라지면 파라미터 탐색을 무한히 늘리지 않는다. 라벨 충돌, 유효 불량 조건 수, 누락된 공정 요인의 영향을 정리한다. 정밀검사 우선순위의 효용을 입증하지 못했다는 결과를 유지하고, 시간·LOT·제품 추적 ID·금형·재료·검사 판정 근거의 추가 수집을 제안한다.</w:t>
      </w:r>
    </w:p>
    <w:p>
      <w:r>
        <w:br w:type="page"/>
      </w:r>
    </w:p>
    <w:p>
      <w:pPr>
        <w:pStyle w:val="Heading1"/>
      </w:pPr>
      <w:r>
        <w:t>11 실행 일정과 산출물</w:t>
      </w:r>
    </w:p>
    <w:p>
      <w:r>
        <w:t>아래는 착수일 기준 10작업일의 제안 일정이다. 대회의 실제 마감일을 의미하지 않는다. 문서와 실험 기록은 첫날부터 작성하고, 마지막 2일에는 새로운 모델 탐색을 중단한다. 역할은 인원수와 무관한 업무 구분이며 겸임할 수 있다.</w:t>
      </w:r>
    </w:p>
    <w:tbl>
      <w:tblPr>
        <w:tblW w:type="auto" w:w="0"/>
        <w:jc w:val="center"/>
        <w:tblLayout w:type="fixed"/>
        <w:tblLook w:firstColumn="1" w:firstRow="1" w:lastColumn="0" w:lastRow="0" w:noHBand="0" w:noVBand="1" w:val="04A0"/>
      </w:tblPr>
      <w:tblGrid>
        <w:gridCol w:w="1361"/>
        <w:gridCol w:w="2891"/>
        <w:gridCol w:w="5386"/>
      </w:tblGrid>
      <w:tr>
        <w:trPr>
          <w:cantSplit/>
          <w:tblHeader/>
        </w:trPr>
        <w:tc>
          <w:tcPr>
            <w:tcW w:type="dxa" w:w="1361"/>
            <w:vAlign w:val="center"/>
            <w:tcBorders>
              <w:top w:val="single" w:sz="4" w:color="D9D9D9"/>
              <w:left w:val="single" w:sz="4" w:color="D9D9D9"/>
              <w:bottom w:val="single" w:sz="4" w:color="D9D9D9"/>
              <w:right w:val="single" w:sz="4" w:color="D9D9D9"/>
            </w:tcBorders>
            <w:shd w:fill="E7EDF3"/>
            <w:tcMar>
              <w:top w:w="95" w:type="dxa"/>
              <w:left w:w="95" w:type="dxa"/>
              <w:bottom w:w="95" w:type="dxa"/>
              <w:right w:w="95" w:type="dxa"/>
            </w:tcMar>
          </w:tcPr>
          <w:p>
            <w:pPr>
              <w:spacing w:after="40" w:line="259" w:lineRule="auto"/>
              <w:jc w:val="center"/>
            </w:pPr>
            <w:r>
              <w:rPr>
                <w:b/>
                <w:sz w:val="18"/>
              </w:rPr>
              <w:t>일정</w:t>
            </w:r>
          </w:p>
        </w:tc>
        <w:tc>
          <w:tcPr>
            <w:tcW w:type="dxa" w:w="2891"/>
            <w:vAlign w:val="center"/>
            <w:tcBorders>
              <w:top w:val="single" w:sz="4" w:color="D9D9D9"/>
              <w:left w:val="single" w:sz="4" w:color="D9D9D9"/>
              <w:bottom w:val="single" w:sz="4" w:color="D9D9D9"/>
              <w:right w:val="single" w:sz="4" w:color="D9D9D9"/>
            </w:tcBorders>
            <w:shd w:fill="E7EDF3"/>
            <w:tcMar>
              <w:top w:w="95" w:type="dxa"/>
              <w:left w:w="95" w:type="dxa"/>
              <w:bottom w:w="95" w:type="dxa"/>
              <w:right w:w="95" w:type="dxa"/>
            </w:tcMar>
          </w:tcPr>
          <w:p>
            <w:pPr>
              <w:spacing w:after="40" w:line="259" w:lineRule="auto"/>
              <w:jc w:val="center"/>
            </w:pPr>
            <w:r>
              <w:rPr>
                <w:b/>
                <w:sz w:val="18"/>
              </w:rPr>
              <w:t>주요 작업</w:t>
            </w:r>
          </w:p>
        </w:tc>
        <w:tc>
          <w:tcPr>
            <w:tcW w:type="dxa" w:w="5386"/>
            <w:vAlign w:val="center"/>
            <w:tcBorders>
              <w:top w:val="single" w:sz="4" w:color="D9D9D9"/>
              <w:left w:val="single" w:sz="4" w:color="D9D9D9"/>
              <w:bottom w:val="single" w:sz="4" w:color="D9D9D9"/>
              <w:right w:val="single" w:sz="4" w:color="D9D9D9"/>
            </w:tcBorders>
            <w:shd w:fill="E7EDF3"/>
            <w:tcMar>
              <w:top w:w="95" w:type="dxa"/>
              <w:left w:w="95" w:type="dxa"/>
              <w:bottom w:w="95" w:type="dxa"/>
              <w:right w:w="95" w:type="dxa"/>
            </w:tcMar>
          </w:tcPr>
          <w:p>
            <w:pPr>
              <w:spacing w:after="40" w:line="259" w:lineRule="auto"/>
              <w:jc w:val="center"/>
            </w:pPr>
            <w:r>
              <w:rPr>
                <w:b/>
                <w:sz w:val="18"/>
              </w:rPr>
              <w:t>완료 기준과 산출물</w:t>
            </w:r>
          </w:p>
        </w:tc>
      </w:tr>
      <w:tr>
        <w:trPr>
          <w:cantSplit/>
        </w:trPr>
        <w:tc>
          <w:tcPr>
            <w:tcW w:type="dxa" w:w="136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1일차</w:t>
            </w:r>
          </w:p>
        </w:tc>
        <w:tc>
          <w:tcPr>
            <w:tcW w:type="dxa" w:w="289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문제 정의와 데이터 계약</w:t>
            </w:r>
          </w:p>
        </w:tc>
        <w:tc>
          <w:tcPr>
            <w:tcW w:type="dxa" w:w="538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예측 시점·타깃·분석 단위·허용 변수와 제외 범위 확정</w:t>
            </w:r>
          </w:p>
        </w:tc>
      </w:tr>
      <w:tr>
        <w:trPr>
          <w:cantSplit/>
        </w:trPr>
        <w:tc>
          <w:tcPr>
            <w:tcW w:type="dxa" w:w="136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2일차</w:t>
            </w:r>
          </w:p>
        </w:tc>
        <w:tc>
          <w:tcPr>
            <w:tcW w:type="dxa" w:w="289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데이터 진단과 그룹 구성</w:t>
            </w:r>
          </w:p>
        </w:tc>
        <w:tc>
          <w:tcPr>
            <w:tcW w:type="dxa" w:w="538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중복·충돌·상수열 보고서, 재사용 가능한 분할 파일</w:t>
            </w:r>
          </w:p>
        </w:tc>
      </w:tr>
      <w:tr>
        <w:trPr>
          <w:cantSplit/>
        </w:trPr>
        <w:tc>
          <w:tcPr>
            <w:tcW w:type="dxa" w:w="136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3일차</w:t>
            </w:r>
          </w:p>
        </w:tc>
        <w:tc>
          <w:tcPr>
            <w:tcW w:type="dxa" w:w="289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E0 및 E1 구현</w:t>
            </w:r>
          </w:p>
        </w:tc>
        <w:tc>
          <w:tcPr>
            <w:tcW w:type="dxa" w:w="538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전처리부터 외부 검증 예측 저장까지 전체 실행</w:t>
            </w:r>
          </w:p>
        </w:tc>
      </w:tr>
      <w:tr>
        <w:trPr>
          <w:cantSplit/>
        </w:trPr>
        <w:tc>
          <w:tcPr>
            <w:tcW w:type="dxa" w:w="136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4~5일차</w:t>
            </w:r>
          </w:p>
        </w:tc>
        <w:tc>
          <w:tcPr>
            <w:tcW w:type="dxa" w:w="289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E2와 제품별 비교</w:t>
            </w:r>
          </w:p>
        </w:tc>
        <w:tc>
          <w:tcPr>
            <w:tcW w:type="dxa" w:w="538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동일 분할의 모델 비교표, 분할별 성능과 실행시간</w:t>
            </w:r>
          </w:p>
        </w:tc>
      </w:tr>
      <w:tr>
        <w:trPr>
          <w:cantSplit/>
        </w:trPr>
        <w:tc>
          <w:tcPr>
            <w:tcW w:type="dxa" w:w="136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6일차</w:t>
            </w:r>
          </w:p>
        </w:tc>
        <w:tc>
          <w:tcPr>
            <w:tcW w:type="dxa" w:w="289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선택적 E3와 파생변수</w:t>
            </w:r>
          </w:p>
        </w:tc>
        <w:tc>
          <w:tcPr>
            <w:tcW w:type="dxa" w:w="538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추가 구성의 효과 비교, 최종 후보 범위 확정</w:t>
            </w:r>
          </w:p>
        </w:tc>
      </w:tr>
      <w:tr>
        <w:trPr>
          <w:cantSplit/>
        </w:trPr>
        <w:tc>
          <w:tcPr>
            <w:tcW w:type="dxa" w:w="136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7일차</w:t>
            </w:r>
          </w:p>
        </w:tc>
        <w:tc>
          <w:tcPr>
            <w:tcW w:type="dxa" w:w="289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검사 정책과 FN·FP 분석</w:t>
            </w:r>
          </w:p>
        </w:tc>
        <w:tc>
          <w:tcPr>
            <w:tcW w:type="dxa" w:w="538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검사 비율별 포착률, 임계값 표, 대표 실패 사례</w:t>
            </w:r>
          </w:p>
        </w:tc>
      </w:tr>
      <w:tr>
        <w:trPr>
          <w:cantSplit/>
        </w:trPr>
        <w:tc>
          <w:tcPr>
            <w:tcW w:type="dxa" w:w="136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8일차</w:t>
            </w:r>
          </w:p>
        </w:tc>
        <w:tc>
          <w:tcPr>
            <w:tcW w:type="dxa" w:w="289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현장 시나리오와 데모</w:t>
            </w:r>
          </w:p>
        </w:tc>
        <w:tc>
          <w:tcPr>
            <w:tcW w:type="dxa" w:w="538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데이터 재생 화면, 수동 확인 흐름, 배포 전제조건</w:t>
            </w:r>
          </w:p>
        </w:tc>
      </w:tr>
      <w:tr>
        <w:trPr>
          <w:cantSplit/>
        </w:trPr>
        <w:tc>
          <w:tcPr>
            <w:tcW w:type="dxa" w:w="136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jc w:val="center"/>
            </w:pPr>
            <w:r>
              <w:rPr>
                <w:b w:val="0"/>
                <w:sz w:val="18"/>
              </w:rPr>
              <w:t>9~10일차</w:t>
            </w:r>
          </w:p>
        </w:tc>
        <w:tc>
          <w:tcPr>
            <w:tcW w:type="dxa" w:w="2891"/>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재현성 점검과 보고서</w:t>
            </w:r>
          </w:p>
        </w:tc>
        <w:tc>
          <w:tcPr>
            <w:tcW w:type="dxa" w:w="538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line="259" w:lineRule="auto"/>
            </w:pPr>
            <w:r>
              <w:rPr>
                <w:b w:val="0"/>
                <w:sz w:val="18"/>
              </w:rPr>
              <w:t>깨끗한 실행 결과, 최종 문서, 발표와 예상 질문</w:t>
            </w:r>
          </w:p>
        </w:tc>
      </w:tr>
    </w:tbl>
    <w:p/>
    <w:p>
      <w:pPr>
        <w:pStyle w:val="Heading2"/>
      </w:pPr>
      <w:r>
        <w:t>업무 분담</w:t>
      </w:r>
    </w:p>
    <w:p>
      <w:r>
        <w:t>데이터·검증 담당은 데이터 계약, 그룹 분할과 누출 점검을 맡는다. 모델·평가 담당은 실험, 검사 정책과 계산 결과를 관리한다. 도메인·보고 담당은 변수 해석, 현장 시나리오와 발표를 정리한다. 문제 정의와 최종 모델 선정은 같은 검증 근거를 보고 공동 결정한다.</w:t>
      </w:r>
    </w:p>
    <w:p>
      <w:pPr>
        <w:pStyle w:val="Heading2"/>
      </w:pPr>
      <w:r>
        <w:t>재현 가능한 결과 구조</w:t>
      </w:r>
    </w:p>
    <w:p>
      <w:r>
        <w:t>EDA 노트북에는 문제 정의, 데이터 사전, 진단 결과와 공정 해석을 남긴다. 반복 실행 로직은 데이터 로딩, 특징 생성, 분할, 학습, 평가, 추론 모듈로 분리한다. 설정 파일에는 시드, 변수 목록, 그룹 규칙, 모델 탐색 범위와 검사 비율을 기록한다. 패키지 버전, 입력 파일 해시 및 실행 명령을 함께 보존한다.</w:t>
      </w:r>
    </w:p>
    <w:p>
      <w:r>
        <w:t>최종 산출물은 모델 비교표, 외부 검증 예측표, 검사 비율별 포착률 그래프, FN·FP 사례표, 모델·전처리 묶음, 전체 실행 노트북 및 현장 적용 설명이다. 검증 완료 후 운영용 모델을 전체 labeled로 재학습할 수 있으나, 재학습 데이터의 점수를 일반화 성능으로 제시하지 않는다.</w:t>
      </w:r>
    </w:p>
    <w:p>
      <w:pPr>
        <w:pStyle w:val="Heading2"/>
      </w:pPr>
      <w:r>
        <w:t>추가 확보할 현장 정보</w:t>
      </w:r>
    </w:p>
    <w:p>
      <w:r>
        <w:t>개별 제품·사이클 추적 ID, 시각·LOT·설비·금형·재료 정보, 원단위 측정값과 변환 계수, 검사 시각·유형·판정 근거, 정밀검사 시간과 비용을 우선 요청한다. 이 정보가 확보되면 시간·LOT 검증과 실제 대기열 운영 실험으로 확장한다.</w:t>
      </w:r>
    </w:p>
    <w:p>
      <w:r>
        <w:t>[4] 사용자 제공 「KAMP 제조AI경진대회 준비가이드」. Part 3의 문제 정의 템플릿, 제조데이터 모델링 원칙, 개발 환경 및 산출물 구성과 Part 4의 운영 계획을 참고했다. 과거 사례를 근거로 한 일반 조언은 현재 데이터와 과제에 맞게 조정했다.</w:t>
      </w:r>
    </w:p>
    <w:sectPr w:rsidR="00FC693F" w:rsidRPr="0006063C" w:rsidSect="00034616">
      <w:footerReference w:type="default" r:id="rId9"/>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algun Gothic" w:hAnsi="Malgun Gothic" w:eastAsia="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outlineLvl w:val="0"/>
    </w:pPr>
    <w:rPr>
      <w:rFonts w:asciiTheme="majorHAnsi" w:eastAsiaTheme="majorEastAsia" w:hAnsiTheme="majorHAnsi" w:cstheme="majorBidi" w:ascii="Malgun Gothic" w:hAnsi="Malgun Gothic" w:eastAsia="Malgun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Malgun Gothic" w:hAnsi="Malgun Gothic" w:eastAsia="Malgun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contextualSpacing/>
    </w:pPr>
    <w:rPr>
      <w:rFonts w:asciiTheme="majorHAnsi" w:eastAsiaTheme="majorEastAsia" w:hAnsiTheme="majorHAnsi" w:cstheme="majorBidi" w:ascii="Malgun Gothic" w:hAnsi="Malgun Gothic" w:eastAsia="Malgun Gothi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사출성형 데이터 분석 주제 선정 보고서</dc:title>
  <dc:subject>CN7 및 RG3 데이터 활용 후보 비교와 최종 주제 선정</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