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공정 데이터 기반 품질 위험 분석과 검사 지원</w:t>
      </w:r>
    </w:p>
    <w:p>
      <w:pPr>
        <w:pStyle w:val="Subtitle"/>
      </w:pPr>
      <w:r>
        <w:t>KAMP CN7 RG3 프로젝트</w:t>
        <w:br/>
        <w:t>2026년 10월 6일 목차 및 본문 개정</w:t>
      </w:r>
    </w:p>
    <w:p>
      <w:r>
        <w:rPr>
          <w:b w:val="0"/>
        </w:rPr>
        <w:t>공정 데이터로 위험 이력 패턴을 식별할 수 있는지 평가하고, 분석 결과를 검사 우선순위와 분포 변화 감시에 활용하는 방안을 정리한다. 현재 확보한 성능 결과와 데이터의 한계를 함께 설명하며, 로컬 운영 구현과 현장 효과 검증을 구분한다.</w:t>
      </w:r>
    </w:p>
    <w:p>
      <w:r>
        <w:rPr>
          <w:b w:val="0"/>
        </w:rPr>
        <w:t>핵심 결론은 데이터셋별로 활용 목적을 구분하고, 예측 성능이 부족한 경우에도 근거와 불확실성을 보존하는 검사 지원 흐름을 구성하는 것이다. RF는 제공된 표준화 값을 직접 사용하는 방식으로 수정했으며, 변경 후 전체 성능 재평가는 후속 과제로 남아 있다.</w:t>
      </w:r>
    </w:p>
    <w:p>
      <w:pPr>
        <w:pStyle w:val="Heading2"/>
      </w:pPr>
      <w:r>
        <w:t>목차</w:t>
      </w:r>
    </w:p>
    <w:p>
      <w:pPr>
        <w:spacing w:after="100"/>
      </w:pPr>
      <w:r>
        <w:rPr>
          <w:b w:val="0"/>
        </w:rPr>
        <w:t>1  문제 정의 및 프로젝트 목표</w:t>
      </w:r>
    </w:p>
    <w:p>
      <w:pPr>
        <w:spacing w:after="100"/>
      </w:pPr>
      <w:r>
        <w:rPr>
          <w:b w:val="0"/>
        </w:rPr>
        <w:t>2  데이터 구성과 분석 범위</w:t>
      </w:r>
    </w:p>
    <w:p>
      <w:pPr>
        <w:spacing w:after="100"/>
      </w:pPr>
      <w:r>
        <w:rPr>
          <w:b w:val="0"/>
        </w:rPr>
        <w:t>3  탐색적 분석과 주요 발견</w:t>
      </w:r>
    </w:p>
    <w:p>
      <w:pPr>
        <w:spacing w:after="100"/>
      </w:pPr>
      <w:r>
        <w:rPr>
          <w:b w:val="0"/>
        </w:rPr>
        <w:t>4  전처리와 검증 설계</w:t>
      </w:r>
    </w:p>
    <w:p>
      <w:pPr>
        <w:spacing w:after="100"/>
      </w:pPr>
      <w:r>
        <w:rPr>
          <w:b w:val="0"/>
        </w:rPr>
        <w:t>5  모델 구성과 실험 방법</w:t>
      </w:r>
    </w:p>
    <w:p>
      <w:pPr>
        <w:spacing w:after="100"/>
      </w:pPr>
      <w:r>
        <w:rPr>
          <w:b w:val="0"/>
        </w:rPr>
        <w:t>6  모델 성능과 성공 및 실패 분석</w:t>
      </w:r>
    </w:p>
    <w:p>
      <w:pPr>
        <w:spacing w:after="100"/>
      </w:pPr>
      <w:r>
        <w:rPr>
          <w:b w:val="0"/>
        </w:rPr>
        <w:t>7  제품별 검사 지원 방안</w:t>
      </w:r>
    </w:p>
    <w:p>
      <w:pPr>
        <w:spacing w:after="100"/>
      </w:pPr>
      <w:r>
        <w:rPr>
          <w:b w:val="0"/>
        </w:rPr>
        <w:t>8  운영 흐름과 모델 관리</w:t>
      </w:r>
    </w:p>
    <w:p>
      <w:pPr>
        <w:spacing w:after="100"/>
      </w:pPr>
      <w:r>
        <w:rPr>
          <w:b w:val="0"/>
        </w:rPr>
        <w:t>9  결론과 기대효과 및 추가 검증</w:t>
      </w:r>
    </w:p>
    <w:p>
      <w:r>
        <w:br w:type="page"/>
      </w:r>
    </w:p>
    <w:p>
      <w:pPr>
        <w:pStyle w:val="Heading1"/>
      </w:pPr>
      <w:r>
        <w:t>1 문제 정의 및 프로젝트 목표</w:t>
      </w:r>
    </w:p>
    <w:p>
      <w:pPr>
        <w:pStyle w:val="Heading2"/>
      </w:pPr>
      <w:r>
        <w:t>1.1 해결하려는 문제</w:t>
      </w:r>
    </w:p>
    <w:p>
      <w:r>
        <w:rPr>
          <w:b w:val="0"/>
        </w:rPr>
        <w:t>사출성형 공정에는 시간, 위치, 속도, 압력, 온도 등 제조 과정의 데이터가 남는다. 본 프로젝트는 이 정보를 품질 위험 판단에 활용하여 검사의 순서를 정하고, 공정 데이터의 변화에 대응하는 절차를 검토한다. 검사 전에 실제로 활용할 수 있는지는 공정값의 확보 시점과 검사 결과의 연결 방식을 확인해야 한다.</w:t>
      </w:r>
    </w:p>
    <w:p>
      <w:pPr>
        <w:pStyle w:val="Heading2"/>
      </w:pPr>
      <w:r>
        <w:t>1.2 분석 목표</w:t>
      </w:r>
    </w:p>
    <w:p>
      <w:r>
        <w:rPr>
          <w:b w:val="0"/>
        </w:rPr>
        <w:t>첫째, CN7과 RG3의 데이터 구조, 중복 입력과 라벨 충돌을 확인한다. 둘째, 공통된 데이터 분할 아래 이상 탐지와 지도학습 모델을 비교하고 미탐·오탐의 조건을 분석한다. 셋째, 모델 점수와 구간별 위험 이력을 검사 지원에 활용하고 신규 배치의 추론·분포 감지·재학습·후보 검증 절차를 구성한다.</w:t>
      </w:r>
    </w:p>
    <w:p>
      <w:pPr>
        <w:pStyle w:val="Heading2"/>
      </w:pPr>
      <w:r>
        <w:t>1.3 판단 대상과 적용 범위</w:t>
      </w:r>
    </w:p>
    <w:p>
      <w:r>
        <w:rPr>
          <w:b w:val="0"/>
        </w:rPr>
        <w:t>학습 대상은 동일한 공정 입력에서 불량이 한 번이라도 관측되었는지를 나타내는 위험 이력 패턴이다. 원본의 개별 관측치와 학습용 패턴을 구분하며, 현재 모델 출력을 개별 제품의 실제 불량 확률로 해석하지 않는다. CN7·RG3를 각각 분석하고 모델과 버전을 분리한다.</w:t>
      </w:r>
    </w:p>
    <w:tbl>
      <w:tblPr>
        <w:tblW w:type="auto" w:w="0"/>
        <w:jc w:val="center"/>
        <w:tblLayout w:type="fixed"/>
        <w:tblLook w:firstColumn="1" w:firstRow="1" w:lastColumn="0" w:lastRow="0" w:noHBand="0" w:noVBand="1" w:val="04A0"/>
      </w:tblPr>
      <w:tblGrid>
        <w:gridCol w:w="1701"/>
        <w:gridCol w:w="7710"/>
      </w:tblGrid>
      <w:tr>
        <w:trPr>
          <w:cantSplit/>
          <w:tblHeader/>
        </w:trPr>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범위</w:t>
            </w:r>
          </w:p>
        </w:tc>
        <w:tc>
          <w:tcPr>
            <w:tcW w:type="dxa" w:w="771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현재 내용</w:t>
            </w:r>
          </w:p>
        </w:tc>
      </w:tr>
      <w:tr>
        <w:trPr>
          <w:cantSplit/>
        </w:trPr>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분석과 모델링</w:t>
            </w:r>
          </w:p>
        </w:tc>
        <w:tc>
          <w:tcPr>
            <w:tcW w:type="dxa" w:w="771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제공된 자료의 패턴 학습, 개발 교차검증, 기존 Test 후속 평가</w:t>
            </w:r>
          </w:p>
        </w:tc>
      </w:tr>
      <w:tr>
        <w:trPr>
          <w:cantSplit/>
        </w:trPr>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검사 지원</w:t>
            </w:r>
          </w:p>
        </w:tc>
        <w:tc>
          <w:tcPr>
            <w:tcW w:type="dxa" w:w="771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CN7 검사 순위와 검사량, RG3 구간 이력과 정보 부족 근거</w:t>
            </w:r>
          </w:p>
        </w:tc>
      </w:tr>
      <w:tr>
        <w:trPr>
          <w:cantSplit/>
        </w:trPr>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운영 구현</w:t>
            </w:r>
          </w:p>
        </w:tc>
        <w:tc>
          <w:tcPr>
            <w:tcW w:type="dxa" w:w="771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로컬 배치 추론, 분포 감지, 조건부 재학습, 후보 평가와 명시적 교체</w:t>
            </w:r>
          </w:p>
        </w:tc>
      </w:tr>
      <w:tr>
        <w:trPr>
          <w:cantSplit/>
        </w:trPr>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추가 확인</w:t>
            </w:r>
          </w:p>
        </w:tc>
        <w:tc>
          <w:tcPr>
            <w:tcW w:type="dxa" w:w="771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현장 시간순 자료, 좌표 정합, 실제 라벨 연결과 검사 효과</w:t>
            </w:r>
          </w:p>
        </w:tc>
      </w:tr>
    </w:tbl>
    <w:p>
      <w:pPr>
        <w:spacing w:after="0"/>
      </w:pPr>
    </w:p>
    <w:p>
      <w:r>
        <w:rPr>
          <w:b w:val="0"/>
        </w:rPr>
        <w:t>기능 구현과 테스트 통과는 현장 성능이나 비용 절감의 증명이 아니다. 보고서는 확인한 결과, 활용 방안, 추가 검증을 각 장에서 구분한다. [1, 5]</w:t>
      </w:r>
    </w:p>
    <w:p>
      <w:r>
        <w:br w:type="page"/>
      </w:r>
    </w:p>
    <w:p>
      <w:pPr>
        <w:pStyle w:val="Heading1"/>
      </w:pPr>
      <w:r>
        <w:t>2 데이터 구성과 분석 범위</w:t>
      </w:r>
    </w:p>
    <w:p>
      <w:pPr>
        <w:pStyle w:val="Heading2"/>
      </w:pPr>
      <w:r>
        <w:t>2.1 자료 구성</w:t>
      </w:r>
    </w:p>
    <w:p>
      <w:r>
        <w:rPr>
          <w:b w:val="0"/>
        </w:rPr>
        <w:t>제공된 자료는 CN7과 RG3 각각의 라벨 및 비라벨 CSV로 구성된다. 라벨 자료에는 PassOrFail이 포함되며 0은 양품, 1은 불량 관측을 나타낸다. 비라벨 자료는 검사 결과가 확인되지 않은 자료로 다루고 정상으로 간주하거나 의사 라벨을 생성하지 않는다.</w:t>
      </w:r>
    </w:p>
    <w:tbl>
      <w:tblPr>
        <w:tblW w:type="auto" w:w="0"/>
        <w:jc w:val="center"/>
        <w:tblLayout w:type="fixed"/>
        <w:tblLook w:firstColumn="1" w:firstRow="1" w:lastColumn="0" w:lastRow="0" w:noHBand="0" w:noVBand="1" w:val="04A0"/>
      </w:tblPr>
      <w:tblGrid>
        <w:gridCol w:w="1134"/>
        <w:gridCol w:w="1701"/>
        <w:gridCol w:w="1701"/>
        <w:gridCol w:w="1701"/>
        <w:gridCol w:w="3175"/>
      </w:tblGrid>
      <w:tr>
        <w:trPr>
          <w:cantSplit/>
          <w:tblHeader/>
        </w:trPr>
        <w:tc>
          <w:tcPr>
            <w:tcW w:type="dxa" w:w="113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구분</w:t>
            </w:r>
          </w:p>
        </w:tc>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라벨 원본 행</w:t>
            </w:r>
          </w:p>
        </w:tc>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양품 행</w:t>
            </w:r>
          </w:p>
        </w:tc>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불량 행</w:t>
            </w:r>
          </w:p>
        </w:tc>
        <w:tc>
          <w:tcPr>
            <w:tcW w:type="dxa" w:w="3175"/>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불량 관측 비율</w:t>
            </w:r>
          </w:p>
        </w:tc>
      </w:tr>
      <w:tr>
        <w:trPr>
          <w:cantSplit/>
        </w:trPr>
        <w:tc>
          <w:tcPr>
            <w:tcW w:type="dxa" w:w="113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CN7</w:t>
            </w:r>
          </w:p>
        </w:tc>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1,211</w:t>
            </w:r>
          </w:p>
        </w:tc>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1,194</w:t>
            </w:r>
          </w:p>
        </w:tc>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17</w:t>
            </w:r>
          </w:p>
        </w:tc>
        <w:tc>
          <w:tcPr>
            <w:tcW w:type="dxa" w:w="3175"/>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1.40%</w:t>
            </w:r>
          </w:p>
        </w:tc>
      </w:tr>
      <w:tr>
        <w:trPr>
          <w:cantSplit/>
        </w:trPr>
        <w:tc>
          <w:tcPr>
            <w:tcW w:type="dxa" w:w="113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RG3</w:t>
            </w:r>
          </w:p>
        </w:tc>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1,182</w:t>
            </w:r>
          </w:p>
        </w:tc>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1,157</w:t>
            </w:r>
          </w:p>
        </w:tc>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25</w:t>
            </w:r>
          </w:p>
        </w:tc>
        <w:tc>
          <w:tcPr>
            <w:tcW w:type="dxa" w:w="3175"/>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2.12%</w:t>
            </w:r>
          </w:p>
        </w:tc>
      </w:tr>
    </w:tbl>
    <w:p>
      <w:pPr>
        <w:spacing w:after="0"/>
      </w:pPr>
    </w:p>
    <w:p>
      <w:r>
        <w:rPr>
          <w:b w:val="0"/>
        </w:rPr>
        <w:t>비라벨 원본은 CN7 35,239행, RG3 35,941행이다. 정확히 같은 입력을 통합하면 각각 28,771개와 29,707개의 패턴이 된다. 이 자료의 품질 결과와 라벨 자료 사이의 표준화 좌표 정합은 확인되지 않았다. [2]</w:t>
      </w:r>
    </w:p>
    <w:p>
      <w:pPr>
        <w:pStyle w:val="Heading2"/>
      </w:pPr>
      <w:r>
        <w:t>2.2 변수와 분석 단위</w:t>
      </w:r>
    </w:p>
    <w:p>
      <w:r>
        <w:rPr>
          <w:b w:val="0"/>
        </w:rPr>
        <w:t>입력은 24개 공정 변수다. 품질 라벨과 ID, 패턴 빈도, fold 배정은 예측 입력에서 제외한다. 제공값이 이미 표준화되어 있다는 전제를 따르되 최초 변환의 방식과 기준집단은 알 수 없으므로 물리 단위나 전체 자료 기준 z-score로 단정하지 않는다.</w:t>
      </w:r>
    </w:p>
    <w:p>
      <w:r>
        <w:rPr>
          <w:b w:val="0"/>
        </w:rPr>
        <w:t>각 원본 행은 하나의 관측치다. 생산시각, LOT, 설비, 개별 제품 추적 정보가 부족하므로 한 행을 독립된 제품 한 개 또는 생산 사이클 한 번으로 단정하지 않는다. 운영에서 요구하는 제품 ID와 실제 원천 기록을 연결하는 일은 현장 적용 전 확인 사항이다.</w:t>
      </w:r>
    </w:p>
    <w:p>
      <w:pPr>
        <w:pStyle w:val="Heading2"/>
      </w:pPr>
      <w:r>
        <w:t>2.3 해석의 제한</w:t>
      </w:r>
    </w:p>
    <w:p>
      <w:r>
        <w:rPr>
          <w:b w:val="0"/>
        </w:rPr>
        <w:t>라벨은 불량 유형이나 물리적 발생 원인을 설명하지 않는다. 공정 변수와 위험 이력의 관련성이 나타나도 원인 관계로 해석하지 않는다. 비라벨 좌표 정합을 확인하기 전에는 자동 투입을 보류하고, 확인 후에도 현 설계의 비라벨 사용 범위는 추론과 분포 감지다.</w:t>
      </w:r>
    </w:p>
    <w:p>
      <w:r>
        <w:br w:type="page"/>
      </w:r>
    </w:p>
    <w:p>
      <w:pPr>
        <w:pStyle w:val="Heading1"/>
      </w:pPr>
      <w:r>
        <w:t>3 탐색적 분석과 주요 발견</w:t>
      </w:r>
    </w:p>
    <w:p>
      <w:pPr>
        <w:pStyle w:val="Heading2"/>
      </w:pPr>
      <w:r>
        <w:t>3.1 적은 불량 표본과 클래스 불균형</w:t>
      </w:r>
    </w:p>
    <w:p>
      <w:r>
        <w:rPr>
          <w:b w:val="0"/>
        </w:rPr>
        <w:t>원본의 불량 관측은 CN7 17행, RG3 25행이다. 전체 정확도만으로 모델을 판단하면 정상만 예측하는 결과가 좋게 보일 수 있다. 위험 탐지에는 재현율·정밀도·F1과 TP·FP·FN을 함께 제시하며, 적은 위험 표본 때문에 수치가 민감하게 변할 수 있음을 설명한다.</w:t>
      </w:r>
    </w:p>
    <w:p>
      <w:pPr>
        <w:pStyle w:val="Heading2"/>
      </w:pPr>
      <w:r>
        <w:t>3.2 중복 입력과 라벨 충돌</w:t>
      </w:r>
    </w:p>
    <w:tbl>
      <w:tblPr>
        <w:tblW w:type="auto" w:w="0"/>
        <w:jc w:val="center"/>
        <w:tblLayout w:type="fixed"/>
        <w:tblLook w:firstColumn="1" w:firstRow="1" w:lastColumn="0" w:lastRow="0" w:noHBand="0" w:noVBand="1" w:val="04A0"/>
      </w:tblPr>
      <w:tblGrid>
        <w:gridCol w:w="1134"/>
        <w:gridCol w:w="1701"/>
        <w:gridCol w:w="2721"/>
        <w:gridCol w:w="1701"/>
        <w:gridCol w:w="2154"/>
      </w:tblGrid>
      <w:tr>
        <w:trPr>
          <w:cantSplit/>
          <w:tblHeader/>
        </w:trPr>
        <w:tc>
          <w:tcPr>
            <w:tcW w:type="dxa" w:w="113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구분</w:t>
            </w:r>
          </w:p>
        </w:tc>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고유 입력 패턴</w:t>
            </w:r>
          </w:p>
        </w:tc>
        <w:tc>
          <w:tcPr>
            <w:tcW w:type="dxa" w:w="272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첫 관측 제외 중복 행</w:t>
            </w:r>
          </w:p>
        </w:tc>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상충 패턴</w:t>
            </w:r>
          </w:p>
        </w:tc>
        <w:tc>
          <w:tcPr>
            <w:tcW w:type="dxa" w:w="215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위험 패턴</w:t>
            </w:r>
          </w:p>
        </w:tc>
      </w:tr>
      <w:tr>
        <w:trPr>
          <w:cantSplit/>
        </w:trPr>
        <w:tc>
          <w:tcPr>
            <w:tcW w:type="dxa" w:w="113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CN7</w:t>
            </w:r>
          </w:p>
        </w:tc>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606</w:t>
            </w:r>
          </w:p>
        </w:tc>
        <w:tc>
          <w:tcPr>
            <w:tcW w:type="dxa" w:w="272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605</w:t>
            </w:r>
          </w:p>
        </w:tc>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11</w:t>
            </w:r>
          </w:p>
        </w:tc>
        <w:tc>
          <w:tcPr>
            <w:tcW w:type="dxa" w:w="215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14</w:t>
            </w:r>
          </w:p>
        </w:tc>
      </w:tr>
      <w:tr>
        <w:trPr>
          <w:cantSplit/>
        </w:trPr>
        <w:tc>
          <w:tcPr>
            <w:tcW w:type="dxa" w:w="113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RG3</w:t>
            </w:r>
          </w:p>
        </w:tc>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591</w:t>
            </w:r>
          </w:p>
        </w:tc>
        <w:tc>
          <w:tcPr>
            <w:tcW w:type="dxa" w:w="272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591</w:t>
            </w:r>
          </w:p>
        </w:tc>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25</w:t>
            </w:r>
          </w:p>
        </w:tc>
        <w:tc>
          <w:tcPr>
            <w:tcW w:type="dxa" w:w="215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25</w:t>
            </w:r>
          </w:p>
        </w:tc>
      </w:tr>
    </w:tbl>
    <w:p>
      <w:pPr>
        <w:spacing w:after="0"/>
      </w:pPr>
    </w:p>
    <w:p>
      <w:r>
        <w:rPr>
          <w:b w:val="0"/>
        </w:rPr>
        <w:t>중복 행은 원본 행 수에서 고유 패턴 수를 뺀 값이다. 상충 패턴은 같은 24개 입력에서 정상과 불량이 함께 관측된 경우다. CN7과 RG3 모두 상충 사례가 있으며 RG3 위험 패턴 25개는 전부 상충 패턴이다. [2]</w:t>
      </w:r>
    </w:p>
    <w:p>
      <w:r>
        <w:rPr>
          <w:b w:val="0"/>
        </w:rPr>
        <w:t>동일한 입력은 모델에 같은 정보로 들어가므로 개별 라벨의 차이를 완벽히 구별할 수 없다. 이 한계는 단순히 모델 설정을 늘리는 것만으로 해결되지 않는다. 추가적인 시간·설비·원자재·검사 정보의 필요성을 검토하는 근거가 된다.</w:t>
      </w:r>
    </w:p>
    <w:p>
      <w:pPr>
        <w:pStyle w:val="Heading2"/>
      </w:pPr>
      <w:r>
        <w:t>3.3 제품별 분포와 입력 정보</w:t>
      </w:r>
    </w:p>
    <w:p>
      <w:r>
        <w:rPr>
          <w:b w:val="0"/>
        </w:rPr>
        <w:t>변수의 분포, 반복되는 값과 상수 열, 정상·위험 패턴의 구간별 관측을 CN7·RG3별로 비교한다. 현재 구현은 두 데이터셋을 분리하여 학습한다. 통합 모델은 제품별 분포와 좌표의 비교 가능성을 확인한 뒤 다룰 후속 과제다.</w:t>
      </w:r>
    </w:p>
    <w:p>
      <w:r>
        <w:rPr>
          <w:b w:val="0"/>
        </w:rPr>
        <w:t>EDA에서는 관측 수와 패턴 수를 함께 제시한다. 특정 구간에 위험 이력이 집중되더라도 해당 구간을 불량 확정 조건이나 안전 보증 구간으로 표현하지 않는다. 생산 시간순 정보가 확인되지 않아 원본 행 순서를 시간으로 가정한 변화 분석도 확정 근거로 쓰지 않는다.</w:t>
      </w:r>
    </w:p>
    <w:p>
      <w:r>
        <w:br w:type="page"/>
      </w:r>
    </w:p>
    <w:p>
      <w:pPr>
        <w:pStyle w:val="Heading1"/>
      </w:pPr>
      <w:r>
        <w:t>4 전처리와 검증 설계</w:t>
      </w:r>
    </w:p>
    <w:p>
      <w:pPr>
        <w:pStyle w:val="Heading2"/>
      </w:pPr>
      <w:r>
        <w:t>4.1 원본 기록과 학습용 패턴의 분리</w:t>
      </w:r>
    </w:p>
    <w:p>
      <w:r>
        <w:rPr>
          <w:b w:val="0"/>
        </w:rPr>
        <w:t>같은 24개 입력을 하나의 고유 패턴으로 통합하고 대표 라벨을 max(label)로 정한다. 불량이 한 번이라도 관측된 패턴은 위험 이력 1이다. 원본의 ID, 정상·불량 관측 횟수, 전체 빈도와 패턴 연결을 보존하여 추론 결과를 원본 기록으로 복원한다.</w:t>
      </w:r>
    </w:p>
    <w:p>
      <w:r>
        <w:rPr>
          <w:b w:val="0"/>
        </w:rPr>
        <w:t>CN7은 정상 592개와 위험 14개, RG3는 정상 566개와 위험 25개의 학습용 패턴으로 구성된다. 원본 불량 행 수와 위험 패턴 수는 단위가 다르며 성능표에서도 혼용하지 않는다. 제품 빈도는 운영 분포와 검사량에 반영하고, 패턴 학습의 동일 가중치와 구분한다. [2]</w:t>
      </w:r>
    </w:p>
    <w:p>
      <w:pPr>
        <w:pStyle w:val="Heading2"/>
      </w:pPr>
      <w:r>
        <w:t>4.2 고정 분할과 학습 범위</w:t>
      </w:r>
    </w:p>
    <w:tbl>
      <w:tblPr>
        <w:tblW w:type="auto" w:w="0"/>
        <w:jc w:val="center"/>
        <w:tblLayout w:type="fixed"/>
        <w:tblLook w:firstColumn="1" w:firstRow="1" w:lastColumn="0" w:lastRow="0" w:noHBand="0" w:noVBand="1" w:val="04A0"/>
      </w:tblPr>
      <w:tblGrid>
        <w:gridCol w:w="1701"/>
        <w:gridCol w:w="3855"/>
        <w:gridCol w:w="3855"/>
      </w:tblGrid>
      <w:tr>
        <w:trPr>
          <w:cantSplit/>
          <w:tblHeader/>
        </w:trPr>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구분</w:t>
            </w:r>
          </w:p>
        </w:tc>
        <w:tc>
          <w:tcPr>
            <w:tcW w:type="dxa" w:w="3855"/>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개발 정상 / 위험</w:t>
            </w:r>
          </w:p>
        </w:tc>
        <w:tc>
          <w:tcPr>
            <w:tcW w:type="dxa" w:w="3855"/>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Test 정상 / 위험</w:t>
            </w:r>
          </w:p>
        </w:tc>
      </w:tr>
      <w:tr>
        <w:trPr>
          <w:cantSplit/>
        </w:trPr>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CN7</w:t>
            </w:r>
          </w:p>
        </w:tc>
        <w:tc>
          <w:tcPr>
            <w:tcW w:type="dxa" w:w="3855"/>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473 / 11</w:t>
            </w:r>
          </w:p>
        </w:tc>
        <w:tc>
          <w:tcPr>
            <w:tcW w:type="dxa" w:w="3855"/>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119 / 3</w:t>
            </w:r>
          </w:p>
        </w:tc>
      </w:tr>
      <w:tr>
        <w:trPr>
          <w:cantSplit/>
        </w:trPr>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RG3</w:t>
            </w:r>
          </w:p>
        </w:tc>
        <w:tc>
          <w:tcPr>
            <w:tcW w:type="dxa" w:w="3855"/>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452 / 20</w:t>
            </w:r>
          </w:p>
        </w:tc>
        <w:tc>
          <w:tcPr>
            <w:tcW w:type="dxa" w:w="3855"/>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114 / 5</w:t>
            </w:r>
          </w:p>
        </w:tc>
      </w:tr>
    </w:tbl>
    <w:p>
      <w:pPr>
        <w:spacing w:after="0"/>
      </w:pPr>
    </w:p>
    <w:p>
      <w:r>
        <w:rPr>
          <w:b w:val="0"/>
        </w:rPr>
        <w:t>고유 패턴 기준으로 Test 약 20%를 고정하고 개발 자료 내부의 4-fold에서 후보와 임계값을 선택한다. 같은 패턴이 학습·검증·Test에 겹치지 않도록 점검한다. PCA 등 적합이 필요한 변환은 fold의 학습 범위에서만 적합하고 검증에는 저장된 변환을 적용한다.</w:t>
      </w:r>
    </w:p>
    <w:p>
      <w:pPr>
        <w:pStyle w:val="Heading2"/>
      </w:pPr>
      <w:r>
        <w:t>4.3 RF의 추가 표준화 제거</w:t>
      </w:r>
    </w:p>
    <w:p>
      <w:r>
        <w:rPr>
          <w:b w:val="0"/>
        </w:rPr>
        <w:t>RF의 새 학습은 제공된 표준화 값만 사용한다. 정상 자료로 다시 적합하던 StandardScaler를 제거했으며 도메인 파생변수의 차이·평균·센서 간 산포(ddof=0)를 제공값에서 계산한다. PCA도 정상 학습 자료의 제공값에 적합한다. 평균 중심화는 유지하지만 센서별 정상 표준편차로 다시 나누지 않는다.</w:t>
      </w:r>
    </w:p>
    <w:p>
      <w:r>
        <w:rPr>
          <w:b w:val="0"/>
        </w:rPr>
        <w:t>기존 정상 비상수 센서 선택과 전체 학습 기준 최종 상수 제거는 유지했다. 기존 모델에는 학습 당시 변환을 적용한다. 새 통합 노트북 결과는 manual_seven_scenarios_provided_scale_v2에 저장하여 v1 캐시와 성능을 재사용하지 않는다. [3]</w:t>
      </w:r>
    </w:p>
    <w:p>
      <w:r>
        <w:br w:type="page"/>
      </w:r>
    </w:p>
    <w:p>
      <w:pPr>
        <w:pStyle w:val="Heading1"/>
      </w:pPr>
      <w:r>
        <w:t>5 모델 구성과 실험 방법</w:t>
      </w:r>
    </w:p>
    <w:p>
      <w:pPr>
        <w:pStyle w:val="Heading2"/>
      </w:pPr>
      <w:r>
        <w:t>5.1 모델별 역할</w:t>
      </w:r>
    </w:p>
    <w:tbl>
      <w:tblPr>
        <w:tblW w:type="auto" w:w="0"/>
        <w:jc w:val="center"/>
        <w:tblLayout w:type="fixed"/>
        <w:tblLook w:firstColumn="1" w:firstRow="1" w:lastColumn="0" w:lastRow="0" w:noHBand="0" w:noVBand="1" w:val="04A0"/>
      </w:tblPr>
      <w:tblGrid>
        <w:gridCol w:w="1928"/>
        <w:gridCol w:w="4082"/>
        <w:gridCol w:w="3402"/>
      </w:tblGrid>
      <w:tr>
        <w:trPr>
          <w:cantSplit/>
          <w:tblHeader/>
        </w:trPr>
        <w:tc>
          <w:tcPr>
            <w:tcW w:type="dxa" w:w="1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모델</w:t>
            </w:r>
          </w:p>
        </w:tc>
        <w:tc>
          <w:tcPr>
            <w:tcW w:type="dxa" w:w="408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학습 자료와 목적</w:t>
            </w:r>
          </w:p>
        </w:tc>
        <w:tc>
          <w:tcPr>
            <w:tcW w:type="dxa" w:w="340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해석상 주의</w:t>
            </w:r>
          </w:p>
        </w:tc>
      </w:tr>
      <w:tr>
        <w:trPr>
          <w:cantSplit/>
        </w:trPr>
        <w:tc>
          <w:tcPr>
            <w:tcW w:type="dxa" w:w="1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Isolation Forest</w:t>
            </w:r>
          </w:p>
        </w:tc>
        <w:tc>
          <w:tcPr>
            <w:tcW w:type="dxa" w:w="408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정상 패턴을 학습하여 이상 점수와 검사 순위 제공</w:t>
            </w:r>
          </w:p>
        </w:tc>
        <w:tc>
          <w:tcPr>
            <w:tcW w:type="dxa" w:w="340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점수는 불량 확률이 아님</w:t>
            </w:r>
          </w:p>
        </w:tc>
      </w:tr>
      <w:tr>
        <w:trPr>
          <w:cantSplit/>
        </w:trPr>
        <w:tc>
          <w:tcPr>
            <w:tcW w:type="dxa" w:w="1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One Class SVM</w:t>
            </w:r>
          </w:p>
        </w:tc>
        <w:tc>
          <w:tcPr>
            <w:tcW w:type="dxa" w:w="408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정상 패턴의 경계를 학습하여 벗어난 입력 탐지</w:t>
            </w:r>
          </w:p>
        </w:tc>
        <w:tc>
          <w:tcPr>
            <w:tcW w:type="dxa" w:w="340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정상 경계 이탈과 실제 불량은 다름</w:t>
            </w:r>
          </w:p>
        </w:tc>
      </w:tr>
      <w:tr>
        <w:trPr>
          <w:cantSplit/>
        </w:trPr>
        <w:tc>
          <w:tcPr>
            <w:tcW w:type="dxa" w:w="1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Logistic Regression</w:t>
            </w:r>
          </w:p>
        </w:tc>
        <w:tc>
          <w:tcPr>
            <w:tcW w:type="dxa" w:w="408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정상·위험 패턴의 분류와 계수 해석</w:t>
            </w:r>
          </w:p>
        </w:tc>
        <w:tc>
          <w:tcPr>
            <w:tcW w:type="dxa" w:w="340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계수는 원인 효과를 뜻하지 않음</w:t>
            </w:r>
          </w:p>
        </w:tc>
      </w:tr>
      <w:tr>
        <w:trPr>
          <w:cantSplit/>
        </w:trPr>
        <w:tc>
          <w:tcPr>
            <w:tcW w:type="dxa" w:w="192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Random Forest</w:t>
            </w:r>
          </w:p>
        </w:tc>
        <w:tc>
          <w:tcPr>
            <w:tcW w:type="dxa" w:w="408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정상·위험 패턴의 비선형 분류와 입력 구성 비교</w:t>
            </w:r>
          </w:p>
        </w:tc>
        <w:tc>
          <w:tcPr>
            <w:tcW w:type="dxa" w:w="340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점수와 중요도는 실제 불량 확률·원인 증명이 아님</w:t>
            </w:r>
          </w:p>
        </w:tc>
      </w:tr>
    </w:tbl>
    <w:p>
      <w:pPr>
        <w:spacing w:after="0"/>
      </w:pPr>
    </w:p>
    <w:p>
      <w:pPr>
        <w:pStyle w:val="Heading2"/>
      </w:pPr>
      <w:r>
        <w:t>5.2 RF 입력 구성과 탐색</w:t>
      </w:r>
    </w:p>
    <w:p>
      <w:r>
        <w:rPr>
          <w:b w:val="0"/>
        </w:rPr>
        <w:t>RF는 원변수, 형체·주기 제외, 압력, 가소화, 열 상태, 도메인 전체, 공정군 PCA의 7개 입력 구성을 비교한다. 도메인 구성은 원변수와 직접 파생변수를 결합하고 PCA 구성은 별도로 PC와 필요한 재구성 RMSE를 사용한다. 모든 RF가 파생변수 생성 뒤 PCA를 거치는 구조는 아니다.</w:t>
      </w:r>
    </w:p>
    <w:p>
      <w:r>
        <w:rPr>
          <w:b w:val="0"/>
        </w:rPr>
        <w:t>기존 탐색은 구성별 모델 설정 108개, 설정별 임계값 1,001개를 사용했다. 트리 300개와 seed 42를 고정하고 개발 4-fold의 합산 OOF F1으로 후보와 임계값을 선택한다. 판정 규칙은 점수 &gt; 임계값이며, 점수가 같은 경계의 처리도 검증한다. [3, 4]</w:t>
      </w:r>
    </w:p>
    <w:p>
      <w:pPr>
        <w:pStyle w:val="Heading2"/>
      </w:pPr>
      <w:r>
        <w:t>5.3 비교의 공통 조건과 차이</w:t>
      </w:r>
    </w:p>
    <w:p>
      <w:r>
        <w:rPr>
          <w:b w:val="0"/>
        </w:rPr>
        <w:t>모델 비교에서는 고정 분할, 입력 좌표, 특징 변환, 라벨 정의와 평가 단위를 명시한다. IF·OCSVM의 정상 기반 학습과 LR·RF의 정상·위험 학습은 목적이 다르다. 서로 다른 입력 표현을 사용하면 모델 구조만의 차이로 해석하지 않고 전체 절차의 비교로 보고한다.</w:t>
      </w:r>
    </w:p>
    <w:p>
      <w:r>
        <w:rPr>
          <w:b w:val="0"/>
        </w:rPr>
        <w:t>검사 순위가 목적이면 같은 검사 예산에서 위험 이력 패턴을 얼마나 포함하는지 비교한다. 분류 판정이 목적이면 동일 자료에서 F1·Recall·정밀도·오탐률을 비교한다. 현재 RF 수정 후에는 변환과 소규모 학습 경로를 검증했으며, 7개 구성 전체 탐색과 최종 성능 재평가는 아직 수행하지 않았다.</w:t>
      </w:r>
    </w:p>
    <w:p>
      <w:r>
        <w:br w:type="page"/>
      </w:r>
    </w:p>
    <w:p>
      <w:pPr>
        <w:pStyle w:val="Heading1"/>
      </w:pPr>
      <w:r>
        <w:t>6 모델 성능과 성공 및 실패 분석</w:t>
      </w:r>
    </w:p>
    <w:p>
      <w:pPr>
        <w:pStyle w:val="Heading2"/>
      </w:pPr>
      <w:r>
        <w:t>6.1 현재 확인한 저장 실행 결과</w:t>
      </w:r>
    </w:p>
    <w:tbl>
      <w:tblPr>
        <w:tblW w:type="auto" w:w="0"/>
        <w:jc w:val="center"/>
        <w:tblLayout w:type="fixed"/>
        <w:tblLook w:firstColumn="1" w:firstRow="1" w:lastColumn="0" w:lastRow="0" w:noHBand="0" w:noVBand="1" w:val="04A0"/>
      </w:tblPr>
      <w:tblGrid>
        <w:gridCol w:w="1134"/>
        <w:gridCol w:w="1474"/>
        <w:gridCol w:w="2041"/>
        <w:gridCol w:w="1701"/>
        <w:gridCol w:w="3061"/>
      </w:tblGrid>
      <w:tr>
        <w:trPr>
          <w:cantSplit/>
          <w:tblHeader/>
        </w:trPr>
        <w:tc>
          <w:tcPr>
            <w:tcW w:type="dxa" w:w="113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자료</w:t>
            </w:r>
          </w:p>
        </w:tc>
        <w:tc>
          <w:tcPr>
            <w:tcW w:type="dxa" w:w="147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모델</w:t>
            </w:r>
          </w:p>
        </w:tc>
        <w:tc>
          <w:tcPr>
            <w:tcW w:type="dxa" w:w="204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개발 OOF F1</w:t>
            </w:r>
          </w:p>
        </w:tc>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Test F1</w:t>
            </w:r>
          </w:p>
        </w:tc>
        <w:tc>
          <w:tcPr>
            <w:tcW w:type="dxa" w:w="306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Test TP / FP / FN</w:t>
            </w:r>
          </w:p>
        </w:tc>
      </w:tr>
      <w:tr>
        <w:trPr>
          <w:cantSplit/>
        </w:trPr>
        <w:tc>
          <w:tcPr>
            <w:tcW w:type="dxa" w:w="113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CN7</w:t>
            </w:r>
          </w:p>
        </w:tc>
        <w:tc>
          <w:tcPr>
            <w:tcW w:type="dxa" w:w="147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LR</w:t>
            </w:r>
          </w:p>
        </w:tc>
        <w:tc>
          <w:tcPr>
            <w:tcW w:type="dxa" w:w="204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0.6250</w:t>
            </w:r>
          </w:p>
        </w:tc>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0.0000</w:t>
            </w:r>
          </w:p>
        </w:tc>
        <w:tc>
          <w:tcPr>
            <w:tcW w:type="dxa" w:w="306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0 / 0 / 3</w:t>
            </w:r>
          </w:p>
        </w:tc>
      </w:tr>
      <w:tr>
        <w:trPr>
          <w:cantSplit/>
        </w:trPr>
        <w:tc>
          <w:tcPr>
            <w:tcW w:type="dxa" w:w="113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RG3</w:t>
            </w:r>
          </w:p>
        </w:tc>
        <w:tc>
          <w:tcPr>
            <w:tcW w:type="dxa" w:w="147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LR</w:t>
            </w:r>
          </w:p>
        </w:tc>
        <w:tc>
          <w:tcPr>
            <w:tcW w:type="dxa" w:w="204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0.0893</w:t>
            </w:r>
          </w:p>
        </w:tc>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0.0833</w:t>
            </w:r>
          </w:p>
        </w:tc>
        <w:tc>
          <w:tcPr>
            <w:tcW w:type="dxa" w:w="306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5 / 110 / 0</w:t>
            </w:r>
          </w:p>
        </w:tc>
      </w:tr>
      <w:tr>
        <w:trPr>
          <w:cantSplit/>
        </w:trPr>
        <w:tc>
          <w:tcPr>
            <w:tcW w:type="dxa" w:w="113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CN7</w:t>
            </w:r>
          </w:p>
        </w:tc>
        <w:tc>
          <w:tcPr>
            <w:tcW w:type="dxa" w:w="147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RF 기존</w:t>
            </w:r>
          </w:p>
        </w:tc>
        <w:tc>
          <w:tcPr>
            <w:tcW w:type="dxa" w:w="204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0.5333</w:t>
            </w:r>
          </w:p>
        </w:tc>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0.0000</w:t>
            </w:r>
          </w:p>
        </w:tc>
        <w:tc>
          <w:tcPr>
            <w:tcW w:type="dxa" w:w="306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0 / 0 / 3</w:t>
            </w:r>
          </w:p>
        </w:tc>
      </w:tr>
      <w:tr>
        <w:trPr>
          <w:cantSplit/>
        </w:trPr>
        <w:tc>
          <w:tcPr>
            <w:tcW w:type="dxa" w:w="113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RG3</w:t>
            </w:r>
          </w:p>
        </w:tc>
        <w:tc>
          <w:tcPr>
            <w:tcW w:type="dxa" w:w="1474"/>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RF 기존</w:t>
            </w:r>
          </w:p>
        </w:tc>
        <w:tc>
          <w:tcPr>
            <w:tcW w:type="dxa" w:w="204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0.1875</w:t>
            </w:r>
          </w:p>
        </w:tc>
        <w:tc>
          <w:tcPr>
            <w:tcW w:type="dxa" w:w="170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0.0000</w:t>
            </w:r>
          </w:p>
        </w:tc>
        <w:tc>
          <w:tcPr>
            <w:tcW w:type="dxa" w:w="306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0 / 3 / 5</w:t>
            </w:r>
          </w:p>
        </w:tc>
      </w:tr>
    </w:tbl>
    <w:p>
      <w:pPr>
        <w:spacing w:after="0"/>
      </w:pPr>
    </w:p>
    <w:p>
      <w:r>
        <w:rPr>
          <w:b w:val="0"/>
        </w:rPr>
        <w:t>표는 확인한 LR·RF 저장 실행의 결과다. IF·OCSVM은 같은 검사 예산 또는 분류 목적의 지표로 정리하여 추가 비교해야 한다. RF 수치는 추가 표준화를 사용하던 v1 모델의 결과이며, 수정된 RF의 성과가 아니다. [4, 6]</w:t>
      </w:r>
    </w:p>
    <w:p>
      <w:pPr>
        <w:pStyle w:val="Heading2"/>
      </w:pPr>
      <w:r>
        <w:t>6.2 미탐과 오탐이 나타내는 의미</w:t>
      </w:r>
    </w:p>
    <w:p>
      <w:r>
        <w:rPr>
          <w:b w:val="0"/>
        </w:rPr>
        <w:t>CN7의 기존 LR와 선택된 RF는 Test 위험 패턴 3개를 모두 놓쳤다. RG3 LR는 위험 패턴 5개를 탐지했지만 정상 패턴 110개를 위험으로 분류했다. 기존 RG3 RF는 위험 패턴 5개를 놓치고 정상 3개에 오경보를 냈다. 높은 재현율만으로 검사 효율이 좋다고 결론 내릴 수 없다.</w:t>
      </w:r>
    </w:p>
    <w:p>
      <w:r>
        <w:rPr>
          <w:b w:val="0"/>
        </w:rPr>
        <w:t>기존 CN7 RF의 Test ROC-AUC 0.9020과 F1=0은 서로 다른 평가를 반영한다. AUC는 점수 순위, F1은 고정 임계값의 판정을 평가한다. 점수 순위가 비교적 유용해도 선택한 임계값에서 위험을 놓칠 수 있다. 위험 표본이 3개·5개로 적어 결과의 일반화에는 추가 평가가 필요하다.</w:t>
      </w:r>
    </w:p>
    <w:p>
      <w:pPr>
        <w:pStyle w:val="Heading2"/>
      </w:pPr>
      <w:r>
        <w:t>6.3 성공과 실패 조건의 분석</w:t>
      </w:r>
    </w:p>
    <w:p>
      <w:r>
        <w:rPr>
          <w:b w:val="0"/>
        </w:rPr>
        <w:t>기존 RF 개발 OOF에서 CN7은 불량만 관측된 패턴 3개를 모두 찾았지만 상충 패턴 8개 중 7개를 놓쳤다. RG3는 상충 위험 패턴 20개 중 17개를 놓쳤다. 이는 저장된 개발 결과의 관측이며, 상충 자체가 모든 실패의 확정 원인이라는 뜻은 아니다. [4]</w:t>
      </w:r>
    </w:p>
    <w:p>
      <w:r>
        <w:rPr>
          <w:b w:val="0"/>
        </w:rPr>
        <w:t>입력 구간, 공정군 순열 민감도와 오탐·미탐 사례를 함께 확인한다. 변수 중요도는 모델 판단의 민감도이며 물리적 불량 원인을 증명하지 않는다. OOF는 선택에 사용한 튜닝 성적이고 기존 Test는 이미 관찰한 후속 평가 자료다.</w:t>
      </w:r>
    </w:p>
    <w:p>
      <w:r>
        <w:br w:type="page"/>
      </w:r>
    </w:p>
    <w:p>
      <w:pPr>
        <w:pStyle w:val="Heading1"/>
      </w:pPr>
      <w:r>
        <w:t>7 제품별 검사 지원 방안</w:t>
      </w:r>
    </w:p>
    <w:p>
      <w:pPr>
        <w:pStyle w:val="Heading2"/>
      </w:pPr>
      <w:r>
        <w:t>7.1 CN7의 검사 우선순위</w:t>
      </w:r>
    </w:p>
    <w:p>
      <w:r>
        <w:rPr>
          <w:b w:val="0"/>
        </w:rPr>
        <w:t>CN7은 점수에 따라 검사 순서를 정하는 활용 방안을 검토한다. 먼저 검사 가능한 제품 수나 비율을 고정하고, 그 예산에서 위험 이력 패턴을 얼마나 포함하는지 평가한다. 제품 검사량과 고유 위험 패턴 발견 수는 별도 단위로 기록한다.</w:t>
      </w:r>
    </w:p>
    <w:p>
      <w:r>
        <w:rPr>
          <w:b w:val="0"/>
        </w:rPr>
        <w:t>현재 공통 운영의 고정 초기 RF 기준과 별도 7구성 탐색으로 선택한 RF는 서로 다른 모델이다. 검사 예산 기준으로 좋은 후보와 F1 기준으로 좋은 후보도 다를 수 있으므로 모델 버전, 선정 목적과 평가 자료를 함께 표시한다. 최종 모델 선정과 운영 교체에는 동일한 별도 평가 자료와 사전 기준이 필요하다. [5]</w:t>
      </w:r>
    </w:p>
    <w:p>
      <w:pPr>
        <w:pStyle w:val="Heading2"/>
      </w:pPr>
      <w:r>
        <w:t>7.2 RG3의 구간 이력과 불확실성 안내</w:t>
      </w:r>
    </w:p>
    <w:p>
      <w:r>
        <w:rPr>
          <w:b w:val="0"/>
        </w:rPr>
        <w:t>RG3는 구간별 위험 이력, 관측 수, Wilson 구간과 표본 부족, 학습 범위 밖 입력 및 분포 변화를 검사 판단의 근거로 제공한다. 구간 관측 비율을 개별 제품의 불량 확률로 표현하지 않고, 현재 입력만으로 품질을 확정하기 어려운 상태를 함께 설명한다.</w:t>
      </w:r>
    </w:p>
    <w:tbl>
      <w:tblPr>
        <w:tblW w:type="auto" w:w="0"/>
        <w:jc w:val="center"/>
        <w:tblLayout w:type="fixed"/>
        <w:tblLook w:firstColumn="1" w:firstRow="1" w:lastColumn="0" w:lastRow="0" w:noHBand="0" w:noVBand="1" w:val="04A0"/>
      </w:tblPr>
      <w:tblGrid>
        <w:gridCol w:w="2098"/>
        <w:gridCol w:w="3912"/>
        <w:gridCol w:w="3402"/>
      </w:tblGrid>
      <w:tr>
        <w:trPr>
          <w:cantSplit/>
          <w:tblHeader/>
        </w:trPr>
        <w:tc>
          <w:tcPr>
            <w:tcW w:type="dxa" w:w="209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상황</w:t>
            </w:r>
          </w:p>
        </w:tc>
        <w:tc>
          <w:tcPr>
            <w:tcW w:type="dxa" w:w="391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검사 지원 출력</w:t>
            </w:r>
          </w:p>
        </w:tc>
        <w:tc>
          <w:tcPr>
            <w:tcW w:type="dxa" w:w="340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추가 확인</w:t>
            </w:r>
          </w:p>
        </w:tc>
      </w:tr>
      <w:tr>
        <w:trPr>
          <w:cantSplit/>
        </w:trPr>
        <w:tc>
          <w:tcPr>
            <w:tcW w:type="dxa" w:w="209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CN7 점수 순위</w:t>
            </w:r>
          </w:p>
        </w:tc>
        <w:tc>
          <w:tcPr>
            <w:tcW w:type="dxa" w:w="391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고정 검사 예산에 따른 검사 대상과 근거</w:t>
            </w:r>
          </w:p>
        </w:tc>
        <w:tc>
          <w:tcPr>
            <w:tcW w:type="dxa" w:w="340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제품별 정답, 검사 비용과 위험 발견 성능</w:t>
            </w:r>
          </w:p>
        </w:tc>
      </w:tr>
      <w:tr>
        <w:trPr>
          <w:cantSplit/>
        </w:trPr>
        <w:tc>
          <w:tcPr>
            <w:tcW w:type="dxa" w:w="209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RG3 위험 이력 구간</w:t>
            </w:r>
          </w:p>
        </w:tc>
        <w:tc>
          <w:tcPr>
            <w:tcW w:type="dxa" w:w="391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구간의 관측 수와 과거 위험 이력 표시</w:t>
            </w:r>
          </w:p>
        </w:tc>
        <w:tc>
          <w:tcPr>
            <w:tcW w:type="dxa" w:w="340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구간별 표본 충분성, 현장 재검사 결과</w:t>
            </w:r>
          </w:p>
        </w:tc>
      </w:tr>
      <w:tr>
        <w:trPr>
          <w:cantSplit/>
        </w:trPr>
        <w:tc>
          <w:tcPr>
            <w:tcW w:type="dxa" w:w="209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새 입력 또는 표본 부족</w:t>
            </w:r>
          </w:p>
        </w:tc>
        <w:tc>
          <w:tcPr>
            <w:tcW w:type="dxa" w:w="391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기준 범위 이탈·정보 부족 근거와 검사 안내</w:t>
            </w:r>
          </w:p>
        </w:tc>
        <w:tc>
          <w:tcPr>
            <w:tcW w:type="dxa" w:w="340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입력 정합, 추가 자료와 원인</w:t>
            </w:r>
          </w:p>
        </w:tc>
      </w:tr>
      <w:tr>
        <w:trPr>
          <w:cantSplit/>
        </w:trPr>
        <w:tc>
          <w:tcPr>
            <w:tcW w:type="dxa" w:w="209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분포 변화</w:t>
            </w:r>
          </w:p>
        </w:tc>
        <w:tc>
          <w:tcPr>
            <w:tcW w:type="dxa" w:w="391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변화한 변수·구간·출력과 판단 상태</w:t>
            </w:r>
          </w:p>
        </w:tc>
        <w:tc>
          <w:tcPr>
            <w:tcW w:type="dxa" w:w="3402"/>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지속성, 현장 조건 변화와 실제 라벨</w:t>
            </w:r>
          </w:p>
        </w:tc>
      </w:tr>
    </w:tbl>
    <w:p>
      <w:pPr>
        <w:spacing w:after="0"/>
      </w:pPr>
    </w:p>
    <w:p>
      <w:pPr>
        <w:pStyle w:val="Heading2"/>
      </w:pPr>
      <w:r>
        <w:t>7.3 현장 적용 전에 확인할 조건</w:t>
      </w:r>
    </w:p>
    <w:p>
      <w:r>
        <w:rPr>
          <w:b w:val="0"/>
        </w:rPr>
        <w:t>공정값이 검사 전 확보되는지, 원본 기록 ID와 검사 결과가 연결되는지, 지연 라벨과 정정 이력을 어떻게 처리하는지 확인해야 한다. 또한 검사 처리량과 허용 누락·오탐의 비용을 정하고, 지원 안내가 실제 검사 운영에 주는 효과를 측정해야 한다.</w:t>
      </w:r>
    </w:p>
    <w:p>
      <w:r>
        <w:rPr>
          <w:b w:val="0"/>
        </w:rPr>
        <w:t>현재 검사 정책의 동작 확인이나 개발 점수만으로 불량 검출량 증가·검사 비용 절감·자동 선별 효과를 주장하지 않는다. 검사 결과를 새 정답으로 확보한 뒤 성능과 업무 효과를 각각 평가한다.</w:t>
      </w:r>
    </w:p>
    <w:p>
      <w:r>
        <w:br w:type="page"/>
      </w:r>
    </w:p>
    <w:p>
      <w:pPr>
        <w:pStyle w:val="Heading1"/>
      </w:pPr>
      <w:r>
        <w:t>8 운영 흐름과 모델 관리</w:t>
      </w:r>
    </w:p>
    <w:p>
      <w:pPr>
        <w:pStyle w:val="Heading2"/>
      </w:pPr>
      <w:r>
        <w:t>8.1 로컬 운영의 7단계</w:t>
      </w:r>
    </w:p>
    <w:tbl>
      <w:tblPr>
        <w:tblW w:type="auto" w:w="0"/>
        <w:jc w:val="center"/>
        <w:tblLayout w:type="fixed"/>
        <w:tblLook w:firstColumn="1" w:firstRow="1" w:lastColumn="0" w:lastRow="0" w:noHBand="0" w:noVBand="1" w:val="04A0"/>
      </w:tblPr>
      <w:tblGrid>
        <w:gridCol w:w="2268"/>
        <w:gridCol w:w="7143"/>
      </w:tblGrid>
      <w:tr>
        <w:trPr>
          <w:cantSplit/>
          <w:tblHeader/>
        </w:trPr>
        <w:tc>
          <w:tcPr>
            <w:tcW w:type="dxa" w:w="22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단계</w:t>
            </w:r>
          </w:p>
        </w:tc>
        <w:tc>
          <w:tcPr>
            <w:tcW w:type="dxa" w:w="7143"/>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역할과 판단</w:t>
            </w:r>
          </w:p>
        </w:tc>
      </w:tr>
      <w:tr>
        <w:trPr>
          <w:cantSplit/>
        </w:trPr>
        <w:tc>
          <w:tcPr>
            <w:tcW w:type="dxa" w:w="22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1 데이터 준비</w:t>
            </w:r>
          </w:p>
        </w:tc>
        <w:tc>
          <w:tcPr>
            <w:tcW w:type="dxa" w:w="7143"/>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CN7·RG3, 입력·ID·실제 라벨 출처와 좌표 정합 확인</w:t>
            </w:r>
          </w:p>
        </w:tc>
      </w:tr>
      <w:tr>
        <w:trPr>
          <w:cantSplit/>
        </w:trPr>
        <w:tc>
          <w:tcPr>
            <w:tcW w:type="dxa" w:w="22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2 EDA와 전처리</w:t>
            </w:r>
          </w:p>
        </w:tc>
        <w:tc>
          <w:tcPr>
            <w:tcW w:type="dxa" w:w="7143"/>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원본 기록·빈도 보존, 동일 패턴 위험 이력 집계</w:t>
            </w:r>
          </w:p>
        </w:tc>
      </w:tr>
      <w:tr>
        <w:trPr>
          <w:cantSplit/>
        </w:trPr>
        <w:tc>
          <w:tcPr>
            <w:tcW w:type="dxa" w:w="22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3 초기 모델과 기준선</w:t>
            </w:r>
          </w:p>
        </w:tc>
        <w:tc>
          <w:tcPr>
            <w:tcW w:type="dxa" w:w="7143"/>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데이터셋별 모델, 개발 입력·모델 출력 분포의 기준선 준비</w:t>
            </w:r>
          </w:p>
        </w:tc>
      </w:tr>
      <w:tr>
        <w:trPr>
          <w:cantSplit/>
        </w:trPr>
        <w:tc>
          <w:tcPr>
            <w:tcW w:type="dxa" w:w="22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4 배치 유입과 추론</w:t>
            </w:r>
          </w:p>
        </w:tc>
        <w:tc>
          <w:tcPr>
            <w:tcW w:type="dxa" w:w="7143"/>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저장 변환 사용, 제품·패턴·추론 결과·버전 연결과 재개</w:t>
            </w:r>
          </w:p>
        </w:tc>
      </w:tr>
      <w:tr>
        <w:trPr>
          <w:cantSplit/>
        </w:trPr>
        <w:tc>
          <w:tcPr>
            <w:tcW w:type="dxa" w:w="22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5 분포 변화 감지</w:t>
            </w:r>
          </w:p>
        </w:tc>
        <w:tc>
          <w:tcPr>
            <w:tcW w:type="dxa" w:w="7143"/>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값·구간·조합·출력 변화와 표본 수·지속성 판단</w:t>
            </w:r>
          </w:p>
        </w:tc>
      </w:tr>
      <w:tr>
        <w:trPr>
          <w:cantSplit/>
        </w:trPr>
        <w:tc>
          <w:tcPr>
            <w:tcW w:type="dxa" w:w="22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6 조건부 재학습</w:t>
            </w:r>
          </w:p>
        </w:tc>
        <w:tc>
          <w:tcPr>
            <w:tcW w:type="dxa" w:w="7143"/>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원인·실제 라벨·고유 패턴 수 충족 시 모델별 후보 학습</w:t>
            </w:r>
          </w:p>
        </w:tc>
      </w:tr>
      <w:tr>
        <w:trPr>
          <w:cantSplit/>
        </w:trPr>
        <w:tc>
          <w:tcPr>
            <w:tcW w:type="dxa" w:w="2268"/>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7 검증과 교체</w:t>
            </w:r>
          </w:p>
        </w:tc>
        <w:tc>
          <w:tcPr>
            <w:tcW w:type="dxa" w:w="7143"/>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별도 자료의 기존·후보 비교, 명시적 전환·이전 버전 보존·롤백</w:t>
            </w:r>
          </w:p>
        </w:tc>
      </w:tr>
    </w:tbl>
    <w:p>
      <w:pPr>
        <w:spacing w:after="0"/>
      </w:pPr>
    </w:p>
    <w:p>
      <w:r>
        <w:rPr>
          <w:b w:val="0"/>
        </w:rPr>
        <w:t>현재 공통 운영 진입점은 workflow_runtime.Operations와 CLI·운영 노트북이다. RF 전용 초기 학습 실행기와 공통 운영 계층의 구현 범위는 구분한다. 위 흐름은 로컬 구현을 기준으로 하며 실제 현장 배포가 완료되었다는 의미는 아니다. [5]</w:t>
      </w:r>
    </w:p>
    <w:p>
      <w:pPr>
        <w:pStyle w:val="Heading2"/>
      </w:pPr>
      <w:r>
        <w:t>8.2 변화 감지와 재학습의 조건</w:t>
      </w:r>
    </w:p>
    <w:p>
      <w:r>
        <w:rPr>
          <w:b w:val="0"/>
        </w:rPr>
        <w:t>표본이 부족하면 판단을 기다리고, 입력 변화의 크기와 지속성, 출력 변화를 함께 확인한다. 드리프트 경보만으로 자동 모델 교체를 수행하지 않는다. 원인 확인과 실제 라벨을 확보한 뒤 IF·OCSVM은 정상 자료, LR·RF는 정상·위험 자료로 후보를 전체 재학습한다. 점진 학습으로 설명하지 않는다.</w:t>
      </w:r>
    </w:p>
    <w:p>
      <w:pPr>
        <w:pStyle w:val="Heading2"/>
      </w:pPr>
      <w:r>
        <w:t>8.3 평가와 복구</w:t>
      </w:r>
    </w:p>
    <w:p>
      <w:r>
        <w:rPr>
          <w:b w:val="0"/>
        </w:rPr>
        <w:t>후보 선정과 최종 승격에 사용하는 평가 자료의 중복을 차단하고 기존·후보를 동일한 분리 자료로 비교한다. 기준 미달이나 평가 부족이면 기존 모델을 유지한다. 교체 전 새 출력 기준선을 준비하고, 모델·기준선 전환 실패 시 재개 가능한 상태와 이전 버전을 보존한다.</w:t>
      </w:r>
    </w:p>
    <w:p>
      <w:r>
        <w:rPr>
          <w:b w:val="0"/>
        </w:rPr>
        <w:t>운영 검증은 격리된 합성 자료로 정상·실패·보류·재개·승격·롤백을 확인한 범위다. 실제 생산 시간순, 현장 스케일과 원인, 독립 라벨에서의 성능은 미확인이다. RF 추가 표준화 제거가 현재 운영 모델을 자동 교체하지 않으며 새 학습과 별도 평가가 필요하다.</w:t>
      </w:r>
    </w:p>
    <w:p>
      <w:r>
        <w:br w:type="page"/>
      </w:r>
    </w:p>
    <w:p>
      <w:pPr>
        <w:pStyle w:val="Heading1"/>
      </w:pPr>
      <w:r>
        <w:t>9 결론과 기대효과 및 추가 검증</w:t>
      </w:r>
    </w:p>
    <w:p>
      <w:pPr>
        <w:pStyle w:val="Heading2"/>
      </w:pPr>
      <w:r>
        <w:t>9.1 현재 확인한 성과</w:t>
      </w:r>
    </w:p>
    <w:p>
      <w:r>
        <w:rPr>
          <w:b w:val="0"/>
        </w:rPr>
        <w:t>프로젝트는 중복 입력과 상충 라벨을 반영한 패턴 학습 자료를 구성하고 원본 연결을 보존했다. 모델별 성능과 미탐·오탐을 확인했으며, 제품별 검사 지원과 로컬 운영의 분포 감지·후보 재학습·평가·복구 흐름을 구현하였다. 성능이 낮은 결과도 데이터의 정보 한계와 활용 조건을 확인하는 근거로 남겼다.</w:t>
      </w:r>
    </w:p>
    <w:p>
      <w:r>
        <w:rPr>
          <w:b w:val="0"/>
        </w:rPr>
        <w:t>RF는 추가 표준화를 제거하여 제공값 직접 계산으로 수정했고, 관련 검증 18개가 통과했다. 이 검증에는 7개 변환의 좌표, 직접 파생값, PCA·RMSE, 저장·재로드, 실제 CN7·RG3의 소규모 학습과 입력·감사 계약이 포함된다. 변경 후 전체 탐색과 최종 성능 재평가는 아직 수행하지 않았다. [3, 7]</w:t>
      </w:r>
    </w:p>
    <w:p>
      <w:pPr>
        <w:pStyle w:val="Heading2"/>
      </w:pPr>
      <w:r>
        <w:t>9.2 기대효과와 측정 방법</w:t>
      </w:r>
    </w:p>
    <w:tbl>
      <w:tblPr>
        <w:tblW w:type="auto" w:w="0"/>
        <w:jc w:val="center"/>
        <w:tblLayout w:type="fixed"/>
        <w:tblLook w:firstColumn="1" w:firstRow="1" w:lastColumn="0" w:lastRow="0" w:noHBand="0" w:noVBand="1" w:val="04A0"/>
      </w:tblPr>
      <w:tblGrid>
        <w:gridCol w:w="2381"/>
        <w:gridCol w:w="7030"/>
      </w:tblGrid>
      <w:tr>
        <w:trPr>
          <w:cantSplit/>
          <w:tblHeader/>
        </w:trPr>
        <w:tc>
          <w:tcPr>
            <w:tcW w:type="dxa" w:w="238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기대효과</w:t>
            </w:r>
          </w:p>
        </w:tc>
        <w:tc>
          <w:tcPr>
            <w:tcW w:type="dxa" w:w="703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24485C"/>
          </w:tcPr>
          <w:p>
            <w:pPr>
              <w:spacing w:after="0" w:line="269" w:lineRule="auto"/>
            </w:pPr>
            <w:r>
              <w:rPr>
                <w:rFonts w:ascii="맑은 고딕" w:hAnsi="맑은 고딕" w:eastAsia="맑은 고딕"/>
                <w:b/>
                <w:color w:val="FFFFFF"/>
                <w:sz w:val="18"/>
              </w:rPr>
              <w:t>검증에 필요한 측정</w:t>
            </w:r>
          </w:p>
        </w:tc>
      </w:tr>
      <w:tr>
        <w:trPr>
          <w:cantSplit/>
        </w:trPr>
        <w:tc>
          <w:tcPr>
            <w:tcW w:type="dxa" w:w="238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검사 우선순위 개선</w:t>
            </w:r>
          </w:p>
        </w:tc>
        <w:tc>
          <w:tcPr>
            <w:tcW w:type="dxa" w:w="703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같은 검사량에서의 개별 불량 검출 수, 미탐과 오탐, 처리 시간</w:t>
            </w:r>
          </w:p>
        </w:tc>
      </w:tr>
      <w:tr>
        <w:trPr>
          <w:cantSplit/>
        </w:trPr>
        <w:tc>
          <w:tcPr>
            <w:tcW w:type="dxa" w:w="238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조건 변화의 조기 인지</w:t>
            </w:r>
          </w:p>
        </w:tc>
        <w:tc>
          <w:tcPr>
            <w:tcW w:type="dxa" w:w="703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실제 시간순 변화 기록, 경보 지연과 오경보, 원인 확인 결과</w:t>
            </w:r>
          </w:p>
        </w:tc>
      </w:tr>
      <w:tr>
        <w:trPr>
          <w:cantSplit/>
        </w:trPr>
        <w:tc>
          <w:tcPr>
            <w:tcW w:type="dxa" w:w="238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재학습과 복구의 추적성</w:t>
            </w:r>
          </w:p>
        </w:tc>
        <w:tc>
          <w:tcPr>
            <w:tcW w:type="dxa" w:w="703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tcPr>
          <w:p>
            <w:pPr>
              <w:spacing w:after="0" w:line="269" w:lineRule="auto"/>
            </w:pPr>
            <w:r>
              <w:rPr>
                <w:rFonts w:ascii="맑은 고딕" w:hAnsi="맑은 고딕" w:eastAsia="맑은 고딕"/>
                <w:sz w:val="18"/>
              </w:rPr>
              <w:t>학습·평가·모델·기준선의 버전 연결, 전환 실패와 복구 기록</w:t>
            </w:r>
          </w:p>
        </w:tc>
      </w:tr>
      <w:tr>
        <w:trPr>
          <w:cantSplit/>
        </w:trPr>
        <w:tc>
          <w:tcPr>
            <w:tcW w:type="dxa" w:w="2381"/>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다른 제품으로의 확장</w:t>
            </w:r>
          </w:p>
        </w:tc>
        <w:tc>
          <w:tcPr>
            <w:tcW w:type="dxa" w:w="7030"/>
            <w:vAlign w:val="center"/>
            <w:tcBorders>
              <w:top w:val="single" w:sz="5" w:color="D9D9D9"/>
              <w:left w:val="single" w:sz="5" w:color="D9D9D9"/>
              <w:bottom w:val="single" w:sz="5" w:color="D9D9D9"/>
              <w:right w:val="single" w:sz="5" w:color="D9D9D9"/>
            </w:tcBorders>
            <w:tcMar>
              <w:top w:w="85" w:type="dxa"/>
              <w:bottom w:w="85" w:type="dxa"/>
              <w:left w:w="100" w:type="dxa"/>
              <w:right w:w="100" w:type="dxa"/>
            </w:tcMar>
            <w:shd w:fill="F1F5F7"/>
          </w:tcPr>
          <w:p>
            <w:pPr>
              <w:spacing w:after="0" w:line="269" w:lineRule="auto"/>
            </w:pPr>
            <w:r>
              <w:rPr>
                <w:rFonts w:ascii="맑은 고딕" w:hAnsi="맑은 고딕" w:eastAsia="맑은 고딕"/>
                <w:sz w:val="18"/>
              </w:rPr>
              <w:t>새 제품 스키마·좌표·라벨 검증, 제품별 독립 성능과 운영 조건</w:t>
            </w:r>
          </w:p>
        </w:tc>
      </w:tr>
    </w:tbl>
    <w:p>
      <w:pPr>
        <w:spacing w:after="0"/>
      </w:pPr>
    </w:p>
    <w:p>
      <w:pPr>
        <w:pStyle w:val="Heading2"/>
      </w:pPr>
      <w:r>
        <w:t>9.3 우선 수행할 추가 검증</w:t>
      </w:r>
    </w:p>
    <w:p>
      <w:r>
        <w:rPr>
          <w:b w:val="0"/>
        </w:rPr>
        <w:t>우선 수정된 RF를 고정 분할과 동일 탐색 절차로 전체 재학습하고 임계값을 개발 자료에서 선정·고정한다. 기존 Test는 후속 평가로 기록하고, 새로 확보한 독립 라벨에서 성능을 확인한다. 센서 보존·수치적 rank·PCA 예외 처리 정책은 좌표 변경과 분리하여 검증한다.</w:t>
      </w:r>
    </w:p>
    <w:p>
      <w:r>
        <w:rPr>
          <w:b w:val="0"/>
        </w:rPr>
        <w:t>이어 모델별 비교를 분류 목적과 검사 예산 목적에 맞춰 정리하고, 생산시각·설비·원자재·검사 정보를 연결한다. 현장 적용은 입력 확보 시점과 좌표 정합, 검사 처리량·허용 오류 비용을 확인한 뒤 평가한다. 검사 비용 절감이나 불량 감소는 그 측정이 완료된 후 성과로 제시한다.</w:t>
      </w:r>
    </w:p>
    <w:p>
      <w:r>
        <w:br w:type="page"/>
      </w:r>
    </w:p>
    <w:p>
      <w:pPr>
        <w:pStyle w:val="Heading2"/>
      </w:pPr>
      <w:r>
        <w:t>참고자료와 결과 확인 경로</w:t>
      </w:r>
    </w:p>
    <w:p>
      <w:r>
        <w:rPr>
          <w:b w:val="0"/>
        </w:rPr>
        <w:t>각 장의 수치와 구현 상태는 다음 자료를 기준으로 정리하였다. 성능은 기록된 실행별 결과이며, 현재 운영 후보의 최종 선정 결과와 구분한다.</w:t>
      </w:r>
    </w:p>
    <w:p>
      <w:pPr>
        <w:spacing w:after="200"/>
      </w:pPr>
      <w:r>
        <w:rPr>
          <w:b w:val="0"/>
          <w:sz w:val="18"/>
        </w:rPr>
        <w:t>[1] 기존 KAMP 스토리 초안</w:t>
        <w:br/>
        <w:t>C:/Users/Playdata/Desktop/프로젝트/제조AI 경진대회/KAMP_스토리.docx</w:t>
      </w:r>
    </w:p>
    <w:p>
      <w:pPr>
        <w:spacing w:after="200"/>
      </w:pPr>
      <w:r>
        <w:rPr>
          <w:b w:val="0"/>
          <w:sz w:val="18"/>
        </w:rPr>
        <w:t>[2] 원본 연결과 라벨 집계</w:t>
        <w:br/>
        <w:t>data/processed/cn7/conservative/README.md</w:t>
        <w:br/>
        <w:t>data/processed/rg3/conservative/README.md</w:t>
        <w:br/>
        <w:t>각 폴더의 labeled_metadata.csv와 splits/split_manifest.json</w:t>
      </w:r>
    </w:p>
    <w:p>
      <w:pPr>
        <w:spacing w:after="200"/>
      </w:pPr>
      <w:r>
        <w:rPr>
          <w:b w:val="0"/>
          <w:sz w:val="18"/>
        </w:rPr>
        <w:t>[3] RF 제공값 직접 계산 코드와 구현 검토</w:t>
        <w:br/>
        <w:t>modeling/random_forest_manual.py와 CN7·RG3 통합 노트북</w:t>
        <w:br/>
        <w:t>output/pdf/KAMP_RF_논리통계_검토정리_개정_20261006_v4.pdf</w:t>
      </w:r>
    </w:p>
    <w:p>
      <w:pPr>
        <w:spacing w:after="200"/>
      </w:pPr>
      <w:r>
        <w:rPr>
          <w:b w:val="0"/>
          <w:sz w:val="18"/>
        </w:rPr>
        <w:t>[4] 기존 RF 모델의 실험·성공 및 실패 결과</w:t>
        <w:br/>
        <w:t>output/random_forest_cn7/manual_seven_scenarios_v1/</w:t>
        <w:br/>
        <w:t>output/random_forest_rg3/manual_seven_scenarios_v1/</w:t>
        <w:br/>
        <w:t>summary.json과 analysis_summary.md</w:t>
      </w:r>
    </w:p>
    <w:p>
      <w:pPr>
        <w:spacing w:after="200"/>
      </w:pPr>
      <w:r>
        <w:rPr>
          <w:b w:val="0"/>
          <w:sz w:val="18"/>
        </w:rPr>
        <w:t>[5] 공통 운영 흐름과 검증 범위</w:t>
        <w:br/>
        <w:t>03.modeling/common/WORKFLOW_ACCEPTANCE.md</w:t>
      </w:r>
    </w:p>
    <w:p>
      <w:pPr>
        <w:spacing w:after="200"/>
      </w:pPr>
      <w:r>
        <w:rPr>
          <w:b w:val="0"/>
          <w:sz w:val="18"/>
        </w:rPr>
        <w:t>[6] LR 저장 실행 결과</w:t>
        <w:br/>
        <w:t>output/logistic/cn7/lr-20261003T040927Z-66e8d685/summary.txt</w:t>
        <w:br/>
        <w:t>output/logistic/rg3/lr-20261003T040950Z-8c8b16ec/summary.txt</w:t>
      </w:r>
    </w:p>
    <w:p>
      <w:pPr>
        <w:spacing w:after="200"/>
      </w:pPr>
      <w:r>
        <w:rPr>
          <w:b w:val="0"/>
          <w:sz w:val="18"/>
        </w:rPr>
        <w:t>[7] RF 수정 후 기능 검증</w:t>
        <w:br/>
        <w:t>output/rf_test_runs/20261006T050408Z-d88dc7a0/</w:t>
        <w:br/>
        <w:t>summary.json과 각 테스트 로그</w:t>
      </w:r>
    </w:p>
    <w:p>
      <w:r>
        <w:rPr>
          <w:b/>
        </w:rPr>
        <w:t>작업 폴더 기준 경로: C:/Users/Playdata/workspace/26KAMP</w:t>
      </w:r>
    </w:p>
    <w:sectPr w:rsidR="00FC693F" w:rsidRPr="0006063C" w:rsidSect="00034616">
      <w:footerReference w:type="default" r:id="rId9"/>
      <w:pgSz w:w="11906" w:h="16838"/>
      <w:pgMar w:top="1134" w:right="1247" w:bottom="1134" w:left="1247"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40"/>
    </w:pPr>
    <w:rPr>
      <w:rFonts w:ascii="맑은 고딕" w:hAnsi="맑은 고딕" w:eastAsia="맑은 고딕"/>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83" w:lineRule="auto"/>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83" w:lineRule="auto"/>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83" w:lineRule="auto"/>
      <w:outlineLvl w:val="2"/>
    </w:pPr>
    <w:rPr>
      <w:rFonts w:asciiTheme="majorHAnsi" w:eastAsiaTheme="majorEastAsia" w:hAnsiTheme="majorHAnsi" w:cstheme="majorBidi" w:ascii="맑은 고딕" w:hAnsi="맑은 고딕" w:eastAsia="맑은 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83" w:lineRule="auto"/>
      <w:contextualSpacing/>
    </w:pPr>
    <w:rPr>
      <w:rFonts w:asciiTheme="majorHAnsi" w:eastAsiaTheme="majorEastAsia" w:hAnsiTheme="majorHAnsi" w:cstheme="majorBidi" w:ascii="맑은 고딕" w:hAnsi="맑은 고딕" w:eastAsia="맑은 고딕"/>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83" w:lineRule="auto" w:after="140"/>
    </w:pPr>
    <w:rPr>
      <w:rFonts w:asciiTheme="majorHAnsi" w:eastAsiaTheme="majorEastAsia" w:hAnsiTheme="majorHAnsi" w:cstheme="majorBidi" w:ascii="맑은 고딕" w:hAnsi="맑은 고딕" w:eastAsia="맑은 고딕"/>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공정 데이터 기반 품질 위험 분석과 검사 지원</dc:title>
  <dc:subject>KAMP CN7 RG3 목차 및 본문 개정</dc:subject>
  <dc:creator>KAMP 프로젝트</dc:creator>
  <cp:keywords/>
  <dc:description>generated by python-docx</dc:description>
  <cp:lastModifiedBy/>
  <cp:revision>1</cp:revision>
  <dcterms:created xsi:type="dcterms:W3CDTF">2013-12-23T23:15:00Z</dcterms:created>
  <dcterms:modified xsi:type="dcterms:W3CDTF">2013-12-23T23:15:00Z</dcterms:modified>
  <cp:category/>
</cp:coreProperties>
</file>