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로지스틱 회귀 불량 탐지 학습 전략</w:t>
      </w:r>
    </w:p>
    <w:p>
      <w:r>
        <w:t>CN7 및 RG3 사출성형 데이터 | 2026년 9월 28일</w:t>
      </w:r>
    </w:p>
    <w:p>
      <w:r>
        <w:t>목표는 공정 입력으로 양품과 불량품을 구분하고, 희소한 불량이 어떤 조건에서 탐지되거나 누락되는지 설명하는 것이다. 두 데이터셋은 각각 모델을 학습하며, 동일 입력 패턴을 보존한 4-fold 교차검증과 L2 규제 로지스틱 회귀를 사용한다. 불량 가중치와 판정 임계값의 영향을 분리하여 평가한다.</w:t>
      </w:r>
    </w:p>
    <w:p>
      <w:pPr>
        <w:pStyle w:val="Heading1"/>
      </w:pPr>
      <w:r>
        <w:t>1 데이터와 설계 결정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296"/>
        <w:gridCol w:w="1296"/>
        <w:gridCol w:w="1152"/>
        <w:gridCol w:w="1584"/>
        <w:gridCol w:w="1584"/>
      </w:tblGrid>
      <w:tr>
        <w:trPr>
          <w:cantSplit/>
          <w:tblHeader/>
        </w:trPr>
        <w:tc>
          <w:tcPr>
            <w:tcW w:type="dxa" w:w="1152"/>
            <w:shd w:fill="E8EEF4"/>
            <w:tcMar>
              <w:top w:w="90" w:type="dxa"/>
              <w:left w:w="90" w:type="dxa"/>
              <w:bottom w:w="90" w:type="dxa"/>
              <w:right w:w="90" w:type="dxa"/>
            </w:tcMar>
          </w:tcPr>
          <w:p>
            <w:pPr>
              <w:spacing w:after="60"/>
            </w:pPr>
            <w:r>
              <w:rPr>
                <w:b/>
                <w:sz w:val="19"/>
              </w:rPr>
              <w:t>데이터</w:t>
            </w:r>
          </w:p>
        </w:tc>
        <w:tc>
          <w:tcPr>
            <w:tcW w:type="dxa" w:w="1296"/>
            <w:shd w:fill="E8EEF4"/>
            <w:tcMar>
              <w:top w:w="90" w:type="dxa"/>
              <w:left w:w="90" w:type="dxa"/>
              <w:bottom w:w="90" w:type="dxa"/>
              <w:right w:w="90" w:type="dxa"/>
            </w:tcMar>
          </w:tcPr>
          <w:p>
            <w:pPr>
              <w:spacing w:after="60"/>
            </w:pPr>
            <w:r>
              <w:rPr>
                <w:b/>
                <w:sz w:val="19"/>
              </w:rPr>
              <w:t>전체 행</w:t>
            </w:r>
          </w:p>
        </w:tc>
        <w:tc>
          <w:tcPr>
            <w:tcW w:type="dxa" w:w="1296"/>
            <w:shd w:fill="E8EEF4"/>
            <w:tcMar>
              <w:top w:w="90" w:type="dxa"/>
              <w:left w:w="90" w:type="dxa"/>
              <w:bottom w:w="90" w:type="dxa"/>
              <w:right w:w="90" w:type="dxa"/>
            </w:tcMar>
          </w:tcPr>
          <w:p>
            <w:pPr>
              <w:spacing w:after="60"/>
            </w:pPr>
            <w:r>
              <w:rPr>
                <w:b/>
                <w:sz w:val="19"/>
              </w:rPr>
              <w:t>정상</w:t>
            </w:r>
          </w:p>
        </w:tc>
        <w:tc>
          <w:tcPr>
            <w:tcW w:type="dxa" w:w="1152"/>
            <w:shd w:fill="E8EEF4"/>
            <w:tcMar>
              <w:top w:w="90" w:type="dxa"/>
              <w:left w:w="90" w:type="dxa"/>
              <w:bottom w:w="90" w:type="dxa"/>
              <w:right w:w="90" w:type="dxa"/>
            </w:tcMar>
          </w:tcPr>
          <w:p>
            <w:pPr>
              <w:spacing w:after="60"/>
            </w:pPr>
            <w:r>
              <w:rPr>
                <w:b/>
                <w:sz w:val="19"/>
              </w:rPr>
              <w:t>불량</w:t>
            </w:r>
          </w:p>
        </w:tc>
        <w:tc>
          <w:tcPr>
            <w:tcW w:type="dxa" w:w="1584"/>
            <w:shd w:fill="E8EEF4"/>
            <w:tcMar>
              <w:top w:w="90" w:type="dxa"/>
              <w:left w:w="90" w:type="dxa"/>
              <w:bottom w:w="90" w:type="dxa"/>
              <w:right w:w="90" w:type="dxa"/>
            </w:tcMar>
          </w:tcPr>
          <w:p>
            <w:pPr>
              <w:spacing w:after="60"/>
            </w:pPr>
            <w:r>
              <w:rPr>
                <w:b/>
                <w:sz w:val="19"/>
              </w:rPr>
              <w:t>고유 입력</w:t>
            </w:r>
          </w:p>
        </w:tc>
        <w:tc>
          <w:tcPr>
            <w:tcW w:type="dxa" w:w="1584"/>
            <w:shd w:fill="E8EEF4"/>
            <w:tcMar>
              <w:top w:w="90" w:type="dxa"/>
              <w:left w:w="90" w:type="dxa"/>
              <w:bottom w:w="90" w:type="dxa"/>
              <w:right w:w="90" w:type="dxa"/>
            </w:tcMar>
          </w:tcPr>
          <w:p>
            <w:pPr>
              <w:spacing w:after="60"/>
            </w:pPr>
            <w:r>
              <w:rPr>
                <w:b/>
                <w:sz w:val="19"/>
              </w:rPr>
              <w:t>불량 비율</w:t>
            </w:r>
          </w:p>
        </w:tc>
      </w:tr>
      <w:tr>
        <w:trPr>
          <w:cantSplit/>
        </w:trPr>
        <w:tc>
          <w:tcPr>
            <w:tcW w:type="dxa" w:w="1152"/>
            <w:shd w:fill="FFFFFF"/>
            <w:tcMar>
              <w:top w:w="90" w:type="dxa"/>
              <w:left w:w="90" w:type="dxa"/>
              <w:bottom w:w="90" w:type="dxa"/>
              <w:right w:w="90" w:type="dxa"/>
            </w:tcMar>
          </w:tcPr>
          <w:p>
            <w:pPr>
              <w:spacing w:after="60"/>
            </w:pPr>
            <w:r>
              <w:rPr>
                <w:b w:val="0"/>
                <w:sz w:val="19"/>
              </w:rPr>
              <w:t>CN7</w:t>
            </w:r>
          </w:p>
        </w:tc>
        <w:tc>
          <w:tcPr>
            <w:tcW w:type="dxa" w:w="1296"/>
            <w:shd w:fill="FFFFFF"/>
            <w:tcMar>
              <w:top w:w="90" w:type="dxa"/>
              <w:left w:w="90" w:type="dxa"/>
              <w:bottom w:w="90" w:type="dxa"/>
              <w:right w:w="90" w:type="dxa"/>
            </w:tcMar>
          </w:tcPr>
          <w:p>
            <w:pPr>
              <w:spacing w:after="60"/>
            </w:pPr>
            <w:r>
              <w:rPr>
                <w:b w:val="0"/>
                <w:sz w:val="19"/>
              </w:rPr>
              <w:t>1211</w:t>
            </w:r>
          </w:p>
        </w:tc>
        <w:tc>
          <w:tcPr>
            <w:tcW w:type="dxa" w:w="1296"/>
            <w:shd w:fill="FFFFFF"/>
            <w:tcMar>
              <w:top w:w="90" w:type="dxa"/>
              <w:left w:w="90" w:type="dxa"/>
              <w:bottom w:w="90" w:type="dxa"/>
              <w:right w:w="90" w:type="dxa"/>
            </w:tcMar>
          </w:tcPr>
          <w:p>
            <w:pPr>
              <w:spacing w:after="60"/>
            </w:pPr>
            <w:r>
              <w:rPr>
                <w:b w:val="0"/>
                <w:sz w:val="19"/>
              </w:rPr>
              <w:t>1194</w:t>
            </w:r>
          </w:p>
        </w:tc>
        <w:tc>
          <w:tcPr>
            <w:tcW w:type="dxa" w:w="1152"/>
            <w:shd w:fill="FFFFFF"/>
            <w:tcMar>
              <w:top w:w="90" w:type="dxa"/>
              <w:left w:w="90" w:type="dxa"/>
              <w:bottom w:w="90" w:type="dxa"/>
              <w:right w:w="90" w:type="dxa"/>
            </w:tcMar>
          </w:tcPr>
          <w:p>
            <w:pPr>
              <w:spacing w:after="60"/>
            </w:pPr>
            <w:r>
              <w:rPr>
                <w:b w:val="0"/>
                <w:sz w:val="19"/>
              </w:rPr>
              <w:t>17</w:t>
            </w:r>
          </w:p>
        </w:tc>
        <w:tc>
          <w:tcPr>
            <w:tcW w:type="dxa" w:w="1584"/>
            <w:shd w:fill="FFFFFF"/>
            <w:tcMar>
              <w:top w:w="90" w:type="dxa"/>
              <w:left w:w="90" w:type="dxa"/>
              <w:bottom w:w="90" w:type="dxa"/>
              <w:right w:w="90" w:type="dxa"/>
            </w:tcMar>
          </w:tcPr>
          <w:p>
            <w:pPr>
              <w:spacing w:after="60"/>
            </w:pPr>
            <w:r>
              <w:rPr>
                <w:b w:val="0"/>
                <w:sz w:val="19"/>
              </w:rPr>
              <w:t>606</w:t>
            </w:r>
          </w:p>
        </w:tc>
        <w:tc>
          <w:tcPr>
            <w:tcW w:type="dxa" w:w="1584"/>
            <w:shd w:fill="FFFFFF"/>
            <w:tcMar>
              <w:top w:w="90" w:type="dxa"/>
              <w:left w:w="90" w:type="dxa"/>
              <w:bottom w:w="90" w:type="dxa"/>
              <w:right w:w="90" w:type="dxa"/>
            </w:tcMar>
          </w:tcPr>
          <w:p>
            <w:pPr>
              <w:spacing w:after="60"/>
            </w:pPr>
            <w:r>
              <w:rPr>
                <w:b w:val="0"/>
                <w:sz w:val="19"/>
              </w:rPr>
              <w:t>1.40%</w:t>
            </w:r>
          </w:p>
        </w:tc>
      </w:tr>
      <w:tr>
        <w:trPr>
          <w:cantSplit/>
        </w:trPr>
        <w:tc>
          <w:tcPr>
            <w:tcW w:type="dxa" w:w="1152"/>
            <w:shd w:fill="FFFFFF"/>
            <w:tcMar>
              <w:top w:w="90" w:type="dxa"/>
              <w:left w:w="90" w:type="dxa"/>
              <w:bottom w:w="90" w:type="dxa"/>
              <w:right w:w="90" w:type="dxa"/>
            </w:tcMar>
          </w:tcPr>
          <w:p>
            <w:pPr>
              <w:spacing w:after="60"/>
            </w:pPr>
            <w:r>
              <w:rPr>
                <w:b w:val="0"/>
                <w:sz w:val="19"/>
              </w:rPr>
              <w:t>RG3</w:t>
            </w:r>
          </w:p>
        </w:tc>
        <w:tc>
          <w:tcPr>
            <w:tcW w:type="dxa" w:w="1296"/>
            <w:shd w:fill="FFFFFF"/>
            <w:tcMar>
              <w:top w:w="90" w:type="dxa"/>
              <w:left w:w="90" w:type="dxa"/>
              <w:bottom w:w="90" w:type="dxa"/>
              <w:right w:w="90" w:type="dxa"/>
            </w:tcMar>
          </w:tcPr>
          <w:p>
            <w:pPr>
              <w:spacing w:after="60"/>
            </w:pPr>
            <w:r>
              <w:rPr>
                <w:b w:val="0"/>
                <w:sz w:val="19"/>
              </w:rPr>
              <w:t>1182</w:t>
            </w:r>
          </w:p>
        </w:tc>
        <w:tc>
          <w:tcPr>
            <w:tcW w:type="dxa" w:w="1296"/>
            <w:shd w:fill="FFFFFF"/>
            <w:tcMar>
              <w:top w:w="90" w:type="dxa"/>
              <w:left w:w="90" w:type="dxa"/>
              <w:bottom w:w="90" w:type="dxa"/>
              <w:right w:w="90" w:type="dxa"/>
            </w:tcMar>
          </w:tcPr>
          <w:p>
            <w:pPr>
              <w:spacing w:after="60"/>
            </w:pPr>
            <w:r>
              <w:rPr>
                <w:b w:val="0"/>
                <w:sz w:val="19"/>
              </w:rPr>
              <w:t>1157</w:t>
            </w:r>
          </w:p>
        </w:tc>
        <w:tc>
          <w:tcPr>
            <w:tcW w:type="dxa" w:w="1152"/>
            <w:shd w:fill="FFFFFF"/>
            <w:tcMar>
              <w:top w:w="90" w:type="dxa"/>
              <w:left w:w="90" w:type="dxa"/>
              <w:bottom w:w="90" w:type="dxa"/>
              <w:right w:w="90" w:type="dxa"/>
            </w:tcMar>
          </w:tcPr>
          <w:p>
            <w:pPr>
              <w:spacing w:after="60"/>
            </w:pPr>
            <w:r>
              <w:rPr>
                <w:b w:val="0"/>
                <w:sz w:val="19"/>
              </w:rPr>
              <w:t>25</w:t>
            </w:r>
          </w:p>
        </w:tc>
        <w:tc>
          <w:tcPr>
            <w:tcW w:type="dxa" w:w="1584"/>
            <w:shd w:fill="FFFFFF"/>
            <w:tcMar>
              <w:top w:w="90" w:type="dxa"/>
              <w:left w:w="90" w:type="dxa"/>
              <w:bottom w:w="90" w:type="dxa"/>
              <w:right w:w="90" w:type="dxa"/>
            </w:tcMar>
          </w:tcPr>
          <w:p>
            <w:pPr>
              <w:spacing w:after="60"/>
            </w:pPr>
            <w:r>
              <w:rPr>
                <w:b w:val="0"/>
                <w:sz w:val="19"/>
              </w:rPr>
              <w:t>591</w:t>
            </w:r>
          </w:p>
        </w:tc>
        <w:tc>
          <w:tcPr>
            <w:tcW w:type="dxa" w:w="1584"/>
            <w:shd w:fill="FFFFFF"/>
            <w:tcMar>
              <w:top w:w="90" w:type="dxa"/>
              <w:left w:w="90" w:type="dxa"/>
              <w:bottom w:w="90" w:type="dxa"/>
              <w:right w:w="90" w:type="dxa"/>
            </w:tcMar>
          </w:tcPr>
          <w:p>
            <w:pPr>
              <w:spacing w:after="60"/>
            </w:pPr>
            <w:r>
              <w:rPr>
                <w:b w:val="0"/>
                <w:sz w:val="19"/>
              </w:rPr>
              <w:t>2.12%</w:t>
            </w:r>
          </w:p>
        </w:tc>
      </w:tr>
    </w:tbl>
    <w:p/>
    <w:p>
      <w:r>
        <w:t>입력은 원본 24개 공정 변수이며 라벨은 정상 0, 불량 1이다. ID, fold, 패턴 유형 및 라벨에서 계산한 정보는 입력에서 제외한다. 동일한 24개 입력값을 하나의 pattern_id로 정의하고 원본 행과 라벨을 유지한다. 고유 입력 수를 학습 행 수나 불량 수와 혼동하지 않는다.</w:t>
      </w:r>
    </w:p>
    <w:p>
      <w:r>
        <w:t>CN7의 불량 17행 중 11행은 정상과 입력이 같은 상충 패턴에 속하고, 나머지 6행은 불량 전용 3개 패턴이다. RG3의 불량 25행은 모두 정상과 같은 입력을 가진다. 동일 입력에는 동일 점수가 부여되므로, 손실 가중치만으로 이 라벨들을 분리할 수는 없다.</w:t>
      </w:r>
    </w:p>
    <w:p>
      <w:pPr>
        <w:pStyle w:val="Heading1"/>
      </w:pPr>
      <w:r>
        <w:t>4 fold 선택의 근거</w:t>
      </w:r>
    </w:p>
    <w:p>
      <w:r>
        <w:t>학습에 약 75%, 검증에 약 25%를 사용하여 학습 표본 확보와 검증 불량 수 사이에서 절충한다. 4가 최적이라는 주장은 하지 않는다. 그룹 제약을 무시한 단순 균등 배분으로는 CN7 검증 불량 약 4~5행, RG3 약 6~7행이 예상되지만 실제 배분은 생성 후 확인해야 한다.</w:t>
      </w:r>
    </w:p>
    <w:p>
      <w:r>
        <w:t>현재 저장된 processed 메타데이터는 두 데이터셋 모두 3-fold이다. 이 문서는 합의한 4-fold 전환을 명시한 학습 설계이며, 기존 분할 파일 변경이나 모델 학습은 아직 수행하지 않았다.</w:t>
      </w:r>
    </w:p>
    <w:p>
      <w:r>
        <w:br w:type="page"/>
      </w:r>
    </w:p>
    <w:p>
      <w:pPr>
        <w:pStyle w:val="Heading1"/>
      </w:pPr>
      <w:r>
        <w:t>2 데이터 분할과 스케일링</w:t>
      </w:r>
    </w:p>
    <w:p>
      <w:r>
        <w:t>외부 검증은 pattern_id를 그룹으로 지정한 StratifiedGroupKFold 4분할을 초기안으로 사용한다. shuffle=True와 random_state=42를 고정하고, 라벨 비율은 그룹 보존 범위에서 최대한 유지한다. 기존의 패턴 유형별 3분할 결과를 그대로 4분할로 해석하지 않는다.</w:t>
      </w:r>
    </w:p>
    <w:p>
      <w:r>
        <w:t>각 fold의 정상·불량 행 수, 고유 패턴 수, 상충 패턴 수, 불량 전용 패턴 수와 그룹 교집합을 기록한다. CN7의 불량 전용 패턴은 3개뿐이므로 4개 검증 fold 모두에 배치할 수 없다. 이를 숨기지 않고 해당 유형별 탐지 결과를 함께 제시한다.</w:t>
      </w:r>
    </w:p>
    <w:p>
      <w:pPr>
        <w:pStyle w:val="Heading1"/>
      </w:pPr>
      <w:r>
        <w:t>학습 구간 안에서 전처리</w:t>
      </w:r>
    </w:p>
    <w:p>
      <w:r>
        <w:t>제공 가이드에 따르면 CSV에는 파일별·컬럼별 표준화가 이미 적용되어 있다. LR 파이프라인은 학습 구간에서 상수 컬럼을 제거하고 StandardScaler를 적합한 후, 같은 변환을 해당 검증 구간에 적용한다. 학습과 검증을 각각 독립적으로 표준화하지 않는다.</w:t>
      </w:r>
    </w:p>
    <w:p>
      <w:r>
        <w:t>z_j = (x_j − 학습 평균_j) / 학습 표준편차_j</w:t>
      </w:r>
    </w:p>
    <w:p>
      <w:r>
        <w:t>기존 변환이 고정된 컬럼별 양의 선형 표준화라면, 학습 fold에서 재표준화한 값은 원자료를 해당 fold 기준으로 표준화한 값과 수학적으로 같다. 다만 제공 과정에 다른 변환이나 반올림이 있었다면 그 영향까지 되돌리지는 못한다. 비라벨 파일은 별도로 표준화되어 있으므로 추후 추론에 앞서 동일 좌표계인지 확인해야 한다.</w:t>
      </w:r>
    </w:p>
    <w:p>
      <w:pPr>
        <w:pStyle w:val="Heading1"/>
      </w:pPr>
      <w:r>
        <w:t>외부 평가와 내부 선택의 분리</w:t>
      </w:r>
    </w:p>
    <w:p>
      <w:r>
        <w:t>외부 4-fold의 검증 데이터는 최종 평가에만 사용한다. 각 외부 학습 구간 안에서 그룹을 보존한 내부 2-fold를 구성하여 가중치와 C를 선택한다. 내부 분할에서도 두 클래스의 존재와 패턴 누수 여부를 검증한다.</w:t>
      </w:r>
    </w:p>
    <w:p>
      <w:r>
        <w:t>기본 실험은 전체 공정 변수를 사용하고, 상수 제거 외의 특징 선택·PCA·오버샘플링은 추가하지 않는다. KS 상위 변수 등 전체 데이터 EDA에서 찾은 변수를 바로 고정하면 평가에 선택 영향이 남을 수 있으므로, 특징 선택 실험은 별도 비교로 관리한다.</w:t>
      </w:r>
    </w:p>
    <w:p>
      <w:r>
        <w:br w:type="page"/>
      </w:r>
    </w:p>
    <w:p>
      <w:pPr>
        <w:pStyle w:val="Heading1"/>
      </w:pPr>
      <w:r>
        <w:t>3 가중 로그 손실과 규제</w:t>
      </w:r>
    </w:p>
    <w:p>
      <w:r>
        <w:t>p_i = sigmoid(β₀ + βᵀz_i),  y_i ∈ {0, 1}</w:t>
      </w:r>
    </w:p>
    <w:p>
      <w:r>
        <w:t>ℓ_i = −[y_i log(p_i) + (1 − y_i) log(1 − p_i)]</w:t>
      </w:r>
    </w:p>
    <w:p>
      <w:r>
        <w:t>J = (1/n) Σ a_i ℓ_i + (λ/2) ||β||²</w:t>
      </w:r>
    </w:p>
    <w:p>
      <w:r>
        <w:t>이는 가중 로그 손실과 L2 규제를 설명하는 개념식이다. a_i는 행별 가중치이며 절편은 규제 대상에서 제외한다. 구현에서는 LogisticRegression의 C로 규제 강도를 조정하며 C가 작을수록 규제가 강하다. 구현의 정규화 관례를 확인하지 않고 λ = 1/C라고 단정하지 않는다.</w:t>
      </w:r>
    </w:p>
    <w:p>
      <w:pPr>
        <w:pStyle w:val="Heading1"/>
      </w:pPr>
      <w:r>
        <w:t>클래스 가중치 후보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448"/>
        <w:gridCol w:w="4248"/>
      </w:tblGrid>
      <w:tr>
        <w:trPr>
          <w:cantSplit/>
          <w:tblHeader/>
        </w:trPr>
        <w:tc>
          <w:tcPr>
            <w:tcW w:type="dxa" w:w="1656"/>
            <w:shd w:fill="E8EEF4"/>
            <w:tcMar>
              <w:top w:w="90" w:type="dxa"/>
              <w:left w:w="90" w:type="dxa"/>
              <w:bottom w:w="90" w:type="dxa"/>
              <w:right w:w="90" w:type="dxa"/>
            </w:tcMar>
          </w:tcPr>
          <w:p>
            <w:pPr>
              <w:spacing w:after="60"/>
            </w:pPr>
            <w:r>
              <w:rPr>
                <w:b/>
                <w:sz w:val="19"/>
              </w:rPr>
              <w:t>후보</w:t>
            </w:r>
          </w:p>
        </w:tc>
        <w:tc>
          <w:tcPr>
            <w:tcW w:type="dxa" w:w="2448"/>
            <w:shd w:fill="E8EEF4"/>
            <w:tcMar>
              <w:top w:w="90" w:type="dxa"/>
              <w:left w:w="90" w:type="dxa"/>
              <w:bottom w:w="90" w:type="dxa"/>
              <w:right w:w="90" w:type="dxa"/>
            </w:tcMar>
          </w:tcPr>
          <w:p>
            <w:pPr>
              <w:spacing w:after="60"/>
            </w:pPr>
            <w:r>
              <w:rPr>
                <w:b/>
                <w:sz w:val="19"/>
              </w:rPr>
              <w:t>불량 대 정상 비율 r</w:t>
            </w:r>
          </w:p>
        </w:tc>
        <w:tc>
          <w:tcPr>
            <w:tcW w:type="dxa" w:w="4248"/>
            <w:shd w:fill="E8EEF4"/>
            <w:tcMar>
              <w:top w:w="90" w:type="dxa"/>
              <w:left w:w="90" w:type="dxa"/>
              <w:bottom w:w="90" w:type="dxa"/>
              <w:right w:w="90" w:type="dxa"/>
            </w:tcMar>
          </w:tcPr>
          <w:p>
            <w:pPr>
              <w:spacing w:after="60"/>
            </w:pPr>
            <w:r>
              <w:rPr>
                <w:b/>
                <w:sz w:val="19"/>
              </w:rPr>
              <w:t>목적</w:t>
            </w:r>
          </w:p>
        </w:tc>
      </w:tr>
      <w:tr>
        <w:trPr>
          <w:cantSplit/>
        </w:trPr>
        <w:tc>
          <w:tcPr>
            <w:tcW w:type="dxa" w:w="1656"/>
            <w:shd w:fill="FFFFFF"/>
            <w:tcMar>
              <w:top w:w="90" w:type="dxa"/>
              <w:left w:w="90" w:type="dxa"/>
              <w:bottom w:w="90" w:type="dxa"/>
              <w:right w:w="90" w:type="dxa"/>
            </w:tcMar>
          </w:tcPr>
          <w:p>
            <w:pPr>
              <w:spacing w:after="60"/>
            </w:pPr>
            <w:r>
              <w:rPr>
                <w:b w:val="0"/>
                <w:sz w:val="19"/>
              </w:rPr>
              <w:t>무가중</w:t>
            </w:r>
          </w:p>
        </w:tc>
        <w:tc>
          <w:tcPr>
            <w:tcW w:type="dxa" w:w="2448"/>
            <w:shd w:fill="FFFFFF"/>
            <w:tcMar>
              <w:top w:w="90" w:type="dxa"/>
              <w:left w:w="90" w:type="dxa"/>
              <w:bottom w:w="90" w:type="dxa"/>
              <w:right w:w="90" w:type="dxa"/>
            </w:tcMar>
          </w:tcPr>
          <w:p>
            <w:pPr>
              <w:spacing w:after="60"/>
            </w:pPr>
            <w:r>
              <w:rPr>
                <w:b w:val="0"/>
                <w:sz w:val="19"/>
              </w:rPr>
              <w:t>1</w:t>
            </w:r>
          </w:p>
        </w:tc>
        <w:tc>
          <w:tcPr>
            <w:tcW w:type="dxa" w:w="4248"/>
            <w:shd w:fill="FFFFFF"/>
            <w:tcMar>
              <w:top w:w="90" w:type="dxa"/>
              <w:left w:w="90" w:type="dxa"/>
              <w:bottom w:w="90" w:type="dxa"/>
              <w:right w:w="90" w:type="dxa"/>
            </w:tcMar>
          </w:tcPr>
          <w:p>
            <w:pPr>
              <w:spacing w:after="60"/>
            </w:pPr>
            <w:r>
              <w:rPr>
                <w:b w:val="0"/>
                <w:sz w:val="19"/>
              </w:rPr>
              <w:t>기준 성능 확인</w:t>
            </w:r>
          </w:p>
        </w:tc>
      </w:tr>
      <w:tr>
        <w:trPr>
          <w:cantSplit/>
        </w:trPr>
        <w:tc>
          <w:tcPr>
            <w:tcW w:type="dxa" w:w="1656"/>
            <w:shd w:fill="FFFFFF"/>
            <w:tcMar>
              <w:top w:w="90" w:type="dxa"/>
              <w:left w:w="90" w:type="dxa"/>
              <w:bottom w:w="90" w:type="dxa"/>
              <w:right w:w="90" w:type="dxa"/>
            </w:tcMar>
          </w:tcPr>
          <w:p>
            <w:pPr>
              <w:spacing w:after="60"/>
            </w:pPr>
            <w:r>
              <w:rPr>
                <w:b w:val="0"/>
                <w:sz w:val="19"/>
              </w:rPr>
              <w:t>완화 가중</w:t>
            </w:r>
          </w:p>
        </w:tc>
        <w:tc>
          <w:tcPr>
            <w:tcW w:type="dxa" w:w="2448"/>
            <w:shd w:fill="FFFFFF"/>
            <w:tcMar>
              <w:top w:w="90" w:type="dxa"/>
              <w:left w:w="90" w:type="dxa"/>
              <w:bottom w:w="90" w:type="dxa"/>
              <w:right w:w="90" w:type="dxa"/>
            </w:tcMar>
          </w:tcPr>
          <w:p>
            <w:pPr>
              <w:spacing w:after="60"/>
            </w:pPr>
            <w:r>
              <w:rPr>
                <w:b w:val="0"/>
                <w:sz w:val="19"/>
              </w:rPr>
              <w:t>√(n₀/n₁)</w:t>
            </w:r>
          </w:p>
        </w:tc>
        <w:tc>
          <w:tcPr>
            <w:tcW w:type="dxa" w:w="4248"/>
            <w:shd w:fill="FFFFFF"/>
            <w:tcMar>
              <w:top w:w="90" w:type="dxa"/>
              <w:left w:w="90" w:type="dxa"/>
              <w:bottom w:w="90" w:type="dxa"/>
              <w:right w:w="90" w:type="dxa"/>
            </w:tcMar>
          </w:tcPr>
          <w:p>
            <w:pPr>
              <w:spacing w:after="60"/>
            </w:pPr>
            <w:r>
              <w:rPr>
                <w:b w:val="0"/>
                <w:sz w:val="19"/>
              </w:rPr>
              <w:t>불량 강조를 완만하게 적용</w:t>
            </w:r>
          </w:p>
        </w:tc>
      </w:tr>
      <w:tr>
        <w:trPr>
          <w:cantSplit/>
        </w:trPr>
        <w:tc>
          <w:tcPr>
            <w:tcW w:type="dxa" w:w="1656"/>
            <w:shd w:fill="FFFFFF"/>
            <w:tcMar>
              <w:top w:w="90" w:type="dxa"/>
              <w:left w:w="90" w:type="dxa"/>
              <w:bottom w:w="90" w:type="dxa"/>
              <w:right w:w="90" w:type="dxa"/>
            </w:tcMar>
          </w:tcPr>
          <w:p>
            <w:pPr>
              <w:spacing w:after="60"/>
            </w:pPr>
            <w:r>
              <w:rPr>
                <w:b w:val="0"/>
                <w:sz w:val="19"/>
              </w:rPr>
              <w:t>균형 가중</w:t>
            </w:r>
          </w:p>
        </w:tc>
        <w:tc>
          <w:tcPr>
            <w:tcW w:type="dxa" w:w="2448"/>
            <w:shd w:fill="FFFFFF"/>
            <w:tcMar>
              <w:top w:w="90" w:type="dxa"/>
              <w:left w:w="90" w:type="dxa"/>
              <w:bottom w:w="90" w:type="dxa"/>
              <w:right w:w="90" w:type="dxa"/>
            </w:tcMar>
          </w:tcPr>
          <w:p>
            <w:pPr>
              <w:spacing w:after="60"/>
            </w:pPr>
            <w:r>
              <w:rPr>
                <w:b w:val="0"/>
                <w:sz w:val="19"/>
              </w:rPr>
              <w:t>n₀/n₁</w:t>
            </w:r>
          </w:p>
        </w:tc>
        <w:tc>
          <w:tcPr>
            <w:tcW w:type="dxa" w:w="4248"/>
            <w:shd w:fill="FFFFFF"/>
            <w:tcMar>
              <w:top w:w="90" w:type="dxa"/>
              <w:left w:w="90" w:type="dxa"/>
              <w:bottom w:w="90" w:type="dxa"/>
              <w:right w:w="90" w:type="dxa"/>
            </w:tcMar>
          </w:tcPr>
          <w:p>
            <w:pPr>
              <w:spacing w:after="60"/>
            </w:pPr>
            <w:r>
              <w:rPr>
                <w:b w:val="0"/>
                <w:sz w:val="19"/>
              </w:rPr>
              <w:t>두 클래스 총 가중치 균형</w:t>
            </w:r>
          </w:p>
        </w:tc>
      </w:tr>
    </w:tbl>
    <w:p/>
    <w:p>
      <w:r>
        <w:t>n₀와 n₁은 매번 실제 적합에 사용하는 학습 구간에서 계산한다. 원본 전체 행 기준 비율은 CN7 약 1 / 8.38 / 70.24, RG3 약 1 / 6.80 / 46.28이지만 이 숫자를 모든 fold에 고정하지 않는다. 제곱근 가중치는 중간 비교 후보이며 최적값이라는 근거는 없다.</w:t>
      </w:r>
    </w:p>
    <w:p>
      <w:r>
        <w:t>가중치 평균을 1로 맞추려면 a₀ = n/(n₀ + r n₁), a₁ = r a₀로 설정한다. class_weight={0: a₀, 1: a₁}를 사용하고 sample_weight로 같은 보정을 중복 적용하지 않는다. 균형 가중일 때는 class_weight="balanced"와 같다.</w:t>
      </w:r>
    </w:p>
    <w:p>
      <w:pPr>
        <w:pStyle w:val="Heading1"/>
      </w:pPr>
      <w:r>
        <w:t>낮은 불량 비율과 학습 신호</w:t>
      </w:r>
    </w:p>
    <w:p>
      <w:r>
        <w:t>불량 비율은 초기 예측값이 아니다. 계수와 절편을 0으로 시작하면 초기 예측은 0.5이며, 로그 손실의 선형 점수에 대한 기울기는 p_i − y_i이다. 실제 불량에 0.02를 예측하면 기울기는 −0.98이므로 학습 신호가 사라지지 않는다. 가중 손실에서는 이 값에 a_i가 곱해진다.</w:t>
      </w:r>
    </w:p>
    <w:p>
      <w:r>
        <w:t>가중치는 불량의 학습 영향력을 높이지만 새로운 불량 패턴을 만들지는 않는다. focal loss와 같은 추가 재구성은 상충 라벨까지 강조할 가능성이 있으므로 첫 실험에서는 제외한다. 가중 모델의 출력은 실제 불량 발생 확률로 바로 해석하지 않고 예측 점수로 사용한다.</w:t>
      </w:r>
    </w:p>
    <w:p>
      <w:r>
        <w:br w:type="page"/>
      </w:r>
    </w:p>
    <w:p>
      <w:pPr>
        <w:pStyle w:val="Heading1"/>
      </w:pPr>
      <w:r>
        <w:t>4 모델 선택과 불량 판정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6336"/>
      </w:tblGrid>
      <w:tr>
        <w:trPr>
          <w:cantSplit/>
          <w:tblHeader/>
        </w:trPr>
        <w:tc>
          <w:tcPr>
            <w:tcW w:type="dxa" w:w="2016"/>
            <w:shd w:fill="E8EEF4"/>
            <w:tcMar>
              <w:top w:w="90" w:type="dxa"/>
              <w:left w:w="90" w:type="dxa"/>
              <w:bottom w:w="90" w:type="dxa"/>
              <w:right w:w="90" w:type="dxa"/>
            </w:tcMar>
          </w:tcPr>
          <w:p>
            <w:pPr>
              <w:spacing w:after="60"/>
            </w:pPr>
            <w:r>
              <w:rPr>
                <w:b/>
                <w:sz w:val="19"/>
              </w:rPr>
              <w:t>설정</w:t>
            </w:r>
          </w:p>
        </w:tc>
        <w:tc>
          <w:tcPr>
            <w:tcW w:type="dxa" w:w="6336"/>
            <w:shd w:fill="E8EEF4"/>
            <w:tcMar>
              <w:top w:w="90" w:type="dxa"/>
              <w:left w:w="90" w:type="dxa"/>
              <w:bottom w:w="90" w:type="dxa"/>
              <w:right w:w="90" w:type="dxa"/>
            </w:tcMar>
          </w:tcPr>
          <w:p>
            <w:pPr>
              <w:spacing w:after="60"/>
            </w:pPr>
            <w:r>
              <w:rPr>
                <w:b/>
                <w:sz w:val="19"/>
              </w:rPr>
              <w:t>초기 실험안</w:t>
            </w:r>
          </w:p>
        </w:tc>
      </w:tr>
      <w:tr>
        <w:trPr>
          <w:cantSplit/>
        </w:trPr>
        <w:tc>
          <w:tcPr>
            <w:tcW w:type="dxa" w:w="2016"/>
            <w:shd w:fill="FFFFFF"/>
            <w:tcMar>
              <w:top w:w="90" w:type="dxa"/>
              <w:left w:w="90" w:type="dxa"/>
              <w:bottom w:w="90" w:type="dxa"/>
              <w:right w:w="90" w:type="dxa"/>
            </w:tcMar>
          </w:tcPr>
          <w:p>
            <w:pPr>
              <w:spacing w:after="60"/>
            </w:pPr>
            <w:r>
              <w:rPr>
                <w:b w:val="0"/>
                <w:sz w:val="19"/>
              </w:rPr>
              <w:t>파이프라인</w:t>
            </w:r>
          </w:p>
        </w:tc>
        <w:tc>
          <w:tcPr>
            <w:tcW w:type="dxa" w:w="6336"/>
            <w:shd w:fill="FFFFFF"/>
            <w:tcMar>
              <w:top w:w="90" w:type="dxa"/>
              <w:left w:w="90" w:type="dxa"/>
              <w:bottom w:w="90" w:type="dxa"/>
              <w:right w:w="90" w:type="dxa"/>
            </w:tcMar>
          </w:tcPr>
          <w:p>
            <w:pPr>
              <w:spacing w:after="60"/>
            </w:pPr>
            <w:r>
              <w:rPr>
                <w:b w:val="0"/>
                <w:sz w:val="19"/>
              </w:rPr>
              <w:t>상수 제거 → StandardScaler → LogisticRegression</w:t>
            </w:r>
          </w:p>
        </w:tc>
      </w:tr>
      <w:tr>
        <w:trPr>
          <w:cantSplit/>
        </w:trPr>
        <w:tc>
          <w:tcPr>
            <w:tcW w:type="dxa" w:w="2016"/>
            <w:shd w:fill="FFFFFF"/>
            <w:tcMar>
              <w:top w:w="90" w:type="dxa"/>
              <w:left w:w="90" w:type="dxa"/>
              <w:bottom w:w="90" w:type="dxa"/>
              <w:right w:w="90" w:type="dxa"/>
            </w:tcMar>
          </w:tcPr>
          <w:p>
            <w:pPr>
              <w:spacing w:after="60"/>
            </w:pPr>
            <w:r>
              <w:rPr>
                <w:b w:val="0"/>
                <w:sz w:val="19"/>
              </w:rPr>
              <w:t>규제와 최적화</w:t>
            </w:r>
          </w:p>
        </w:tc>
        <w:tc>
          <w:tcPr>
            <w:tcW w:type="dxa" w:w="6336"/>
            <w:shd w:fill="FFFFFF"/>
            <w:tcMar>
              <w:top w:w="90" w:type="dxa"/>
              <w:left w:w="90" w:type="dxa"/>
              <w:bottom w:w="90" w:type="dxa"/>
              <w:right w:w="90" w:type="dxa"/>
            </w:tcMar>
          </w:tcPr>
          <w:p>
            <w:pPr>
              <w:spacing w:after="60"/>
            </w:pPr>
            <w:r>
              <w:rPr>
                <w:b w:val="0"/>
                <w:sz w:val="19"/>
              </w:rPr>
              <w:t>L2 규제, lbfgs, max_iter=3000</w:t>
            </w:r>
          </w:p>
        </w:tc>
      </w:tr>
      <w:tr>
        <w:trPr>
          <w:cantSplit/>
        </w:trPr>
        <w:tc>
          <w:tcPr>
            <w:tcW w:type="dxa" w:w="2016"/>
            <w:shd w:fill="FFFFFF"/>
            <w:tcMar>
              <w:top w:w="90" w:type="dxa"/>
              <w:left w:w="90" w:type="dxa"/>
              <w:bottom w:w="90" w:type="dxa"/>
              <w:right w:w="90" w:type="dxa"/>
            </w:tcMar>
          </w:tcPr>
          <w:p>
            <w:pPr>
              <w:spacing w:after="60"/>
            </w:pPr>
            <w:r>
              <w:rPr>
                <w:b w:val="0"/>
                <w:sz w:val="19"/>
              </w:rPr>
              <w:t>C 후보</w:t>
            </w:r>
          </w:p>
        </w:tc>
        <w:tc>
          <w:tcPr>
            <w:tcW w:type="dxa" w:w="6336"/>
            <w:shd w:fill="FFFFFF"/>
            <w:tcMar>
              <w:top w:w="90" w:type="dxa"/>
              <w:left w:w="90" w:type="dxa"/>
              <w:bottom w:w="90" w:type="dxa"/>
              <w:right w:w="90" w:type="dxa"/>
            </w:tcMar>
          </w:tcPr>
          <w:p>
            <w:pPr>
              <w:spacing w:after="60"/>
            </w:pPr>
            <w:r>
              <w:rPr>
                <w:b w:val="0"/>
                <w:sz w:val="19"/>
              </w:rPr>
              <w:t>0.01, 0.1, 1, 10</w:t>
            </w:r>
          </w:p>
        </w:tc>
      </w:tr>
      <w:tr>
        <w:trPr>
          <w:cantSplit/>
        </w:trPr>
        <w:tc>
          <w:tcPr>
            <w:tcW w:type="dxa" w:w="2016"/>
            <w:shd w:fill="FFFFFF"/>
            <w:tcMar>
              <w:top w:w="90" w:type="dxa"/>
              <w:left w:w="90" w:type="dxa"/>
              <w:bottom w:w="90" w:type="dxa"/>
              <w:right w:w="90" w:type="dxa"/>
            </w:tcMar>
          </w:tcPr>
          <w:p>
            <w:pPr>
              <w:spacing w:after="60"/>
            </w:pPr>
            <w:r>
              <w:rPr>
                <w:b w:val="0"/>
                <w:sz w:val="19"/>
              </w:rPr>
              <w:t>가중치 후보</w:t>
            </w:r>
          </w:p>
        </w:tc>
        <w:tc>
          <w:tcPr>
            <w:tcW w:type="dxa" w:w="6336"/>
            <w:shd w:fill="FFFFFF"/>
            <w:tcMar>
              <w:top w:w="90" w:type="dxa"/>
              <w:left w:w="90" w:type="dxa"/>
              <w:bottom w:w="90" w:type="dxa"/>
              <w:right w:w="90" w:type="dxa"/>
            </w:tcMar>
          </w:tcPr>
          <w:p>
            <w:pPr>
              <w:spacing w:after="60"/>
            </w:pPr>
            <w:r>
              <w:rPr>
                <w:b w:val="0"/>
                <w:sz w:val="19"/>
              </w:rPr>
              <w:t>무가중, 제곱근 가중, 균형 가중</w:t>
            </w:r>
          </w:p>
        </w:tc>
      </w:tr>
      <w:tr>
        <w:trPr>
          <w:cantSplit/>
        </w:trPr>
        <w:tc>
          <w:tcPr>
            <w:tcW w:type="dxa" w:w="2016"/>
            <w:shd w:fill="FFFFFF"/>
            <w:tcMar>
              <w:top w:w="90" w:type="dxa"/>
              <w:left w:w="90" w:type="dxa"/>
              <w:bottom w:w="90" w:type="dxa"/>
              <w:right w:w="90" w:type="dxa"/>
            </w:tcMar>
          </w:tcPr>
          <w:p>
            <w:pPr>
              <w:spacing w:after="60"/>
            </w:pPr>
            <w:r>
              <w:rPr>
                <w:b w:val="0"/>
                <w:sz w:val="19"/>
              </w:rPr>
              <w:t>비교 규모</w:t>
            </w:r>
          </w:p>
        </w:tc>
        <w:tc>
          <w:tcPr>
            <w:tcW w:type="dxa" w:w="6336"/>
            <w:shd w:fill="FFFFFF"/>
            <w:tcMar>
              <w:top w:w="90" w:type="dxa"/>
              <w:left w:w="90" w:type="dxa"/>
              <w:bottom w:w="90" w:type="dxa"/>
              <w:right w:w="90" w:type="dxa"/>
            </w:tcMar>
          </w:tcPr>
          <w:p>
            <w:pPr>
              <w:spacing w:after="60"/>
            </w:pPr>
            <w:r>
              <w:rPr>
                <w:b w:val="0"/>
                <w:sz w:val="19"/>
              </w:rPr>
              <w:t>가중치 3종 × C 4종 = 12개 설정</w:t>
            </w:r>
          </w:p>
        </w:tc>
      </w:tr>
      <w:tr>
        <w:trPr>
          <w:cantSplit/>
        </w:trPr>
        <w:tc>
          <w:tcPr>
            <w:tcW w:type="dxa" w:w="2016"/>
            <w:shd w:fill="FFFFFF"/>
            <w:tcMar>
              <w:top w:w="90" w:type="dxa"/>
              <w:left w:w="90" w:type="dxa"/>
              <w:bottom w:w="90" w:type="dxa"/>
              <w:right w:w="90" w:type="dxa"/>
            </w:tcMar>
          </w:tcPr>
          <w:p>
            <w:pPr>
              <w:spacing w:after="60"/>
            </w:pPr>
            <w:r>
              <w:rPr>
                <w:b w:val="0"/>
                <w:sz w:val="19"/>
              </w:rPr>
              <w:t>설정 선택</w:t>
            </w:r>
          </w:p>
        </w:tc>
        <w:tc>
          <w:tcPr>
            <w:tcW w:type="dxa" w:w="6336"/>
            <w:shd w:fill="FFFFFF"/>
            <w:tcMar>
              <w:top w:w="90" w:type="dxa"/>
              <w:left w:w="90" w:type="dxa"/>
              <w:bottom w:w="90" w:type="dxa"/>
              <w:right w:w="90" w:type="dxa"/>
            </w:tcMar>
          </w:tcPr>
          <w:p>
            <w:pPr>
              <w:spacing w:after="60"/>
            </w:pPr>
            <w:r>
              <w:rPr>
                <w:b w:val="0"/>
                <w:sz w:val="19"/>
              </w:rPr>
              <w:t>내부 검증 fold의 평균 Average Precision 최대</w:t>
            </w:r>
          </w:p>
        </w:tc>
      </w:tr>
      <w:tr>
        <w:trPr>
          <w:cantSplit/>
        </w:trPr>
        <w:tc>
          <w:tcPr>
            <w:tcW w:type="dxa" w:w="2016"/>
            <w:shd w:fill="FFFFFF"/>
            <w:tcMar>
              <w:top w:w="90" w:type="dxa"/>
              <w:left w:w="90" w:type="dxa"/>
              <w:bottom w:w="90" w:type="dxa"/>
              <w:right w:w="90" w:type="dxa"/>
            </w:tcMar>
          </w:tcPr>
          <w:p>
            <w:pPr>
              <w:spacing w:after="60"/>
            </w:pPr>
            <w:r>
              <w:rPr>
                <w:b w:val="0"/>
                <w:sz w:val="19"/>
              </w:rPr>
              <w:t>임계값 선택</w:t>
            </w:r>
          </w:p>
        </w:tc>
        <w:tc>
          <w:tcPr>
            <w:tcW w:type="dxa" w:w="6336"/>
            <w:shd w:fill="FFFFFF"/>
            <w:tcMar>
              <w:top w:w="90" w:type="dxa"/>
              <w:left w:w="90" w:type="dxa"/>
              <w:bottom w:w="90" w:type="dxa"/>
              <w:right w:w="90" w:type="dxa"/>
            </w:tcMar>
          </w:tcPr>
          <w:p>
            <w:pPr>
              <w:spacing w:after="60"/>
            </w:pPr>
            <w:r>
              <w:rPr>
                <w:b w:val="0"/>
                <w:sz w:val="19"/>
              </w:rPr>
              <w:t>선택된 설정의 내부 OOF 예측에서 F2 최대</w:t>
            </w:r>
          </w:p>
        </w:tc>
      </w:tr>
    </w:tbl>
    <w:p/>
    <w:p>
      <w:r>
        <w:t>C 범위와 반복 횟수는 초기 실행안이다. 수렴 경고가 발생하면 스케일과 수렴 상태를 확인하고 반복 횟수를 늘린다. 평균 AP가 동률이면 작은 C를 우선하고, 그다음 약한 클래스 가중치를 선택하는 규칙을 미리 고정한다. AP는 평균 정밀도이며 사다리꼴 적분 PR AUC와 혼용하지 않는다.</w:t>
      </w:r>
    </w:p>
    <w:p>
      <w:pPr>
        <w:pStyle w:val="Heading1"/>
      </w:pPr>
      <w:r>
        <w:t>임계값 결정 순서</w:t>
      </w:r>
    </w:p>
    <w:p>
      <w:r>
        <w:t>선택된 설정으로 내부 검증 예측을 모은다. 가능한 점수 경계에서 F2를 계산하고 최대값의 임계값을 선택한다. F2가 동률이면 Precision이 높은 임계값, 이후 더 높은 임계값을 선택한다. 선택한 설정으로 외부 학습 전체를 재학습한 뒤, 정해둔 임계값을 외부 검증에 그대로 적용한다.</w:t>
      </w:r>
    </w:p>
    <w:p>
      <w:r>
        <w:t>F2 = 5 × Precision × Recall / (4 × Precision + Recall)</w:t>
      </w:r>
    </w:p>
    <w:p>
      <w:r>
        <w:t>F2는 불량 누락을 더 중시하는 현재 목적에 맞춘 제안이다. 실제 오탐 허용량이 정해지면 그 제약 아래 Recall을 최대화하는 기준으로 바꿀 수 있다. 가중치와 임계값은 모두 검출률에 영향을 주므로, 외부 검증 결과를 보고 반복적으로 선택하지 않는다.</w:t>
      </w:r>
    </w:p>
    <w:p>
      <w:pPr>
        <w:pStyle w:val="Heading1"/>
      </w:pPr>
      <w:r>
        <w:t>결과 보고와 최종 적합</w:t>
      </w:r>
    </w:p>
    <w:p>
      <w:r>
        <w:t>각 외부 fold의 AP, Precision, Recall, F1, F2, TP·FP·FN·TN을 기록한다. 네 fold의 평균과 표준편차 및 전체 OOF 예측을 합친 결과를 함께 제시한다. fold별 임계값이 다르므로 전체 분류 지표는 각 행이 속한 fold의 판정을 합쳐 계산한다. 정확도는 보조 지표로 둔다.</w:t>
      </w:r>
    </w:p>
    <w:p>
      <w:r>
        <w:t>기준 비교는 무가중 모델의 임계값 0.5, 무가중 모델의 내부 선택 임계값, 가중 모델의 내부 선택 임계값으로 구성한다. 평가 종료 후에는 전체 라벨 데이터의 그룹 교차검증으로 설정과 임계값을 다시 정하고 최종 모델을 적합한다. 외부 평가 점수와 최종 모델의 학습 점수를 구분한다.</w:t>
      </w:r>
    </w:p>
    <w:p>
      <w:r>
        <w:br w:type="page"/>
      </w:r>
    </w:p>
    <w:p>
      <w:pPr>
        <w:pStyle w:val="Heading1"/>
      </w:pPr>
      <w:r>
        <w:t>5 행별 손실과 예측 확률 시각화</w:t>
      </w:r>
    </w:p>
    <w:p>
      <w:r>
        <w:t>외부 검증 예측을 원본 행 순서로 모아 모든 행에 하나의 OOF 점수를 부여한다. 각 점은 해당 행과 동일 입력 패턴을 학습에서 제외한 모델의 결과이다. 실제 학습 결과가 나오기 전에는 예시 점을 실측 결과처럼 표시하지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6336"/>
      </w:tblGrid>
      <w:tr>
        <w:trPr>
          <w:cantSplit/>
          <w:tblHeader/>
        </w:trPr>
        <w:tc>
          <w:tcPr>
            <w:tcW w:type="dxa" w:w="2016"/>
            <w:shd w:fill="E8EEF4"/>
            <w:tcMar>
              <w:top w:w="90" w:type="dxa"/>
              <w:left w:w="90" w:type="dxa"/>
              <w:bottom w:w="90" w:type="dxa"/>
              <w:right w:w="90" w:type="dxa"/>
            </w:tcMar>
          </w:tcPr>
          <w:p>
            <w:pPr>
              <w:spacing w:after="60"/>
            </w:pPr>
            <w:r>
              <w:rPr>
                <w:b/>
                <w:sz w:val="19"/>
              </w:rPr>
              <w:t>항목</w:t>
            </w:r>
          </w:p>
        </w:tc>
        <w:tc>
          <w:tcPr>
            <w:tcW w:type="dxa" w:w="6336"/>
            <w:shd w:fill="E8EEF4"/>
            <w:tcMar>
              <w:top w:w="90" w:type="dxa"/>
              <w:left w:w="90" w:type="dxa"/>
              <w:bottom w:w="90" w:type="dxa"/>
              <w:right w:w="90" w:type="dxa"/>
            </w:tcMar>
          </w:tcPr>
          <w:p>
            <w:pPr>
              <w:spacing w:after="60"/>
            </w:pPr>
            <w:r>
              <w:rPr>
                <w:b/>
                <w:sz w:val="19"/>
              </w:rPr>
              <w:t>그래프 설계</w:t>
            </w:r>
          </w:p>
        </w:tc>
      </w:tr>
      <w:tr>
        <w:trPr>
          <w:cantSplit/>
        </w:trPr>
        <w:tc>
          <w:tcPr>
            <w:tcW w:type="dxa" w:w="2016"/>
            <w:shd w:fill="FFFFFF"/>
            <w:tcMar>
              <w:top w:w="90" w:type="dxa"/>
              <w:left w:w="90" w:type="dxa"/>
              <w:bottom w:w="90" w:type="dxa"/>
              <w:right w:w="90" w:type="dxa"/>
            </w:tcMar>
          </w:tcPr>
          <w:p>
            <w:pPr>
              <w:spacing w:after="60"/>
            </w:pPr>
            <w:r>
              <w:rPr>
                <w:b w:val="0"/>
                <w:sz w:val="19"/>
              </w:rPr>
              <w:t>X축</w:t>
            </w:r>
          </w:p>
        </w:tc>
        <w:tc>
          <w:tcPr>
            <w:tcW w:type="dxa" w:w="6336"/>
            <w:shd w:fill="FFFFFF"/>
            <w:tcMar>
              <w:top w:w="90" w:type="dxa"/>
              <w:left w:w="90" w:type="dxa"/>
              <w:bottom w:w="90" w:type="dxa"/>
              <w:right w:w="90" w:type="dxa"/>
            </w:tcMar>
          </w:tcPr>
          <w:p>
            <w:pPr>
              <w:spacing w:after="60"/>
            </w:pPr>
            <w:r>
              <w:rPr>
                <w:b w:val="0"/>
                <w:sz w:val="19"/>
              </w:rPr>
              <w:t>OOF 불량 예측 점수 p_i, 범위 0~1</w:t>
            </w:r>
          </w:p>
        </w:tc>
      </w:tr>
      <w:tr>
        <w:trPr>
          <w:cantSplit/>
        </w:trPr>
        <w:tc>
          <w:tcPr>
            <w:tcW w:type="dxa" w:w="2016"/>
            <w:shd w:fill="FFFFFF"/>
            <w:tcMar>
              <w:top w:w="90" w:type="dxa"/>
              <w:left w:w="90" w:type="dxa"/>
              <w:bottom w:w="90" w:type="dxa"/>
              <w:right w:w="90" w:type="dxa"/>
            </w:tcMar>
          </w:tcPr>
          <w:p>
            <w:pPr>
              <w:spacing w:after="60"/>
            </w:pPr>
            <w:r>
              <w:rPr>
                <w:b w:val="0"/>
                <w:sz w:val="19"/>
              </w:rPr>
              <w:t>Y축</w:t>
            </w:r>
          </w:p>
        </w:tc>
        <w:tc>
          <w:tcPr>
            <w:tcW w:type="dxa" w:w="6336"/>
            <w:shd w:fill="FFFFFF"/>
            <w:tcMar>
              <w:top w:w="90" w:type="dxa"/>
              <w:left w:w="90" w:type="dxa"/>
              <w:bottom w:w="90" w:type="dxa"/>
              <w:right w:w="90" w:type="dxa"/>
            </w:tcMar>
          </w:tcPr>
          <w:p>
            <w:pPr>
              <w:spacing w:after="60"/>
            </w:pPr>
            <w:r>
              <w:rPr>
                <w:b w:val="0"/>
                <w:sz w:val="19"/>
              </w:rPr>
              <w:t>가중치 적용 전 행별 로그 손실 ℓ_i</w:t>
            </w:r>
          </w:p>
        </w:tc>
      </w:tr>
      <w:tr>
        <w:trPr>
          <w:cantSplit/>
        </w:trPr>
        <w:tc>
          <w:tcPr>
            <w:tcW w:type="dxa" w:w="2016"/>
            <w:shd w:fill="FFFFFF"/>
            <w:tcMar>
              <w:top w:w="90" w:type="dxa"/>
              <w:left w:w="90" w:type="dxa"/>
              <w:bottom w:w="90" w:type="dxa"/>
              <w:right w:w="90" w:type="dxa"/>
            </w:tcMar>
          </w:tcPr>
          <w:p>
            <w:pPr>
              <w:spacing w:after="60"/>
            </w:pPr>
            <w:r>
              <w:rPr>
                <w:b w:val="0"/>
                <w:sz w:val="19"/>
              </w:rPr>
              <w:t>색상</w:t>
            </w:r>
          </w:p>
        </w:tc>
        <w:tc>
          <w:tcPr>
            <w:tcW w:type="dxa" w:w="6336"/>
            <w:shd w:fill="FFFFFF"/>
            <w:tcMar>
              <w:top w:w="90" w:type="dxa"/>
              <w:left w:w="90" w:type="dxa"/>
              <w:bottom w:w="90" w:type="dxa"/>
              <w:right w:w="90" w:type="dxa"/>
            </w:tcMar>
          </w:tcPr>
          <w:p>
            <w:pPr>
              <w:spacing w:after="60"/>
            </w:pPr>
            <w:r>
              <w:rPr>
                <w:b w:val="0"/>
                <w:sz w:val="19"/>
              </w:rPr>
              <w:t>실제 정상은 파랑, 실제 불량은 빨강</w:t>
            </w:r>
          </w:p>
        </w:tc>
      </w:tr>
      <w:tr>
        <w:trPr>
          <w:cantSplit/>
        </w:trPr>
        <w:tc>
          <w:tcPr>
            <w:tcW w:type="dxa" w:w="2016"/>
            <w:shd w:fill="FFFFFF"/>
            <w:tcMar>
              <w:top w:w="90" w:type="dxa"/>
              <w:left w:w="90" w:type="dxa"/>
              <w:bottom w:w="90" w:type="dxa"/>
              <w:right w:w="90" w:type="dxa"/>
            </w:tcMar>
          </w:tcPr>
          <w:p>
            <w:pPr>
              <w:spacing w:after="60"/>
            </w:pPr>
            <w:r>
              <w:rPr>
                <w:b w:val="0"/>
                <w:sz w:val="19"/>
              </w:rPr>
              <w:t>패널</w:t>
            </w:r>
          </w:p>
        </w:tc>
        <w:tc>
          <w:tcPr>
            <w:tcW w:type="dxa" w:w="6336"/>
            <w:shd w:fill="FFFFFF"/>
            <w:tcMar>
              <w:top w:w="90" w:type="dxa"/>
              <w:left w:w="90" w:type="dxa"/>
              <w:bottom w:w="90" w:type="dxa"/>
              <w:right w:w="90" w:type="dxa"/>
            </w:tcMar>
          </w:tcPr>
          <w:p>
            <w:pPr>
              <w:spacing w:after="60"/>
            </w:pPr>
            <w:r>
              <w:rPr>
                <w:b w:val="0"/>
                <w:sz w:val="19"/>
              </w:rPr>
              <w:t>외부 fold별 4개 패널과 전체 통합 그림</w:t>
            </w:r>
          </w:p>
        </w:tc>
      </w:tr>
      <w:tr>
        <w:trPr>
          <w:cantSplit/>
        </w:trPr>
        <w:tc>
          <w:tcPr>
            <w:tcW w:type="dxa" w:w="2016"/>
            <w:shd w:fill="FFFFFF"/>
            <w:tcMar>
              <w:top w:w="90" w:type="dxa"/>
              <w:left w:w="90" w:type="dxa"/>
              <w:bottom w:w="90" w:type="dxa"/>
              <w:right w:w="90" w:type="dxa"/>
            </w:tcMar>
          </w:tcPr>
          <w:p>
            <w:pPr>
              <w:spacing w:after="60"/>
            </w:pPr>
            <w:r>
              <w:rPr>
                <w:b w:val="0"/>
                <w:sz w:val="19"/>
              </w:rPr>
              <w:t>임계값</w:t>
            </w:r>
          </w:p>
        </w:tc>
        <w:tc>
          <w:tcPr>
            <w:tcW w:type="dxa" w:w="6336"/>
            <w:shd w:fill="FFFFFF"/>
            <w:tcMar>
              <w:top w:w="90" w:type="dxa"/>
              <w:left w:w="90" w:type="dxa"/>
              <w:bottom w:w="90" w:type="dxa"/>
              <w:right w:w="90" w:type="dxa"/>
            </w:tcMar>
          </w:tcPr>
          <w:p>
            <w:pPr>
              <w:spacing w:after="60"/>
            </w:pPr>
            <w:r>
              <w:rPr>
                <w:b w:val="0"/>
                <w:sz w:val="19"/>
              </w:rPr>
              <w:t>fold별 패널에 해당 임계값 세로 점선</w:t>
            </w:r>
          </w:p>
        </w:tc>
      </w:tr>
      <w:tr>
        <w:trPr>
          <w:cantSplit/>
        </w:trPr>
        <w:tc>
          <w:tcPr>
            <w:tcW w:type="dxa" w:w="2016"/>
            <w:shd w:fill="FFFFFF"/>
            <w:tcMar>
              <w:top w:w="90" w:type="dxa"/>
              <w:left w:w="90" w:type="dxa"/>
              <w:bottom w:w="90" w:type="dxa"/>
              <w:right w:w="90" w:type="dxa"/>
            </w:tcMar>
          </w:tcPr>
          <w:p>
            <w:pPr>
              <w:spacing w:after="60"/>
            </w:pPr>
            <w:r>
              <w:rPr>
                <w:b w:val="0"/>
                <w:sz w:val="19"/>
              </w:rPr>
              <w:t>겹침 처리</w:t>
            </w:r>
          </w:p>
        </w:tc>
        <w:tc>
          <w:tcPr>
            <w:tcW w:type="dxa" w:w="6336"/>
            <w:shd w:fill="FFFFFF"/>
            <w:tcMar>
              <w:top w:w="90" w:type="dxa"/>
              <w:left w:w="90" w:type="dxa"/>
              <w:bottom w:w="90" w:type="dxa"/>
              <w:right w:w="90" w:type="dxa"/>
            </w:tcMar>
          </w:tcPr>
          <w:p>
            <w:pPr>
              <w:spacing w:after="60"/>
            </w:pPr>
            <w:r>
              <w:rPr>
                <w:b w:val="0"/>
                <w:sz w:val="19"/>
              </w:rPr>
              <w:t>투명도 또는 동일 좌표의 관측 개수 표시</w:t>
            </w:r>
          </w:p>
        </w:tc>
      </w:tr>
    </w:tbl>
    <w:p/>
    <w:p>
      <w:r>
        <w:t>왼쪽 위의 빨간 점은 불량에 낮은 점수를 준 사례이고, 오른쪽 위의 파란 점은 정상에 높은 점수를 준 사례이다. 아래쪽 점은 실제 라벨에 부합하는 예측이다. 손실은 라벨과 예측 점수로 결정되므로 정상·불량 두 곡선 위에 놓이며, 이 곡선 모양 자체가 모델의 우수성을 뜻하지는 않는다.</w:t>
      </w:r>
    </w:p>
    <w:p>
      <w:r>
        <w:t>가중 손실 a_iℓ_i는 별도 그림에 표시한다. 외부 학습에서 결정된 클래스 가중치를 해당 외부 검증 행에 적용하여 비용 관점의 진단값으로 계산한다. 이는 실제 학습 중 관측된 손실이 아니며, 가중치가 다른 모델·fold의 원시 가중 손실만으로 예측 성능 순위를 정하지 않는다. L2 규제항은 행에 나누어 넣지 않는다.</w:t>
      </w:r>
    </w:p>
    <w:p>
      <w:r>
        <w:t>통합 그림에는 단일 임계값을 그리지 않는다. 정상·불량별 점수 분포와 PR 곡선을 보조 그림으로 제공한다. 원본 행 번호는 시간으로 확인되지 않았으므로 시간 축처럼 연결하지 않는다. 학습 진행에 따른 손실 감소를 보고 싶다면 별도의 반복별 학습 기록이 필요하다.</w:t>
      </w:r>
    </w:p>
    <w:p>
      <w:pPr>
        <w:pStyle w:val="Heading1"/>
      </w:pPr>
      <w:r>
        <w:t>저장할 결과와 해석 범위</w:t>
      </w:r>
    </w:p>
    <w:p>
      <w:r>
        <w:t>행별 결과는 source_id, pattern_id, outer_fold, y_true, p_oof, threshold, y_pred, log_loss, class_weight, weighted_log_loss로 저장한다. log 계산에서는 수치 오류 방지를 위해 확률을 작은 ε와 1−ε 사이로 제한한다. 상충 패턴 여부와 불량 전용 여부는 사후 분석용 메타데이터로만 연결한다.</w:t>
      </w:r>
    </w:p>
    <w:p>
      <w:r>
        <w:t>CN7은 불량 전용 패턴과 상충 패턴의 탐지 결과를 분리해서 보고한다. RG3는 같은 입력의 정상·불량을 함께 확인하여 누락 감소가 오탐 증가와 어떻게 연결되는지 설명한다. 전체 데이터 EDA를 이미 수행했으므로 교차검증 결과는 개발 단계의 근거로 해석하고 향후 독립 데이터에서 재확인한다.</w:t>
      </w:r>
    </w:p>
    <w:p>
      <w:r>
        <w:br w:type="page"/>
      </w:r>
    </w:p>
    <w:p>
      <w:pPr>
        <w:pStyle w:val="Heading1"/>
      </w:pPr>
      <w:r>
        <w:t>6 실행 순서와 참고 자료</w:t>
      </w:r>
    </w:p>
    <w:p>
      <w:r>
        <w:t>1. 원본 라벨과 24개 입력을 확인하고 pattern_id를 고정한다.</w:t>
      </w:r>
    </w:p>
    <w:p>
      <w:r>
        <w:t>2. 두 데이터셋 각각 외부 4-fold를 생성하고 라벨 수와 그룹 누수를 확인한다.</w:t>
      </w:r>
    </w:p>
    <w:p>
      <w:r>
        <w:t>3. 외부 학습 구간마다 내부 2-fold를 구성한다. 전처리와 클래스 가중치는 내부 학습에서만 추정한다.</w:t>
      </w:r>
    </w:p>
    <w:p>
      <w:r>
        <w:t>4. 12개 설정을 내부 AP로 비교하고, 선택된 설정의 내부 OOF 점수로 F2 임계값을 결정한다.</w:t>
      </w:r>
    </w:p>
    <w:p>
      <w:r>
        <w:t>5. 외부 학습 전체로 재적합하여 외부 검증 점수와 판정을 저장한다.</w:t>
      </w:r>
    </w:p>
    <w:p>
      <w:r>
        <w:t>6. OOF 평가표, 행별 손실 그래프, 점수 분포와 PR 곡선을 생성하고 실패 사례를 검토한다.</w:t>
      </w:r>
    </w:p>
    <w:p>
      <w:r>
        <w:t>7. 평가를 정리한 뒤 전체 라벨 데이터로 최종 모델과 임계값을 결정한다.</w:t>
      </w:r>
    </w:p>
    <w:p>
      <w:pPr>
        <w:pStyle w:val="Heading1"/>
      </w:pPr>
      <w:r>
        <w:t>재현성을 위한 기록</w:t>
      </w:r>
    </w:p>
    <w:p>
      <w:r>
        <w:t>데이터 파일 해시, 라이브러리 버전, 분할 seed, pattern_id와 fold 매핑, 후보 설정, 선택된 C·가중치·임계값, 수렴 여부를 저장한다. 4-fold 분할은 이후 모델 비교에도 동일하게 재사용한다. fold 수나 seed를 성능이 좋아지는 방향으로 사후 선택하지 않는다.</w:t>
      </w:r>
    </w:p>
    <w:p>
      <w:pPr>
        <w:pStyle w:val="Heading1"/>
      </w:pPr>
      <w:r>
        <w:t>근거 자료</w:t>
      </w:r>
    </w:p>
    <w:p>
      <w:r>
        <w:t>프로젝트 데이터: data/origin/moldset_labeled_cn7.csv 및 moldset_labeled_rg3.csv. 행 수와 클래스 수는 문서 생성 시 재확인하였다.</w:t>
      </w:r>
    </w:p>
    <w:p>
      <w:r>
        <w:t>프로젝트 전처리: data/processed/cn7 및 rg3의 preprocessing_manifest.json과 fold_summary.csv. 현재 파일의 3-fold와 본 문서의 4-fold 설계를 구분하였다.</w:t>
      </w:r>
    </w:p>
    <w:p>
      <w:r>
        <w:t>제공 자료: 04. Guidebook_Molding-압축됨.pdf. 사전 검토에서 확인한 파일별 표준화 설명을 반영하였다.</w:t>
      </w:r>
    </w:p>
    <w:p>
      <w:r>
        <w:t>scikit-learn LogisticRegression: https://scikit-learn.org/stable/modules/generated/sklearn.linear_model.LogisticRegression.html</w:t>
      </w:r>
    </w:p>
    <w:p>
      <w:r>
        <w:t>scikit-learn StandardScaler: https://scikit-learn.org/stable/modules/generated/sklearn.preprocessing.StandardScaler.html</w:t>
      </w:r>
    </w:p>
    <w:p>
      <w:r>
        <w:t>scikit-learn StratifiedGroupKFold: https://scikit-learn.org/stable/modules/generated/sklearn.model_selection.StratifiedGroupKFold.html</w:t>
      </w:r>
    </w:p>
    <w:p>
      <w:r>
        <w:t>scikit-learn 임계값 조정: https://scikit-learn.org/stable/modules/classification_threshold.html</w:t>
      </w:r>
    </w:p>
    <w:sectPr w:rsidR="00FC693F" w:rsidRPr="0006063C" w:rsidSect="00034616">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83" w:lineRule="auto"/>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83"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83"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83" w:lineRule="auto"/>
    </w:pPr>
    <w:rPr>
      <w:rFonts w:asciiTheme="majorHAnsi" w:eastAsiaTheme="majorEastAsia" w:hAnsiTheme="majorHAnsi" w:cstheme="majorBidi" w:ascii="맑은 고딕" w:hAnsi="맑은 고딕"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