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사출성형 불량 탐지 모델 학습 전략</w:t>
      </w:r>
    </w:p>
    <w:p>
      <w:r>
        <w:t>Logistic Regression · Random Forest · One Class SVM</w:t>
      </w:r>
    </w:p>
    <w:p>
      <w:r>
        <w:t>CN7 및 RG3 | 2026년 9월 28일</w:t>
      </w:r>
    </w:p>
    <w:p>
      <w:r>
        <w:t>공정 입력을 이용해 정상과 불량을 구분하고, 어떤 공정 조건에서 불량 탐지와 누락이 발생하는지 분석한다. LR은 선형 관계의 기준 모델, RF는 변수 간 조건 조합을 학습하는 모델, OCSVM은 정상 영역에서 벗어나는 불량을 탐지하는 모델로 비교한다. CN7과 RG3는 각각 학습한다.</w:t>
      </w:r>
    </w:p>
    <w:p>
      <w:pPr>
        <w:pStyle w:val="Heading1"/>
      </w:pPr>
      <w:r>
        <w:t>1 공통 설계와 모델별 역할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448"/>
        <w:gridCol w:w="2448"/>
        <w:gridCol w:w="2448"/>
      </w:tblGrid>
      <w:tr>
        <w:trPr>
          <w:cantSplit/>
          <w:tblHeader/>
        </w:trPr>
        <w:tc>
          <w:tcPr>
            <w:tcW w:type="dxa" w:w="1512"/>
            <w:shd w:fill="E8EEF4"/>
            <w:tcMar>
              <w:top w:w="90" w:type="dxa"/>
              <w:left w:w="90" w:type="dxa"/>
              <w:bottom w:w="90" w:type="dxa"/>
              <w:right w:w="90" w:type="dxa"/>
            </w:tcMar>
          </w:tcPr>
          <w:p>
            <w:pPr>
              <w:spacing w:after="60"/>
            </w:pPr>
            <w:r>
              <w:rPr>
                <w:b/>
                <w:sz w:val="19"/>
              </w:rPr>
              <w:t>구분</w:t>
            </w:r>
          </w:p>
        </w:tc>
        <w:tc>
          <w:tcPr>
            <w:tcW w:type="dxa" w:w="2448"/>
            <w:shd w:fill="E8EEF4"/>
            <w:tcMar>
              <w:top w:w="90" w:type="dxa"/>
              <w:left w:w="90" w:type="dxa"/>
              <w:bottom w:w="90" w:type="dxa"/>
              <w:right w:w="90" w:type="dxa"/>
            </w:tcMar>
          </w:tcPr>
          <w:p>
            <w:pPr>
              <w:spacing w:after="60"/>
            </w:pPr>
            <w:r>
              <w:rPr>
                <w:b/>
                <w:sz w:val="19"/>
              </w:rPr>
              <w:t>LR</w:t>
            </w:r>
          </w:p>
        </w:tc>
        <w:tc>
          <w:tcPr>
            <w:tcW w:type="dxa" w:w="2448"/>
            <w:shd w:fill="E8EEF4"/>
            <w:tcMar>
              <w:top w:w="90" w:type="dxa"/>
              <w:left w:w="90" w:type="dxa"/>
              <w:bottom w:w="90" w:type="dxa"/>
              <w:right w:w="90" w:type="dxa"/>
            </w:tcMar>
          </w:tcPr>
          <w:p>
            <w:pPr>
              <w:spacing w:after="60"/>
            </w:pPr>
            <w:r>
              <w:rPr>
                <w:b/>
                <w:sz w:val="19"/>
              </w:rPr>
              <w:t>RF</w:t>
            </w:r>
          </w:p>
        </w:tc>
        <w:tc>
          <w:tcPr>
            <w:tcW w:type="dxa" w:w="2448"/>
            <w:shd w:fill="E8EEF4"/>
            <w:tcMar>
              <w:top w:w="90" w:type="dxa"/>
              <w:left w:w="90" w:type="dxa"/>
              <w:bottom w:w="90" w:type="dxa"/>
              <w:right w:w="90" w:type="dxa"/>
            </w:tcMar>
          </w:tcPr>
          <w:p>
            <w:pPr>
              <w:spacing w:after="60"/>
            </w:pPr>
            <w:r>
              <w:rPr>
                <w:b/>
                <w:sz w:val="19"/>
              </w:rPr>
              <w:t>OCSVM</w:t>
            </w:r>
          </w:p>
        </w:tc>
      </w:tr>
      <w:tr>
        <w:trPr>
          <w:cantSplit/>
        </w:trPr>
        <w:tc>
          <w:tcPr>
            <w:tcW w:type="dxa" w:w="1512"/>
            <w:shd w:fill="FFFFFF"/>
            <w:tcMar>
              <w:top w:w="90" w:type="dxa"/>
              <w:left w:w="90" w:type="dxa"/>
              <w:bottom w:w="90" w:type="dxa"/>
              <w:right w:w="90" w:type="dxa"/>
            </w:tcMar>
          </w:tcPr>
          <w:p>
            <w:pPr>
              <w:spacing w:after="60"/>
            </w:pPr>
            <w:r>
              <w:rPr>
                <w:b w:val="0"/>
                <w:sz w:val="19"/>
              </w:rPr>
              <w:t>학습 관측</w:t>
            </w:r>
          </w:p>
        </w:tc>
        <w:tc>
          <w:tcPr>
            <w:tcW w:type="dxa" w:w="2448"/>
            <w:shd w:fill="FFFFFF"/>
            <w:tcMar>
              <w:top w:w="90" w:type="dxa"/>
              <w:left w:w="90" w:type="dxa"/>
              <w:bottom w:w="90" w:type="dxa"/>
              <w:right w:w="90" w:type="dxa"/>
            </w:tcMar>
          </w:tcPr>
          <w:p>
            <w:pPr>
              <w:spacing w:after="60"/>
            </w:pPr>
            <w:r>
              <w:rPr>
                <w:b w:val="0"/>
                <w:sz w:val="19"/>
              </w:rPr>
              <w:t>정상과 불량</w:t>
            </w:r>
          </w:p>
        </w:tc>
        <w:tc>
          <w:tcPr>
            <w:tcW w:type="dxa" w:w="2448"/>
            <w:shd w:fill="FFFFFF"/>
            <w:tcMar>
              <w:top w:w="90" w:type="dxa"/>
              <w:left w:w="90" w:type="dxa"/>
              <w:bottom w:w="90" w:type="dxa"/>
              <w:right w:w="90" w:type="dxa"/>
            </w:tcMar>
          </w:tcPr>
          <w:p>
            <w:pPr>
              <w:spacing w:after="60"/>
            </w:pPr>
            <w:r>
              <w:rPr>
                <w:b w:val="0"/>
                <w:sz w:val="19"/>
              </w:rPr>
              <w:t>정상과 불량</w:t>
            </w:r>
          </w:p>
        </w:tc>
        <w:tc>
          <w:tcPr>
            <w:tcW w:type="dxa" w:w="2448"/>
            <w:shd w:fill="FFFFFF"/>
            <w:tcMar>
              <w:top w:w="90" w:type="dxa"/>
              <w:left w:w="90" w:type="dxa"/>
              <w:bottom w:w="90" w:type="dxa"/>
              <w:right w:w="90" w:type="dxa"/>
            </w:tcMar>
          </w:tcPr>
          <w:p>
            <w:pPr>
              <w:spacing w:after="60"/>
            </w:pPr>
            <w:r>
              <w:rPr>
                <w:b w:val="0"/>
                <w:sz w:val="19"/>
              </w:rPr>
              <w:t>정상만</w:t>
            </w:r>
          </w:p>
        </w:tc>
      </w:tr>
      <w:tr>
        <w:trPr>
          <w:cantSplit/>
        </w:trPr>
        <w:tc>
          <w:tcPr>
            <w:tcW w:type="dxa" w:w="1512"/>
            <w:shd w:fill="FFFFFF"/>
            <w:tcMar>
              <w:top w:w="90" w:type="dxa"/>
              <w:left w:w="90" w:type="dxa"/>
              <w:bottom w:w="90" w:type="dxa"/>
              <w:right w:w="90" w:type="dxa"/>
            </w:tcMar>
          </w:tcPr>
          <w:p>
            <w:pPr>
              <w:spacing w:after="60"/>
            </w:pPr>
            <w:r>
              <w:rPr>
                <w:b w:val="0"/>
                <w:sz w:val="19"/>
              </w:rPr>
              <w:t>학습 목적</w:t>
            </w:r>
          </w:p>
        </w:tc>
        <w:tc>
          <w:tcPr>
            <w:tcW w:type="dxa" w:w="2448"/>
            <w:shd w:fill="FFFFFF"/>
            <w:tcMar>
              <w:top w:w="90" w:type="dxa"/>
              <w:left w:w="90" w:type="dxa"/>
              <w:bottom w:w="90" w:type="dxa"/>
              <w:right w:w="90" w:type="dxa"/>
            </w:tcMar>
          </w:tcPr>
          <w:p>
            <w:pPr>
              <w:spacing w:after="60"/>
            </w:pPr>
            <w:r>
              <w:rPr>
                <w:b w:val="0"/>
                <w:sz w:val="19"/>
              </w:rPr>
              <w:t>가중 로그 손실과 L2 규제</w:t>
            </w:r>
          </w:p>
        </w:tc>
        <w:tc>
          <w:tcPr>
            <w:tcW w:type="dxa" w:w="2448"/>
            <w:shd w:fill="FFFFFF"/>
            <w:tcMar>
              <w:top w:w="90" w:type="dxa"/>
              <w:left w:w="90" w:type="dxa"/>
              <w:bottom w:w="90" w:type="dxa"/>
              <w:right w:w="90" w:type="dxa"/>
            </w:tcMar>
          </w:tcPr>
          <w:p>
            <w:pPr>
              <w:spacing w:after="60"/>
            </w:pPr>
            <w:r>
              <w:rPr>
                <w:b w:val="0"/>
                <w:sz w:val="19"/>
              </w:rPr>
              <w:t>가중 불순도 감소</w:t>
            </w:r>
          </w:p>
        </w:tc>
        <w:tc>
          <w:tcPr>
            <w:tcW w:type="dxa" w:w="2448"/>
            <w:shd w:fill="FFFFFF"/>
            <w:tcMar>
              <w:top w:w="90" w:type="dxa"/>
              <w:left w:w="90" w:type="dxa"/>
              <w:bottom w:w="90" w:type="dxa"/>
              <w:right w:w="90" w:type="dxa"/>
            </w:tcMar>
          </w:tcPr>
          <w:p>
            <w:pPr>
              <w:spacing w:after="60"/>
            </w:pPr>
            <w:r>
              <w:rPr>
                <w:b w:val="0"/>
                <w:sz w:val="19"/>
              </w:rPr>
              <w:t>정상 영역의 경계 추정</w:t>
            </w:r>
          </w:p>
        </w:tc>
      </w:tr>
      <w:tr>
        <w:trPr>
          <w:cantSplit/>
        </w:trPr>
        <w:tc>
          <w:tcPr>
            <w:tcW w:type="dxa" w:w="1512"/>
            <w:shd w:fill="FFFFFF"/>
            <w:tcMar>
              <w:top w:w="90" w:type="dxa"/>
              <w:left w:w="90" w:type="dxa"/>
              <w:bottom w:w="90" w:type="dxa"/>
              <w:right w:w="90" w:type="dxa"/>
            </w:tcMar>
          </w:tcPr>
          <w:p>
            <w:pPr>
              <w:spacing w:after="60"/>
            </w:pPr>
            <w:r>
              <w:rPr>
                <w:b w:val="0"/>
                <w:sz w:val="19"/>
              </w:rPr>
              <w:t>입력 스케일</w:t>
            </w:r>
          </w:p>
        </w:tc>
        <w:tc>
          <w:tcPr>
            <w:tcW w:type="dxa" w:w="2448"/>
            <w:shd w:fill="FFFFFF"/>
            <w:tcMar>
              <w:top w:w="90" w:type="dxa"/>
              <w:left w:w="90" w:type="dxa"/>
              <w:bottom w:w="90" w:type="dxa"/>
              <w:right w:w="90" w:type="dxa"/>
            </w:tcMar>
          </w:tcPr>
          <w:p>
            <w:pPr>
              <w:spacing w:after="60"/>
            </w:pPr>
            <w:r>
              <w:rPr>
                <w:b w:val="0"/>
                <w:sz w:val="19"/>
              </w:rPr>
              <w:t>학습 구간 재표준화</w:t>
            </w:r>
          </w:p>
        </w:tc>
        <w:tc>
          <w:tcPr>
            <w:tcW w:type="dxa" w:w="2448"/>
            <w:shd w:fill="FFFFFF"/>
            <w:tcMar>
              <w:top w:w="90" w:type="dxa"/>
              <w:left w:w="90" w:type="dxa"/>
              <w:bottom w:w="90" w:type="dxa"/>
              <w:right w:w="90" w:type="dxa"/>
            </w:tcMar>
          </w:tcPr>
          <w:p>
            <w:pPr>
              <w:spacing w:after="60"/>
            </w:pPr>
            <w:r>
              <w:rPr>
                <w:b w:val="0"/>
                <w:sz w:val="19"/>
              </w:rPr>
              <w:t>제공값 그대로</w:t>
            </w:r>
          </w:p>
        </w:tc>
        <w:tc>
          <w:tcPr>
            <w:tcW w:type="dxa" w:w="2448"/>
            <w:shd w:fill="FFFFFF"/>
            <w:tcMar>
              <w:top w:w="90" w:type="dxa"/>
              <w:left w:w="90" w:type="dxa"/>
              <w:bottom w:w="90" w:type="dxa"/>
              <w:right w:w="90" w:type="dxa"/>
            </w:tcMar>
          </w:tcPr>
          <w:p>
            <w:pPr>
              <w:spacing w:after="60"/>
            </w:pPr>
            <w:r>
              <w:rPr>
                <w:b w:val="0"/>
                <w:sz w:val="19"/>
              </w:rPr>
              <w:t>학습 정상으로 재표준화</w:t>
            </w:r>
          </w:p>
        </w:tc>
      </w:tr>
      <w:tr>
        <w:trPr>
          <w:cantSplit/>
        </w:trPr>
        <w:tc>
          <w:tcPr>
            <w:tcW w:type="dxa" w:w="1512"/>
            <w:shd w:fill="FFFFFF"/>
            <w:tcMar>
              <w:top w:w="90" w:type="dxa"/>
              <w:left w:w="90" w:type="dxa"/>
              <w:bottom w:w="90" w:type="dxa"/>
              <w:right w:w="90" w:type="dxa"/>
            </w:tcMar>
          </w:tcPr>
          <w:p>
            <w:pPr>
              <w:spacing w:after="60"/>
            </w:pPr>
            <w:r>
              <w:rPr>
                <w:b w:val="0"/>
                <w:sz w:val="19"/>
              </w:rPr>
              <w:t>불균형 대응</w:t>
            </w:r>
          </w:p>
        </w:tc>
        <w:tc>
          <w:tcPr>
            <w:tcW w:type="dxa" w:w="2448"/>
            <w:shd w:fill="FFFFFF"/>
            <w:tcMar>
              <w:top w:w="90" w:type="dxa"/>
              <w:left w:w="90" w:type="dxa"/>
              <w:bottom w:w="90" w:type="dxa"/>
              <w:right w:w="90" w:type="dxa"/>
            </w:tcMar>
          </w:tcPr>
          <w:p>
            <w:pPr>
              <w:spacing w:after="60"/>
            </w:pPr>
            <w:r>
              <w:rPr>
                <w:b w:val="0"/>
                <w:sz w:val="19"/>
              </w:rPr>
              <w:t>클래스 가중치 후보 비교</w:t>
            </w:r>
          </w:p>
        </w:tc>
        <w:tc>
          <w:tcPr>
            <w:tcW w:type="dxa" w:w="2448"/>
            <w:shd w:fill="FFFFFF"/>
            <w:tcMar>
              <w:top w:w="90" w:type="dxa"/>
              <w:left w:w="90" w:type="dxa"/>
              <w:bottom w:w="90" w:type="dxa"/>
              <w:right w:w="90" w:type="dxa"/>
            </w:tcMar>
          </w:tcPr>
          <w:p>
            <w:pPr>
              <w:spacing w:after="60"/>
            </w:pPr>
            <w:r>
              <w:rPr>
                <w:b w:val="0"/>
                <w:sz w:val="19"/>
              </w:rPr>
              <w:t>균형 가중치 확정</w:t>
            </w:r>
          </w:p>
        </w:tc>
        <w:tc>
          <w:tcPr>
            <w:tcW w:type="dxa" w:w="2448"/>
            <w:shd w:fill="FFFFFF"/>
            <w:tcMar>
              <w:top w:w="90" w:type="dxa"/>
              <w:left w:w="90" w:type="dxa"/>
              <w:bottom w:w="90" w:type="dxa"/>
              <w:right w:w="90" w:type="dxa"/>
            </w:tcMar>
          </w:tcPr>
          <w:p>
            <w:pPr>
              <w:spacing w:after="60"/>
            </w:pPr>
            <w:r>
              <w:rPr>
                <w:b w:val="0"/>
                <w:sz w:val="19"/>
              </w:rPr>
              <w:t>nu와 gamma 및 임계값</w:t>
            </w:r>
          </w:p>
        </w:tc>
      </w:tr>
      <w:tr>
        <w:trPr>
          <w:cantSplit/>
        </w:trPr>
        <w:tc>
          <w:tcPr>
            <w:tcW w:type="dxa" w:w="1512"/>
            <w:shd w:fill="FFFFFF"/>
            <w:tcMar>
              <w:top w:w="90" w:type="dxa"/>
              <w:left w:w="90" w:type="dxa"/>
              <w:bottom w:w="90" w:type="dxa"/>
              <w:right w:w="90" w:type="dxa"/>
            </w:tcMar>
          </w:tcPr>
          <w:p>
            <w:pPr>
              <w:spacing w:after="60"/>
            </w:pPr>
            <w:r>
              <w:rPr>
                <w:b w:val="0"/>
                <w:sz w:val="19"/>
              </w:rPr>
              <w:t>주요 질문</w:t>
            </w:r>
          </w:p>
        </w:tc>
        <w:tc>
          <w:tcPr>
            <w:tcW w:type="dxa" w:w="2448"/>
            <w:shd w:fill="FFFFFF"/>
            <w:tcMar>
              <w:top w:w="90" w:type="dxa"/>
              <w:left w:w="90" w:type="dxa"/>
              <w:bottom w:w="90" w:type="dxa"/>
              <w:right w:w="90" w:type="dxa"/>
            </w:tcMar>
          </w:tcPr>
          <w:p>
            <w:pPr>
              <w:spacing w:after="60"/>
            </w:pPr>
            <w:r>
              <w:rPr>
                <w:b w:val="0"/>
                <w:sz w:val="19"/>
              </w:rPr>
              <w:t>선형 관계로 구분 가능한가</w:t>
            </w:r>
          </w:p>
        </w:tc>
        <w:tc>
          <w:tcPr>
            <w:tcW w:type="dxa" w:w="2448"/>
            <w:shd w:fill="FFFFFF"/>
            <w:tcMar>
              <w:top w:w="90" w:type="dxa"/>
              <w:left w:w="90" w:type="dxa"/>
              <w:bottom w:w="90" w:type="dxa"/>
              <w:right w:w="90" w:type="dxa"/>
            </w:tcMar>
          </w:tcPr>
          <w:p>
            <w:pPr>
              <w:spacing w:after="60"/>
            </w:pPr>
            <w:r>
              <w:rPr>
                <w:b w:val="0"/>
                <w:sz w:val="19"/>
              </w:rPr>
              <w:t>조건 조합이 도움이 되는가</w:t>
            </w:r>
          </w:p>
        </w:tc>
        <w:tc>
          <w:tcPr>
            <w:tcW w:type="dxa" w:w="2448"/>
            <w:shd w:fill="FFFFFF"/>
            <w:tcMar>
              <w:top w:w="90" w:type="dxa"/>
              <w:left w:w="90" w:type="dxa"/>
              <w:bottom w:w="90" w:type="dxa"/>
              <w:right w:w="90" w:type="dxa"/>
            </w:tcMar>
          </w:tcPr>
          <w:p>
            <w:pPr>
              <w:spacing w:after="60"/>
            </w:pPr>
            <w:r>
              <w:rPr>
                <w:b w:val="0"/>
                <w:sz w:val="19"/>
              </w:rPr>
              <w:t>불량이 정상 영역 밖인가</w:t>
            </w:r>
          </w:p>
        </w:tc>
      </w:tr>
    </w:tbl>
    <w:p/>
    <w:p>
      <w:r>
        <w:t>공통 평가에는 불량을 양성 클래스 1로 둔 F1과 F2를 사용한다. 동일 입력 패턴을 묶은 외부 4-fold에서 평가하고, 내부 검증에서 설정과 판정 임계값을 선택한다. 외부 검증 라벨로 설정이나 임계값을 조정하지 않는다.</w:t>
      </w:r>
    </w:p>
    <w:p>
      <w:r>
        <w:t>확정 사항은 외부 4-fold, 공통 F1·F2 보고, RF의 정상 대비 불량 가중치 n₀/n₁이다. LR 가중치 후보와 모델별 탐색 범위, 내부 AP 기반 설정 선택은 실행을 위한 제안이다. 임계값은 공통으로 내부 F2 기준을 사용한다. 본 문서는 설계이며 성능 결과는 아직 없다.</w:t>
      </w:r>
    </w:p>
    <w:p>
      <w:r>
        <w:br w:type="page"/>
      </w:r>
    </w:p>
    <w:p>
      <w:pPr>
        <w:pStyle w:val="Heading1"/>
      </w:pPr>
      <w:r>
        <w:t>2 데이터 구조와 교차검증</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1152"/>
        <w:gridCol w:w="1152"/>
        <w:gridCol w:w="1008"/>
        <w:gridCol w:w="1152"/>
        <w:gridCol w:w="1152"/>
        <w:gridCol w:w="2160"/>
      </w:tblGrid>
      <w:tr>
        <w:trPr>
          <w:cantSplit/>
          <w:tblHeader/>
        </w:trPr>
        <w:tc>
          <w:tcPr>
            <w:tcW w:type="dxa" w:w="1080"/>
            <w:shd w:fill="E8EEF4"/>
            <w:tcMar>
              <w:top w:w="90" w:type="dxa"/>
              <w:left w:w="90" w:type="dxa"/>
              <w:bottom w:w="90" w:type="dxa"/>
              <w:right w:w="90" w:type="dxa"/>
            </w:tcMar>
          </w:tcPr>
          <w:p>
            <w:pPr>
              <w:spacing w:after="60"/>
            </w:pPr>
            <w:r>
              <w:rPr>
                <w:b/>
                <w:sz w:val="19"/>
              </w:rPr>
              <w:t>데이터</w:t>
            </w:r>
          </w:p>
        </w:tc>
        <w:tc>
          <w:tcPr>
            <w:tcW w:type="dxa" w:w="1152"/>
            <w:shd w:fill="E8EEF4"/>
            <w:tcMar>
              <w:top w:w="90" w:type="dxa"/>
              <w:left w:w="90" w:type="dxa"/>
              <w:bottom w:w="90" w:type="dxa"/>
              <w:right w:w="90" w:type="dxa"/>
            </w:tcMar>
          </w:tcPr>
          <w:p>
            <w:pPr>
              <w:spacing w:after="60"/>
            </w:pPr>
            <w:r>
              <w:rPr>
                <w:b/>
                <w:sz w:val="19"/>
              </w:rPr>
              <w:t>전체</w:t>
            </w:r>
          </w:p>
        </w:tc>
        <w:tc>
          <w:tcPr>
            <w:tcW w:type="dxa" w:w="1152"/>
            <w:shd w:fill="E8EEF4"/>
            <w:tcMar>
              <w:top w:w="90" w:type="dxa"/>
              <w:left w:w="90" w:type="dxa"/>
              <w:bottom w:w="90" w:type="dxa"/>
              <w:right w:w="90" w:type="dxa"/>
            </w:tcMar>
          </w:tcPr>
          <w:p>
            <w:pPr>
              <w:spacing w:after="60"/>
            </w:pPr>
            <w:r>
              <w:rPr>
                <w:b/>
                <w:sz w:val="19"/>
              </w:rPr>
              <w:t>정상</w:t>
            </w:r>
          </w:p>
        </w:tc>
        <w:tc>
          <w:tcPr>
            <w:tcW w:type="dxa" w:w="1008"/>
            <w:shd w:fill="E8EEF4"/>
            <w:tcMar>
              <w:top w:w="90" w:type="dxa"/>
              <w:left w:w="90" w:type="dxa"/>
              <w:bottom w:w="90" w:type="dxa"/>
              <w:right w:w="90" w:type="dxa"/>
            </w:tcMar>
          </w:tcPr>
          <w:p>
            <w:pPr>
              <w:spacing w:after="60"/>
            </w:pPr>
            <w:r>
              <w:rPr>
                <w:b/>
                <w:sz w:val="19"/>
              </w:rPr>
              <w:t>불량</w:t>
            </w:r>
          </w:p>
        </w:tc>
        <w:tc>
          <w:tcPr>
            <w:tcW w:type="dxa" w:w="1152"/>
            <w:shd w:fill="E8EEF4"/>
            <w:tcMar>
              <w:top w:w="90" w:type="dxa"/>
              <w:left w:w="90" w:type="dxa"/>
              <w:bottom w:w="90" w:type="dxa"/>
              <w:right w:w="90" w:type="dxa"/>
            </w:tcMar>
          </w:tcPr>
          <w:p>
            <w:pPr>
              <w:spacing w:after="60"/>
            </w:pPr>
            <w:r>
              <w:rPr>
                <w:b/>
                <w:sz w:val="19"/>
              </w:rPr>
              <w:t>패턴</w:t>
            </w:r>
          </w:p>
        </w:tc>
        <w:tc>
          <w:tcPr>
            <w:tcW w:type="dxa" w:w="1152"/>
            <w:shd w:fill="E8EEF4"/>
            <w:tcMar>
              <w:top w:w="90" w:type="dxa"/>
              <w:left w:w="90" w:type="dxa"/>
              <w:bottom w:w="90" w:type="dxa"/>
              <w:right w:w="90" w:type="dxa"/>
            </w:tcMar>
          </w:tcPr>
          <w:p>
            <w:pPr>
              <w:spacing w:after="60"/>
            </w:pPr>
            <w:r>
              <w:rPr>
                <w:b/>
                <w:sz w:val="19"/>
              </w:rPr>
              <w:t>상충</w:t>
            </w:r>
          </w:p>
        </w:tc>
        <w:tc>
          <w:tcPr>
            <w:tcW w:type="dxa" w:w="2160"/>
            <w:shd w:fill="E8EEF4"/>
            <w:tcMar>
              <w:top w:w="90" w:type="dxa"/>
              <w:left w:w="90" w:type="dxa"/>
              <w:bottom w:w="90" w:type="dxa"/>
              <w:right w:w="90" w:type="dxa"/>
            </w:tcMar>
          </w:tcPr>
          <w:p>
            <w:pPr>
              <w:spacing w:after="60"/>
            </w:pPr>
            <w:r>
              <w:rPr>
                <w:b/>
                <w:sz w:val="19"/>
              </w:rPr>
              <w:t>불량 전용</w:t>
            </w:r>
          </w:p>
        </w:tc>
      </w:tr>
      <w:tr>
        <w:trPr>
          <w:cantSplit/>
        </w:trPr>
        <w:tc>
          <w:tcPr>
            <w:tcW w:type="dxa" w:w="1080"/>
            <w:shd w:fill="FFFFFF"/>
            <w:tcMar>
              <w:top w:w="90" w:type="dxa"/>
              <w:left w:w="90" w:type="dxa"/>
              <w:bottom w:w="90" w:type="dxa"/>
              <w:right w:w="90" w:type="dxa"/>
            </w:tcMar>
          </w:tcPr>
          <w:p>
            <w:pPr>
              <w:spacing w:after="60"/>
            </w:pPr>
            <w:r>
              <w:rPr>
                <w:b w:val="0"/>
                <w:sz w:val="19"/>
              </w:rPr>
              <w:t>CN7</w:t>
            </w:r>
          </w:p>
        </w:tc>
        <w:tc>
          <w:tcPr>
            <w:tcW w:type="dxa" w:w="1152"/>
            <w:shd w:fill="FFFFFF"/>
            <w:tcMar>
              <w:top w:w="90" w:type="dxa"/>
              <w:left w:w="90" w:type="dxa"/>
              <w:bottom w:w="90" w:type="dxa"/>
              <w:right w:w="90" w:type="dxa"/>
            </w:tcMar>
          </w:tcPr>
          <w:p>
            <w:pPr>
              <w:spacing w:after="60"/>
            </w:pPr>
            <w:r>
              <w:rPr>
                <w:b w:val="0"/>
                <w:sz w:val="19"/>
              </w:rPr>
              <w:t>1211</w:t>
            </w:r>
          </w:p>
        </w:tc>
        <w:tc>
          <w:tcPr>
            <w:tcW w:type="dxa" w:w="1152"/>
            <w:shd w:fill="FFFFFF"/>
            <w:tcMar>
              <w:top w:w="90" w:type="dxa"/>
              <w:left w:w="90" w:type="dxa"/>
              <w:bottom w:w="90" w:type="dxa"/>
              <w:right w:w="90" w:type="dxa"/>
            </w:tcMar>
          </w:tcPr>
          <w:p>
            <w:pPr>
              <w:spacing w:after="60"/>
            </w:pPr>
            <w:r>
              <w:rPr>
                <w:b w:val="0"/>
                <w:sz w:val="19"/>
              </w:rPr>
              <w:t>1194</w:t>
            </w:r>
          </w:p>
        </w:tc>
        <w:tc>
          <w:tcPr>
            <w:tcW w:type="dxa" w:w="1008"/>
            <w:shd w:fill="FFFFFF"/>
            <w:tcMar>
              <w:top w:w="90" w:type="dxa"/>
              <w:left w:w="90" w:type="dxa"/>
              <w:bottom w:w="90" w:type="dxa"/>
              <w:right w:w="90" w:type="dxa"/>
            </w:tcMar>
          </w:tcPr>
          <w:p>
            <w:pPr>
              <w:spacing w:after="60"/>
            </w:pPr>
            <w:r>
              <w:rPr>
                <w:b w:val="0"/>
                <w:sz w:val="19"/>
              </w:rPr>
              <w:t>17</w:t>
            </w:r>
          </w:p>
        </w:tc>
        <w:tc>
          <w:tcPr>
            <w:tcW w:type="dxa" w:w="1152"/>
            <w:shd w:fill="FFFFFF"/>
            <w:tcMar>
              <w:top w:w="90" w:type="dxa"/>
              <w:left w:w="90" w:type="dxa"/>
              <w:bottom w:w="90" w:type="dxa"/>
              <w:right w:w="90" w:type="dxa"/>
            </w:tcMar>
          </w:tcPr>
          <w:p>
            <w:pPr>
              <w:spacing w:after="60"/>
            </w:pPr>
            <w:r>
              <w:rPr>
                <w:b w:val="0"/>
                <w:sz w:val="19"/>
              </w:rPr>
              <w:t>606</w:t>
            </w:r>
          </w:p>
        </w:tc>
        <w:tc>
          <w:tcPr>
            <w:tcW w:type="dxa" w:w="1152"/>
            <w:shd w:fill="FFFFFF"/>
            <w:tcMar>
              <w:top w:w="90" w:type="dxa"/>
              <w:left w:w="90" w:type="dxa"/>
              <w:bottom w:w="90" w:type="dxa"/>
              <w:right w:w="90" w:type="dxa"/>
            </w:tcMar>
          </w:tcPr>
          <w:p>
            <w:pPr>
              <w:spacing w:after="60"/>
            </w:pPr>
            <w:r>
              <w:rPr>
                <w:b w:val="0"/>
                <w:sz w:val="19"/>
              </w:rPr>
              <w:t>11</w:t>
            </w:r>
          </w:p>
        </w:tc>
        <w:tc>
          <w:tcPr>
            <w:tcW w:type="dxa" w:w="2160"/>
            <w:shd w:fill="FFFFFF"/>
            <w:tcMar>
              <w:top w:w="90" w:type="dxa"/>
              <w:left w:w="90" w:type="dxa"/>
              <w:bottom w:w="90" w:type="dxa"/>
              <w:right w:w="90" w:type="dxa"/>
            </w:tcMar>
          </w:tcPr>
          <w:p>
            <w:pPr>
              <w:spacing w:after="60"/>
            </w:pPr>
            <w:r>
              <w:rPr>
                <w:b w:val="0"/>
                <w:sz w:val="19"/>
              </w:rPr>
              <w:t>3</w:t>
            </w:r>
          </w:p>
        </w:tc>
      </w:tr>
      <w:tr>
        <w:trPr>
          <w:cantSplit/>
        </w:trPr>
        <w:tc>
          <w:tcPr>
            <w:tcW w:type="dxa" w:w="1080"/>
            <w:shd w:fill="FFFFFF"/>
            <w:tcMar>
              <w:top w:w="90" w:type="dxa"/>
              <w:left w:w="90" w:type="dxa"/>
              <w:bottom w:w="90" w:type="dxa"/>
              <w:right w:w="90" w:type="dxa"/>
            </w:tcMar>
          </w:tcPr>
          <w:p>
            <w:pPr>
              <w:spacing w:after="60"/>
            </w:pPr>
            <w:r>
              <w:rPr>
                <w:b w:val="0"/>
                <w:sz w:val="19"/>
              </w:rPr>
              <w:t>RG3</w:t>
            </w:r>
          </w:p>
        </w:tc>
        <w:tc>
          <w:tcPr>
            <w:tcW w:type="dxa" w:w="1152"/>
            <w:shd w:fill="FFFFFF"/>
            <w:tcMar>
              <w:top w:w="90" w:type="dxa"/>
              <w:left w:w="90" w:type="dxa"/>
              <w:bottom w:w="90" w:type="dxa"/>
              <w:right w:w="90" w:type="dxa"/>
            </w:tcMar>
          </w:tcPr>
          <w:p>
            <w:pPr>
              <w:spacing w:after="60"/>
            </w:pPr>
            <w:r>
              <w:rPr>
                <w:b w:val="0"/>
                <w:sz w:val="19"/>
              </w:rPr>
              <w:t>1182</w:t>
            </w:r>
          </w:p>
        </w:tc>
        <w:tc>
          <w:tcPr>
            <w:tcW w:type="dxa" w:w="1152"/>
            <w:shd w:fill="FFFFFF"/>
            <w:tcMar>
              <w:top w:w="90" w:type="dxa"/>
              <w:left w:w="90" w:type="dxa"/>
              <w:bottom w:w="90" w:type="dxa"/>
              <w:right w:w="90" w:type="dxa"/>
            </w:tcMar>
          </w:tcPr>
          <w:p>
            <w:pPr>
              <w:spacing w:after="60"/>
            </w:pPr>
            <w:r>
              <w:rPr>
                <w:b w:val="0"/>
                <w:sz w:val="19"/>
              </w:rPr>
              <w:t>1157</w:t>
            </w:r>
          </w:p>
        </w:tc>
        <w:tc>
          <w:tcPr>
            <w:tcW w:type="dxa" w:w="1008"/>
            <w:shd w:fill="FFFFFF"/>
            <w:tcMar>
              <w:top w:w="90" w:type="dxa"/>
              <w:left w:w="90" w:type="dxa"/>
              <w:bottom w:w="90" w:type="dxa"/>
              <w:right w:w="90" w:type="dxa"/>
            </w:tcMar>
          </w:tcPr>
          <w:p>
            <w:pPr>
              <w:spacing w:after="60"/>
            </w:pPr>
            <w:r>
              <w:rPr>
                <w:b w:val="0"/>
                <w:sz w:val="19"/>
              </w:rPr>
              <w:t>25</w:t>
            </w:r>
          </w:p>
        </w:tc>
        <w:tc>
          <w:tcPr>
            <w:tcW w:type="dxa" w:w="1152"/>
            <w:shd w:fill="FFFFFF"/>
            <w:tcMar>
              <w:top w:w="90" w:type="dxa"/>
              <w:left w:w="90" w:type="dxa"/>
              <w:bottom w:w="90" w:type="dxa"/>
              <w:right w:w="90" w:type="dxa"/>
            </w:tcMar>
          </w:tcPr>
          <w:p>
            <w:pPr>
              <w:spacing w:after="60"/>
            </w:pPr>
            <w:r>
              <w:rPr>
                <w:b w:val="0"/>
                <w:sz w:val="19"/>
              </w:rPr>
              <w:t>591</w:t>
            </w:r>
          </w:p>
        </w:tc>
        <w:tc>
          <w:tcPr>
            <w:tcW w:type="dxa" w:w="1152"/>
            <w:shd w:fill="FFFFFF"/>
            <w:tcMar>
              <w:top w:w="90" w:type="dxa"/>
              <w:left w:w="90" w:type="dxa"/>
              <w:bottom w:w="90" w:type="dxa"/>
              <w:right w:w="90" w:type="dxa"/>
            </w:tcMar>
          </w:tcPr>
          <w:p>
            <w:pPr>
              <w:spacing w:after="60"/>
            </w:pPr>
            <w:r>
              <w:rPr>
                <w:b w:val="0"/>
                <w:sz w:val="19"/>
              </w:rPr>
              <w:t>25</w:t>
            </w:r>
          </w:p>
        </w:tc>
        <w:tc>
          <w:tcPr>
            <w:tcW w:type="dxa" w:w="2160"/>
            <w:shd w:fill="FFFFFF"/>
            <w:tcMar>
              <w:top w:w="90" w:type="dxa"/>
              <w:left w:w="90" w:type="dxa"/>
              <w:bottom w:w="90" w:type="dxa"/>
              <w:right w:w="90" w:type="dxa"/>
            </w:tcMar>
          </w:tcPr>
          <w:p>
            <w:pPr>
              <w:spacing w:after="60"/>
            </w:pPr>
            <w:r>
              <w:rPr>
                <w:b w:val="0"/>
                <w:sz w:val="19"/>
              </w:rPr>
              <w:t>0</w:t>
            </w:r>
          </w:p>
        </w:tc>
      </w:tr>
    </w:tbl>
    <w:p/>
    <w:p>
      <w:r>
        <w:t>패턴은 원본 24개 입력값이 모두 같은 집단이다. 상충은 같은 입력에 정상과 불량 라벨이 함께 있는 패턴이다. CN7의 불량 17행 중 11행은 상충 패턴, 6행은 불량 전용 3개 패턴에 속한다. RG3의 불량 25행은 모두 상충 패턴에 속한다. 원본 행과 라벨을 유지하고 불량 우선 중복 제거는 하지 않는다.</w:t>
      </w:r>
    </w:p>
    <w:p>
      <w:pPr>
        <w:pStyle w:val="Heading1"/>
      </w:pPr>
      <w:r>
        <w:t>외부 4 fold와 내부 선택</w:t>
      </w:r>
    </w:p>
    <w:p>
      <w:r>
        <w:t>학습에 약 75%를 사용하여 학습 표본 확보와 검증 표본 수 사이에서 절충한다. 4가 최적이라는 주장은 하지 않는다. StratifiedGroupKFold(n_splits=4, shuffle=True, random_state=42)를 초기 분할안으로 사용하고, group에는 pattern_id를 지정한다. 그룹 보존으로 인해 클래스 비율은 완전히 같지 않을 수 있다.</w:t>
      </w:r>
    </w:p>
    <w:p>
      <w:r>
        <w:t>각 fold의 정상·불량 수, 고유 패턴 수와 유형, 학습·검증 패턴 교집합을 확인한다. CN7에는 불량 전용 패턴이 3개뿐이므로 모든 검증 fold에 해당 유형을 포함시킬 수 없다. 현재 저장된 processed 메타데이터는 3-fold이며, 4-fold 재생성은 모델 구현 단계에서 수행한다.</w:t>
      </w:r>
    </w:p>
    <w:p>
      <w:r>
        <w:t>외부 학습 안에서 내부 2-fold를 구성한다. 내부에서도 그룹을 보존하고 두 클래스가 존재하는지 확인한다. 같은 내부 분할을 모델 간 재사용한다. 전처리와 클래스 수 계산은 매번 실제 적합에 사용하는 구간에서만 수행한다.</w:t>
      </w:r>
    </w:p>
    <w:p>
      <w:pPr>
        <w:pStyle w:val="Heading1"/>
      </w:pPr>
      <w:r>
        <w:t>입력과 스케일</w:t>
      </w:r>
    </w:p>
    <w:p>
      <w:r>
        <w:t>입력은 24개 공정 변수이며 ID, fold, pattern_id, 라벨에서 계산한 패턴 유형은 제외한다. 학습 구간에서 상수 변수를 제거한다. 제공 가이드에서 확인한 CSV의 기존 표준화와 별개로, LR은 학습 전체, OCSVM은 학습 정상에만 StandardScaler를 적합한다. RF는 추가 표준화 없이 사용한다.</w:t>
      </w:r>
    </w:p>
    <w:p>
      <w:r>
        <w:t>검증 데이터를 별도로 표준화하지 않는다. 기존 변환이 고정된 컬럼별 양의 선형 표준화라면 학습 fold 재표준화는 원자료의 학습 fold 표준화와 동등하다. 비라벨 파일은 별도 표준화된 자료이므로 향후 추론 전에 동일 좌표계인지 확인한다. 기본 실험에서는 비라벨 데이터, PCA, SMOTE를 학습에 추가하지 않는다.</w:t>
      </w:r>
    </w:p>
    <w:p>
      <w:r>
        <w:br w:type="page"/>
      </w:r>
    </w:p>
    <w:p>
      <w:pPr>
        <w:pStyle w:val="Heading1"/>
      </w:pPr>
      <w:r>
        <w:t>3 LR 원리와 가중 로그 손실</w:t>
      </w:r>
    </w:p>
    <w:p>
      <w:r>
        <w:t>LR은 공정 변수의 선형 결합을 sigmoid 함수에 통과시켜 0~1의 예측값을 만든다. 변수별 영향이 로그 오즈에 선형으로 더해지는 모델이며, 상호작용을 표현하려면 추가 특징 설계가 필요하다.</w:t>
      </w:r>
    </w:p>
    <w:p>
      <w:r>
        <w:t>zᵢ = β₀ + βᵀxᵢ     pᵢ = 1 / (1 + exp(−zᵢ))</w:t>
      </w:r>
    </w:p>
    <w:p>
      <w:r>
        <w:t>ℓᵢ = −[yᵢ log(pᵢ) + (1−yᵢ) log(1−pᵢ)]</w:t>
      </w:r>
    </w:p>
    <w:p>
      <w:r>
        <w:t>J = (1/n) Σᵢ aᵢℓᵢ + (λ/2) ||β||²</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7128"/>
      </w:tblGrid>
      <w:tr>
        <w:trPr>
          <w:cantSplit/>
          <w:tblHeader/>
        </w:trPr>
        <w:tc>
          <w:tcPr>
            <w:tcW w:type="dxa" w:w="1728"/>
            <w:shd w:fill="E8EEF4"/>
            <w:tcMar>
              <w:top w:w="90" w:type="dxa"/>
              <w:left w:w="90" w:type="dxa"/>
              <w:bottom w:w="90" w:type="dxa"/>
              <w:right w:w="90" w:type="dxa"/>
            </w:tcMar>
          </w:tcPr>
          <w:p>
            <w:pPr>
              <w:spacing w:after="60"/>
            </w:pPr>
            <w:r>
              <w:rPr>
                <w:b/>
                <w:sz w:val="19"/>
              </w:rPr>
              <w:t>기호</w:t>
            </w:r>
          </w:p>
        </w:tc>
        <w:tc>
          <w:tcPr>
            <w:tcW w:type="dxa" w:w="7128"/>
            <w:shd w:fill="E8EEF4"/>
            <w:tcMar>
              <w:top w:w="90" w:type="dxa"/>
              <w:left w:w="90" w:type="dxa"/>
              <w:bottom w:w="90" w:type="dxa"/>
              <w:right w:w="90" w:type="dxa"/>
            </w:tcMar>
          </w:tcPr>
          <w:p>
            <w:pPr>
              <w:spacing w:after="60"/>
            </w:pPr>
            <w:r>
              <w:rPr>
                <w:b/>
                <w:sz w:val="19"/>
              </w:rPr>
              <w:t>의미</w:t>
            </w:r>
          </w:p>
        </w:tc>
      </w:tr>
      <w:tr>
        <w:trPr>
          <w:cantSplit/>
        </w:trPr>
        <w:tc>
          <w:tcPr>
            <w:tcW w:type="dxa" w:w="1728"/>
            <w:shd w:fill="FFFFFF"/>
            <w:tcMar>
              <w:top w:w="90" w:type="dxa"/>
              <w:left w:w="90" w:type="dxa"/>
              <w:bottom w:w="90" w:type="dxa"/>
              <w:right w:w="90" w:type="dxa"/>
            </w:tcMar>
          </w:tcPr>
          <w:p>
            <w:pPr>
              <w:spacing w:after="60"/>
            </w:pPr>
            <w:r>
              <w:rPr>
                <w:b w:val="0"/>
                <w:sz w:val="19"/>
              </w:rPr>
              <w:t>xᵢ 및 yᵢ</w:t>
            </w:r>
          </w:p>
        </w:tc>
        <w:tc>
          <w:tcPr>
            <w:tcW w:type="dxa" w:w="7128"/>
            <w:shd w:fill="FFFFFF"/>
            <w:tcMar>
              <w:top w:w="90" w:type="dxa"/>
              <w:left w:w="90" w:type="dxa"/>
              <w:bottom w:w="90" w:type="dxa"/>
              <w:right w:w="90" w:type="dxa"/>
            </w:tcMar>
          </w:tcPr>
          <w:p>
            <w:pPr>
              <w:spacing w:after="60"/>
            </w:pPr>
            <w:r>
              <w:rPr>
                <w:b w:val="0"/>
                <w:sz w:val="19"/>
              </w:rPr>
              <w:t>전처리된 행 i의 입력 벡터와 라벨 0 또는 1</w:t>
            </w:r>
          </w:p>
        </w:tc>
      </w:tr>
      <w:tr>
        <w:trPr>
          <w:cantSplit/>
        </w:trPr>
        <w:tc>
          <w:tcPr>
            <w:tcW w:type="dxa" w:w="1728"/>
            <w:shd w:fill="FFFFFF"/>
            <w:tcMar>
              <w:top w:w="90" w:type="dxa"/>
              <w:left w:w="90" w:type="dxa"/>
              <w:bottom w:w="90" w:type="dxa"/>
              <w:right w:w="90" w:type="dxa"/>
            </w:tcMar>
          </w:tcPr>
          <w:p>
            <w:pPr>
              <w:spacing w:after="60"/>
            </w:pPr>
            <w:r>
              <w:rPr>
                <w:b w:val="0"/>
                <w:sz w:val="19"/>
              </w:rPr>
              <w:t>β₀ 및 β</w:t>
            </w:r>
          </w:p>
        </w:tc>
        <w:tc>
          <w:tcPr>
            <w:tcW w:type="dxa" w:w="7128"/>
            <w:shd w:fill="FFFFFF"/>
            <w:tcMar>
              <w:top w:w="90" w:type="dxa"/>
              <w:left w:w="90" w:type="dxa"/>
              <w:bottom w:w="90" w:type="dxa"/>
              <w:right w:w="90" w:type="dxa"/>
            </w:tcMar>
          </w:tcPr>
          <w:p>
            <w:pPr>
              <w:spacing w:after="60"/>
            </w:pPr>
            <w:r>
              <w:rPr>
                <w:b w:val="0"/>
                <w:sz w:val="19"/>
              </w:rPr>
              <w:t>절편과 변수별 회귀 계수</w:t>
            </w:r>
          </w:p>
        </w:tc>
      </w:tr>
      <w:tr>
        <w:trPr>
          <w:cantSplit/>
        </w:trPr>
        <w:tc>
          <w:tcPr>
            <w:tcW w:type="dxa" w:w="1728"/>
            <w:shd w:fill="FFFFFF"/>
            <w:tcMar>
              <w:top w:w="90" w:type="dxa"/>
              <w:left w:w="90" w:type="dxa"/>
              <w:bottom w:w="90" w:type="dxa"/>
              <w:right w:w="90" w:type="dxa"/>
            </w:tcMar>
          </w:tcPr>
          <w:p>
            <w:pPr>
              <w:spacing w:after="60"/>
            </w:pPr>
            <w:r>
              <w:rPr>
                <w:b w:val="0"/>
                <w:sz w:val="19"/>
              </w:rPr>
              <w:t>pᵢ 및 ℓᵢ</w:t>
            </w:r>
          </w:p>
        </w:tc>
        <w:tc>
          <w:tcPr>
            <w:tcW w:type="dxa" w:w="7128"/>
            <w:shd w:fill="FFFFFF"/>
            <w:tcMar>
              <w:top w:w="90" w:type="dxa"/>
              <w:left w:w="90" w:type="dxa"/>
              <w:bottom w:w="90" w:type="dxa"/>
              <w:right w:w="90" w:type="dxa"/>
            </w:tcMar>
          </w:tcPr>
          <w:p>
            <w:pPr>
              <w:spacing w:after="60"/>
            </w:pPr>
            <w:r>
              <w:rPr>
                <w:b w:val="0"/>
                <w:sz w:val="19"/>
              </w:rPr>
              <w:t>불량 예측값과 가중치 적용 전 행별 로그 손실</w:t>
            </w:r>
          </w:p>
        </w:tc>
      </w:tr>
      <w:tr>
        <w:trPr>
          <w:cantSplit/>
        </w:trPr>
        <w:tc>
          <w:tcPr>
            <w:tcW w:type="dxa" w:w="1728"/>
            <w:shd w:fill="FFFFFF"/>
            <w:tcMar>
              <w:top w:w="90" w:type="dxa"/>
              <w:left w:w="90" w:type="dxa"/>
              <w:bottom w:w="90" w:type="dxa"/>
              <w:right w:w="90" w:type="dxa"/>
            </w:tcMar>
          </w:tcPr>
          <w:p>
            <w:pPr>
              <w:spacing w:after="60"/>
            </w:pPr>
            <w:r>
              <w:rPr>
                <w:b w:val="0"/>
                <w:sz w:val="19"/>
              </w:rPr>
              <w:t>aᵢ 및 n</w:t>
            </w:r>
          </w:p>
        </w:tc>
        <w:tc>
          <w:tcPr>
            <w:tcW w:type="dxa" w:w="7128"/>
            <w:shd w:fill="FFFFFF"/>
            <w:tcMar>
              <w:top w:w="90" w:type="dxa"/>
              <w:left w:w="90" w:type="dxa"/>
              <w:bottom w:w="90" w:type="dxa"/>
              <w:right w:w="90" w:type="dxa"/>
            </w:tcMar>
          </w:tcPr>
          <w:p>
            <w:pPr>
              <w:spacing w:after="60"/>
            </w:pPr>
            <w:r>
              <w:rPr>
                <w:b w:val="0"/>
                <w:sz w:val="19"/>
              </w:rPr>
              <w:t>행별 가중치와 현재 학습 행 수</w:t>
            </w:r>
          </w:p>
        </w:tc>
      </w:tr>
      <w:tr>
        <w:trPr>
          <w:cantSplit/>
        </w:trPr>
        <w:tc>
          <w:tcPr>
            <w:tcW w:type="dxa" w:w="1728"/>
            <w:shd w:fill="FFFFFF"/>
            <w:tcMar>
              <w:top w:w="90" w:type="dxa"/>
              <w:left w:w="90" w:type="dxa"/>
              <w:bottom w:w="90" w:type="dxa"/>
              <w:right w:w="90" w:type="dxa"/>
            </w:tcMar>
          </w:tcPr>
          <w:p>
            <w:pPr>
              <w:spacing w:after="60"/>
            </w:pPr>
            <w:r>
              <w:rPr>
                <w:b w:val="0"/>
                <w:sz w:val="19"/>
              </w:rPr>
              <w:t>λ</w:t>
            </w:r>
          </w:p>
        </w:tc>
        <w:tc>
          <w:tcPr>
            <w:tcW w:type="dxa" w:w="7128"/>
            <w:shd w:fill="FFFFFF"/>
            <w:tcMar>
              <w:top w:w="90" w:type="dxa"/>
              <w:left w:w="90" w:type="dxa"/>
              <w:bottom w:w="90" w:type="dxa"/>
              <w:right w:w="90" w:type="dxa"/>
            </w:tcMar>
          </w:tcPr>
          <w:p>
            <w:pPr>
              <w:spacing w:after="60"/>
            </w:pPr>
            <w:r>
              <w:rPr>
                <w:b w:val="0"/>
                <w:sz w:val="19"/>
              </w:rPr>
              <w:t>L2 규제 강도이며 절편은 규제에서 제외</w:t>
            </w:r>
          </w:p>
        </w:tc>
      </w:tr>
    </w:tbl>
    <w:p/>
    <w:p>
      <w:r>
        <w:t>목적함수는 개념식이다. 구현에서는 C가 작을수록 규제가 강하다. 정규화 관례를 확인하지 않고 λ=1/C로 단정하지 않는다. L2 규제는 소표본과 상관 변수로 인해 계수가 과도하게 커지는 것을 억제한다.</w:t>
      </w:r>
    </w:p>
    <w:p>
      <w:pPr>
        <w:pStyle w:val="Heading1"/>
      </w:pPr>
      <w:r>
        <w:t>불량 비율이 낮아도 학습되는 이유</w:t>
      </w:r>
    </w:p>
    <w:p>
      <w:r>
        <w:t>불량 비율은 초기값이 아니다. 계수와 절편이 0이면 초기 예측은 0.5이다. 로그 손실의 zᵢ에 대한 기울기는 pᵢ−yᵢ이고, 불량에 0.02를 예측하면 −0.98이다. 가중 손실에서는 aᵢ가 곱해진다. 불량을 낮게 예측했다고 학습 신호가 사라지는 것은 아니다.</w:t>
      </w:r>
    </w:p>
    <w:p>
      <w:pPr>
        <w:pStyle w:val="Heading1"/>
      </w:pPr>
      <w:r>
        <w:t>초기 비교안</w:t>
      </w:r>
    </w:p>
    <w:p>
      <w:r>
        <w:t>불량 대 정상 가중치 비율 r은 1, √(n₀/n₁), n₀/n₁을 비교한다. 평균 행 가중치를 1로 맞추려면 a₀=n/(n₀+r n₁), a₁=r a₀로 둔다. n₀와 n₁은 해당 학습 구간의 클래스 수이다. 균형 설정은 class_weight="balanced"와 같다.</w:t>
      </w:r>
    </w:p>
    <w:p>
      <w:r>
        <w:t>L2와 lbfgs를 사용하고 C는 0.01, 0.1, 1, 10을 초기 후보로 둔다. max_iter=3000에서 수렴을 확인한다. 가중 예측값은 실제 불량 발생률로 바로 해석하지 않는다. focal loss 등 추가 손실 변경은 첫 실험에서 제외한다.</w:t>
      </w:r>
    </w:p>
    <w:p>
      <w:r>
        <w:br w:type="page"/>
      </w:r>
    </w:p>
    <w:p>
      <w:pPr>
        <w:pStyle w:val="Heading1"/>
      </w:pPr>
      <w:r>
        <w:t>4 RF 원리와 분할 기준</w:t>
      </w:r>
    </w:p>
    <w:p>
      <w:r>
        <w:t>RF는 여러 의사결정나무의 예측을 평균한다. 각 트리는 학습 행을 복원추출하고, 각 노드에서 무작위로 선택한 일부 컬럼을 대상으로 분할을 탐색한다. 온도가 높고 시간이 짧은 경우처럼 조건의 결합을 분기 경로로 표현한다. 무작위성은 후보를 다양하게 만들며, 후보 안에서는 불순도 감소가 큰 분할을 선택한다.</w:t>
      </w:r>
    </w:p>
    <w:p>
      <w:r>
        <w:t>p₁,w(t) = [Σᵢ∈Iₜ aᵢ 1(yᵢ=1)] / [Σᵢ∈Iₜ aᵢ]</w:t>
      </w:r>
    </w:p>
    <w:p>
      <w:r>
        <w:t>p₀,w(t) = 1 − p₁,w(t)     G_w(t) = 1 − p₀,w(t)² − p₁,w(t)²</w:t>
      </w:r>
    </w:p>
    <w:p>
      <w:r>
        <w:t>ΔG_w = G_w(t) − [(W_L/W_t)G_w(L) + (W_R/W_t)G_w(R)]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6408"/>
      </w:tblGrid>
      <w:tr>
        <w:trPr>
          <w:cantSplit/>
          <w:tblHeader/>
        </w:trPr>
        <w:tc>
          <w:tcPr>
            <w:tcW w:type="dxa" w:w="2448"/>
            <w:shd w:fill="E8EEF4"/>
            <w:tcMar>
              <w:top w:w="90" w:type="dxa"/>
              <w:left w:w="90" w:type="dxa"/>
              <w:bottom w:w="90" w:type="dxa"/>
              <w:right w:w="90" w:type="dxa"/>
            </w:tcMar>
          </w:tcPr>
          <w:p>
            <w:pPr>
              <w:spacing w:after="60"/>
            </w:pPr>
            <w:r>
              <w:rPr>
                <w:b/>
                <w:sz w:val="19"/>
              </w:rPr>
              <w:t>기호</w:t>
            </w:r>
          </w:p>
        </w:tc>
        <w:tc>
          <w:tcPr>
            <w:tcW w:type="dxa" w:w="6408"/>
            <w:shd w:fill="E8EEF4"/>
            <w:tcMar>
              <w:top w:w="90" w:type="dxa"/>
              <w:left w:w="90" w:type="dxa"/>
              <w:bottom w:w="90" w:type="dxa"/>
              <w:right w:w="90" w:type="dxa"/>
            </w:tcMar>
          </w:tcPr>
          <w:p>
            <w:pPr>
              <w:spacing w:after="60"/>
            </w:pPr>
            <w:r>
              <w:rPr>
                <w:b/>
                <w:sz w:val="19"/>
              </w:rPr>
              <w:t>의미</w:t>
            </w:r>
          </w:p>
        </w:tc>
      </w:tr>
      <w:tr>
        <w:trPr>
          <w:cantSplit/>
        </w:trPr>
        <w:tc>
          <w:tcPr>
            <w:tcW w:type="dxa" w:w="2448"/>
            <w:shd w:fill="FFFFFF"/>
            <w:tcMar>
              <w:top w:w="90" w:type="dxa"/>
              <w:left w:w="90" w:type="dxa"/>
              <w:bottom w:w="90" w:type="dxa"/>
              <w:right w:w="90" w:type="dxa"/>
            </w:tcMar>
          </w:tcPr>
          <w:p>
            <w:pPr>
              <w:spacing w:after="60"/>
            </w:pPr>
            <w:r>
              <w:rPr>
                <w:b w:val="0"/>
                <w:sz w:val="19"/>
              </w:rPr>
              <w:t>t 및 Iₜ</w:t>
            </w:r>
          </w:p>
        </w:tc>
        <w:tc>
          <w:tcPr>
            <w:tcW w:type="dxa" w:w="6408"/>
            <w:shd w:fill="FFFFFF"/>
            <w:tcMar>
              <w:top w:w="90" w:type="dxa"/>
              <w:left w:w="90" w:type="dxa"/>
              <w:bottom w:w="90" w:type="dxa"/>
              <w:right w:w="90" w:type="dxa"/>
            </w:tcMar>
          </w:tcPr>
          <w:p>
            <w:pPr>
              <w:spacing w:after="60"/>
            </w:pPr>
            <w:r>
              <w:rPr>
                <w:b w:val="0"/>
                <w:sz w:val="19"/>
              </w:rPr>
              <w:t>현재 노드와 그 노드에 속한 행 인덱스 집합</w:t>
            </w:r>
          </w:p>
        </w:tc>
      </w:tr>
      <w:tr>
        <w:trPr>
          <w:cantSplit/>
        </w:trPr>
        <w:tc>
          <w:tcPr>
            <w:tcW w:type="dxa" w:w="2448"/>
            <w:shd w:fill="FFFFFF"/>
            <w:tcMar>
              <w:top w:w="90" w:type="dxa"/>
              <w:left w:w="90" w:type="dxa"/>
              <w:bottom w:w="90" w:type="dxa"/>
              <w:right w:w="90" w:type="dxa"/>
            </w:tcMar>
          </w:tcPr>
          <w:p>
            <w:pPr>
              <w:spacing w:after="60"/>
            </w:pPr>
            <w:r>
              <w:rPr>
                <w:b w:val="0"/>
                <w:sz w:val="19"/>
              </w:rPr>
              <w:t>aᵢ 및 1(yᵢ=1)</w:t>
            </w:r>
          </w:p>
        </w:tc>
        <w:tc>
          <w:tcPr>
            <w:tcW w:type="dxa" w:w="6408"/>
            <w:shd w:fill="FFFFFF"/>
            <w:tcMar>
              <w:top w:w="90" w:type="dxa"/>
              <w:left w:w="90" w:type="dxa"/>
              <w:bottom w:w="90" w:type="dxa"/>
              <w:right w:w="90" w:type="dxa"/>
            </w:tcMar>
          </w:tcPr>
          <w:p>
            <w:pPr>
              <w:spacing w:after="60"/>
            </w:pPr>
            <w:r>
              <w:rPr>
                <w:b w:val="0"/>
                <w:sz w:val="19"/>
              </w:rPr>
              <w:t>행 가중치와 불량이면 1인 지시함수</w:t>
            </w:r>
          </w:p>
        </w:tc>
      </w:tr>
      <w:tr>
        <w:trPr>
          <w:cantSplit/>
        </w:trPr>
        <w:tc>
          <w:tcPr>
            <w:tcW w:type="dxa" w:w="2448"/>
            <w:shd w:fill="FFFFFF"/>
            <w:tcMar>
              <w:top w:w="90" w:type="dxa"/>
              <w:left w:w="90" w:type="dxa"/>
              <w:bottom w:w="90" w:type="dxa"/>
              <w:right w:w="90" w:type="dxa"/>
            </w:tcMar>
          </w:tcPr>
          <w:p>
            <w:pPr>
              <w:spacing w:after="60"/>
            </w:pPr>
            <w:r>
              <w:rPr>
                <w:b w:val="0"/>
                <w:sz w:val="19"/>
              </w:rPr>
              <w:t>p₁,w 및 p₀,w</w:t>
            </w:r>
          </w:p>
        </w:tc>
        <w:tc>
          <w:tcPr>
            <w:tcW w:type="dxa" w:w="6408"/>
            <w:shd w:fill="FFFFFF"/>
            <w:tcMar>
              <w:top w:w="90" w:type="dxa"/>
              <w:left w:w="90" w:type="dxa"/>
              <w:bottom w:w="90" w:type="dxa"/>
              <w:right w:w="90" w:type="dxa"/>
            </w:tcMar>
          </w:tcPr>
          <w:p>
            <w:pPr>
              <w:spacing w:after="60"/>
            </w:pPr>
            <w:r>
              <w:rPr>
                <w:b w:val="0"/>
                <w:sz w:val="19"/>
              </w:rPr>
              <w:t>가중치를 반영한 불량 비율과 정상 비율</w:t>
            </w:r>
          </w:p>
        </w:tc>
      </w:tr>
      <w:tr>
        <w:trPr>
          <w:cantSplit/>
        </w:trPr>
        <w:tc>
          <w:tcPr>
            <w:tcW w:type="dxa" w:w="2448"/>
            <w:shd w:fill="FFFFFF"/>
            <w:tcMar>
              <w:top w:w="90" w:type="dxa"/>
              <w:left w:w="90" w:type="dxa"/>
              <w:bottom w:w="90" w:type="dxa"/>
              <w:right w:w="90" w:type="dxa"/>
            </w:tcMar>
          </w:tcPr>
          <w:p>
            <w:pPr>
              <w:spacing w:after="60"/>
            </w:pPr>
            <w:r>
              <w:rPr>
                <w:b w:val="0"/>
                <w:sz w:val="19"/>
              </w:rPr>
              <w:t>G_w 및 ΔG_w</w:t>
            </w:r>
          </w:p>
        </w:tc>
        <w:tc>
          <w:tcPr>
            <w:tcW w:type="dxa" w:w="6408"/>
            <w:shd w:fill="FFFFFF"/>
            <w:tcMar>
              <w:top w:w="90" w:type="dxa"/>
              <w:left w:w="90" w:type="dxa"/>
              <w:bottom w:w="90" w:type="dxa"/>
              <w:right w:w="90" w:type="dxa"/>
            </w:tcMar>
          </w:tcPr>
          <w:p>
            <w:pPr>
              <w:spacing w:after="60"/>
            </w:pPr>
            <w:r>
              <w:rPr>
                <w:b w:val="0"/>
                <w:sz w:val="19"/>
              </w:rPr>
              <w:t>가중 Gini 불순도와 분할 후 감소량</w:t>
            </w:r>
          </w:p>
        </w:tc>
      </w:tr>
      <w:tr>
        <w:trPr>
          <w:cantSplit/>
        </w:trPr>
        <w:tc>
          <w:tcPr>
            <w:tcW w:type="dxa" w:w="2448"/>
            <w:shd w:fill="FFFFFF"/>
            <w:tcMar>
              <w:top w:w="90" w:type="dxa"/>
              <w:left w:w="90" w:type="dxa"/>
              <w:bottom w:w="90" w:type="dxa"/>
              <w:right w:w="90" w:type="dxa"/>
            </w:tcMar>
          </w:tcPr>
          <w:p>
            <w:pPr>
              <w:spacing w:after="60"/>
            </w:pPr>
            <w:r>
              <w:rPr>
                <w:b w:val="0"/>
                <w:sz w:val="19"/>
              </w:rPr>
              <w:t>W_t 및 W_L 및 W_R</w:t>
            </w:r>
          </w:p>
        </w:tc>
        <w:tc>
          <w:tcPr>
            <w:tcW w:type="dxa" w:w="6408"/>
            <w:shd w:fill="FFFFFF"/>
            <w:tcMar>
              <w:top w:w="90" w:type="dxa"/>
              <w:left w:w="90" w:type="dxa"/>
              <w:bottom w:w="90" w:type="dxa"/>
              <w:right w:w="90" w:type="dxa"/>
            </w:tcMar>
          </w:tcPr>
          <w:p>
            <w:pPr>
              <w:spacing w:after="60"/>
            </w:pPr>
            <w:r>
              <w:rPr>
                <w:b w:val="0"/>
                <w:sz w:val="19"/>
              </w:rPr>
              <w:t>부모 노드와 좌우 자식 노드의 가중치 총합</w:t>
            </w:r>
          </w:p>
        </w:tc>
      </w:tr>
    </w:tbl>
    <w:p/>
    <w:p>
      <w:r>
        <w:t>이진 Gini는 한 클래스만 존재할 때 0, 가중 클래스 비율이 50%씩일 때 0.5이다. 클래스 가중치와 부트스트랩 중복 횟수가 유효 기여도에 반영된다. RF는 LR처럼 전체 로그 손실을 미분해서 최적화하는 모델이 아니다.</w:t>
      </w:r>
    </w:p>
    <w:p>
      <w:pPr>
        <w:pStyle w:val="Heading1"/>
      </w:pPr>
      <w:r>
        <w:t>균형 가중치의 의미</w:t>
      </w:r>
    </w:p>
    <w:p>
      <w:r>
        <w:t>정상 가중치 1, 불량 가중치 n₀/n₁을 기준으로 확정한다. 그러면 전체 학습에서 정상 총 가중치와 불량 총 가중치가 같아진다. class_weight="balanced"는 같은 상대 비율을 구현한다. 불량을 더 자주 추출하는 옵션은 아니며, 각 노드나 트리의 클래스 비중까지 50%로 만드는 것도 아니다.</w:t>
      </w:r>
    </w:p>
    <w:p>
      <w:r>
        <w:t>정상 98개와 불량 2개라면 불량 한 행 가중치는 49이다. 반면 n₀²/n₁은 불량 전체를 정상 전체보다 n₀배 강조하고 데이터 복제만으로도 상대 가중치가 바뀌므로 채택하지 않는다. 가중치는 각 학습 구간에서 계산하며 전체 검증 라벨을 사용하지 않는다.</w:t>
      </w:r>
    </w:p>
    <w:p>
      <w:r>
        <w:br w:type="page"/>
      </w:r>
    </w:p>
    <w:p>
      <w:pPr>
        <w:pStyle w:val="Heading1"/>
      </w:pPr>
      <w:r>
        <w:t>5 RF 예측과 복잡도 제어</w:t>
      </w:r>
    </w:p>
    <w:p>
      <w:r>
        <w:t>새 입력은 각 트리의 조건을 따라 리프 노드에 도착한다. 해당 리프의 가중 불량 비율을 트리 예측값으로 사용하며, scikit-learn RF는 트리별 클래스 확률을 평균한다.</w:t>
      </w:r>
    </w:p>
    <w:p>
      <w:r>
        <w:t>p_RF(x) = (1/B) Σ_b p_b(x)</w:t>
      </w:r>
    </w:p>
    <w:p>
      <w:r>
        <w:t>B는 트리 수, p_b(x)는 b번째 트리의 예측값이다. 단순한 라벨 다수결과는 구분한다. 가중 학습의 출력은 우선 불량 예측 점수로 해석하고, 내부 검증에서 정한 임계값으로 정상 0과 불량 1을 판정한다.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480"/>
      </w:tblGrid>
      <w:tr>
        <w:trPr>
          <w:cantSplit/>
          <w:tblHeader/>
        </w:trPr>
        <w:tc>
          <w:tcPr>
            <w:tcW w:type="dxa" w:w="2376"/>
            <w:shd w:fill="E8EEF4"/>
            <w:tcMar>
              <w:top w:w="90" w:type="dxa"/>
              <w:left w:w="90" w:type="dxa"/>
              <w:bottom w:w="90" w:type="dxa"/>
              <w:right w:w="90" w:type="dxa"/>
            </w:tcMar>
          </w:tcPr>
          <w:p>
            <w:pPr>
              <w:spacing w:after="60"/>
            </w:pPr>
            <w:r>
              <w:rPr>
                <w:b/>
                <w:sz w:val="19"/>
              </w:rPr>
              <w:t>설정</w:t>
            </w:r>
          </w:p>
        </w:tc>
        <w:tc>
          <w:tcPr>
            <w:tcW w:type="dxa" w:w="6480"/>
            <w:shd w:fill="E8EEF4"/>
            <w:tcMar>
              <w:top w:w="90" w:type="dxa"/>
              <w:left w:w="90" w:type="dxa"/>
              <w:bottom w:w="90" w:type="dxa"/>
              <w:right w:w="90" w:type="dxa"/>
            </w:tcMar>
          </w:tcPr>
          <w:p>
            <w:pPr>
              <w:spacing w:after="60"/>
            </w:pPr>
            <w:r>
              <w:rPr>
                <w:b/>
                <w:sz w:val="19"/>
              </w:rPr>
              <w:t>역할과 검토 방향</w:t>
            </w:r>
          </w:p>
        </w:tc>
      </w:tr>
      <w:tr>
        <w:trPr>
          <w:cantSplit/>
        </w:trPr>
        <w:tc>
          <w:tcPr>
            <w:tcW w:type="dxa" w:w="2376"/>
            <w:shd w:fill="FFFFFF"/>
            <w:tcMar>
              <w:top w:w="90" w:type="dxa"/>
              <w:left w:w="90" w:type="dxa"/>
              <w:bottom w:w="90" w:type="dxa"/>
              <w:right w:w="90" w:type="dxa"/>
            </w:tcMar>
          </w:tcPr>
          <w:p>
            <w:pPr>
              <w:spacing w:after="60"/>
            </w:pPr>
            <w:r>
              <w:rPr>
                <w:b w:val="0"/>
                <w:sz w:val="19"/>
              </w:rPr>
              <w:t>n_estimators</w:t>
            </w:r>
          </w:p>
        </w:tc>
        <w:tc>
          <w:tcPr>
            <w:tcW w:type="dxa" w:w="6480"/>
            <w:shd w:fill="FFFFFF"/>
            <w:tcMar>
              <w:top w:w="90" w:type="dxa"/>
              <w:left w:w="90" w:type="dxa"/>
              <w:bottom w:w="90" w:type="dxa"/>
              <w:right w:w="90" w:type="dxa"/>
            </w:tcMar>
          </w:tcPr>
          <w:p>
            <w:pPr>
              <w:spacing w:after="60"/>
            </w:pPr>
            <w:r>
              <w:rPr>
                <w:b w:val="0"/>
                <w:sz w:val="19"/>
              </w:rPr>
              <w:t>트리 수를 늘려 무작위 예측 변동을 줄인다.</w:t>
            </w:r>
          </w:p>
        </w:tc>
      </w:tr>
      <w:tr>
        <w:trPr>
          <w:cantSplit/>
        </w:trPr>
        <w:tc>
          <w:tcPr>
            <w:tcW w:type="dxa" w:w="2376"/>
            <w:shd w:fill="FFFFFF"/>
            <w:tcMar>
              <w:top w:w="90" w:type="dxa"/>
              <w:left w:w="90" w:type="dxa"/>
              <w:bottom w:w="90" w:type="dxa"/>
              <w:right w:w="90" w:type="dxa"/>
            </w:tcMar>
          </w:tcPr>
          <w:p>
            <w:pPr>
              <w:spacing w:after="60"/>
            </w:pPr>
            <w:r>
              <w:rPr>
                <w:b w:val="0"/>
                <w:sz w:val="19"/>
              </w:rPr>
              <w:t>max_depth</w:t>
            </w:r>
          </w:p>
        </w:tc>
        <w:tc>
          <w:tcPr>
            <w:tcW w:type="dxa" w:w="6480"/>
            <w:shd w:fill="FFFFFF"/>
            <w:tcMar>
              <w:top w:w="90" w:type="dxa"/>
              <w:left w:w="90" w:type="dxa"/>
              <w:bottom w:w="90" w:type="dxa"/>
              <w:right w:w="90" w:type="dxa"/>
            </w:tcMar>
          </w:tcPr>
          <w:p>
            <w:pPr>
              <w:spacing w:after="60"/>
            </w:pPr>
            <w:r>
              <w:rPr>
                <w:b w:val="0"/>
                <w:sz w:val="19"/>
              </w:rPr>
              <w:t>분기 깊이를 제한하여 세부 조건 암기를 줄인다.</w:t>
            </w:r>
          </w:p>
        </w:tc>
      </w:tr>
      <w:tr>
        <w:trPr>
          <w:cantSplit/>
        </w:trPr>
        <w:tc>
          <w:tcPr>
            <w:tcW w:type="dxa" w:w="2376"/>
            <w:shd w:fill="FFFFFF"/>
            <w:tcMar>
              <w:top w:w="90" w:type="dxa"/>
              <w:left w:w="90" w:type="dxa"/>
              <w:bottom w:w="90" w:type="dxa"/>
              <w:right w:w="90" w:type="dxa"/>
            </w:tcMar>
          </w:tcPr>
          <w:p>
            <w:pPr>
              <w:spacing w:after="60"/>
            </w:pPr>
            <w:r>
              <w:rPr>
                <w:b w:val="0"/>
                <w:sz w:val="19"/>
              </w:rPr>
              <w:t>min_samples_leaf</w:t>
            </w:r>
          </w:p>
        </w:tc>
        <w:tc>
          <w:tcPr>
            <w:tcW w:type="dxa" w:w="6480"/>
            <w:shd w:fill="FFFFFF"/>
            <w:tcMar>
              <w:top w:w="90" w:type="dxa"/>
              <w:left w:w="90" w:type="dxa"/>
              <w:bottom w:w="90" w:type="dxa"/>
              <w:right w:w="90" w:type="dxa"/>
            </w:tcMar>
          </w:tcPr>
          <w:p>
            <w:pPr>
              <w:spacing w:after="60"/>
            </w:pPr>
            <w:r>
              <w:rPr>
                <w:b w:val="0"/>
                <w:sz w:val="19"/>
              </w:rPr>
              <w:t>리프의 최소 행 수로 소집단 과적합을 제어한다.</w:t>
            </w:r>
          </w:p>
        </w:tc>
      </w:tr>
      <w:tr>
        <w:trPr>
          <w:cantSplit/>
        </w:trPr>
        <w:tc>
          <w:tcPr>
            <w:tcW w:type="dxa" w:w="2376"/>
            <w:shd w:fill="FFFFFF"/>
            <w:tcMar>
              <w:top w:w="90" w:type="dxa"/>
              <w:left w:w="90" w:type="dxa"/>
              <w:bottom w:w="90" w:type="dxa"/>
              <w:right w:w="90" w:type="dxa"/>
            </w:tcMar>
          </w:tcPr>
          <w:p>
            <w:pPr>
              <w:spacing w:after="60"/>
            </w:pPr>
            <w:r>
              <w:rPr>
                <w:b w:val="0"/>
                <w:sz w:val="19"/>
              </w:rPr>
              <w:t>max_features</w:t>
            </w:r>
          </w:p>
        </w:tc>
        <w:tc>
          <w:tcPr>
            <w:tcW w:type="dxa" w:w="6480"/>
            <w:shd w:fill="FFFFFF"/>
            <w:tcMar>
              <w:top w:w="90" w:type="dxa"/>
              <w:left w:w="90" w:type="dxa"/>
              <w:bottom w:w="90" w:type="dxa"/>
              <w:right w:w="90" w:type="dxa"/>
            </w:tcMar>
          </w:tcPr>
          <w:p>
            <w:pPr>
              <w:spacing w:after="60"/>
            </w:pPr>
            <w:r>
              <w:rPr>
                <w:b w:val="0"/>
                <w:sz w:val="19"/>
              </w:rPr>
              <w:t>분할 후보 컬럼 수로 트리 다양성을 조절한다.</w:t>
            </w:r>
          </w:p>
        </w:tc>
      </w:tr>
      <w:tr>
        <w:trPr>
          <w:cantSplit/>
        </w:trPr>
        <w:tc>
          <w:tcPr>
            <w:tcW w:type="dxa" w:w="2376"/>
            <w:shd w:fill="FFFFFF"/>
            <w:tcMar>
              <w:top w:w="90" w:type="dxa"/>
              <w:left w:w="90" w:type="dxa"/>
              <w:bottom w:w="90" w:type="dxa"/>
              <w:right w:w="90" w:type="dxa"/>
            </w:tcMar>
          </w:tcPr>
          <w:p>
            <w:pPr>
              <w:spacing w:after="60"/>
            </w:pPr>
            <w:r>
              <w:rPr>
                <w:b w:val="0"/>
                <w:sz w:val="19"/>
              </w:rPr>
              <w:t>class_weight</w:t>
            </w:r>
          </w:p>
        </w:tc>
        <w:tc>
          <w:tcPr>
            <w:tcW w:type="dxa" w:w="6480"/>
            <w:shd w:fill="FFFFFF"/>
            <w:tcMar>
              <w:top w:w="90" w:type="dxa"/>
              <w:left w:w="90" w:type="dxa"/>
              <w:bottom w:w="90" w:type="dxa"/>
              <w:right w:w="90" w:type="dxa"/>
            </w:tcMar>
          </w:tcPr>
          <w:p>
            <w:pPr>
              <w:spacing w:after="60"/>
            </w:pPr>
            <w:r>
              <w:rPr>
                <w:b w:val="0"/>
                <w:sz w:val="19"/>
              </w:rPr>
              <w:t>balanced로 고정한다.</w:t>
            </w:r>
          </w:p>
        </w:tc>
      </w:tr>
      <w:tr>
        <w:trPr>
          <w:cantSplit/>
        </w:trPr>
        <w:tc>
          <w:tcPr>
            <w:tcW w:type="dxa" w:w="2376"/>
            <w:shd w:fill="FFFFFF"/>
            <w:tcMar>
              <w:top w:w="90" w:type="dxa"/>
              <w:left w:w="90" w:type="dxa"/>
              <w:bottom w:w="90" w:type="dxa"/>
              <w:right w:w="90" w:type="dxa"/>
            </w:tcMar>
          </w:tcPr>
          <w:p>
            <w:pPr>
              <w:spacing w:after="60"/>
            </w:pPr>
            <w:r>
              <w:rPr>
                <w:b w:val="0"/>
                <w:sz w:val="19"/>
              </w:rPr>
              <w:t>criterion 및 bootstrap</w:t>
            </w:r>
          </w:p>
        </w:tc>
        <w:tc>
          <w:tcPr>
            <w:tcW w:type="dxa" w:w="6480"/>
            <w:shd w:fill="FFFFFF"/>
            <w:tcMar>
              <w:top w:w="90" w:type="dxa"/>
              <w:left w:w="90" w:type="dxa"/>
              <w:bottom w:w="90" w:type="dxa"/>
              <w:right w:w="90" w:type="dxa"/>
            </w:tcMar>
          </w:tcPr>
          <w:p>
            <w:pPr>
              <w:spacing w:after="60"/>
            </w:pPr>
            <w:r>
              <w:rPr>
                <w:b w:val="0"/>
                <w:sz w:val="19"/>
              </w:rPr>
              <w:t>gini와 복원추출을 기본으로 사용한다.</w:t>
            </w:r>
          </w:p>
        </w:tc>
      </w:tr>
    </w:tbl>
    <w:p/>
    <w:p>
      <w:pPr>
        <w:pStyle w:val="Heading1"/>
      </w:pPr>
      <w:r>
        <w:t>실행을 위한 초기 후보</w:t>
      </w:r>
    </w:p>
    <w:p>
      <w:r>
        <w:t>n_estimators=500, max_features="sqrt", random_state=42를 초기 고정안으로 둔다. max_depth는 3, 5, None, min_samples_leaf는 1, 3, 5를 비교하는 9개 조합을 제안한다. 이 값들은 검증된 최적값이 아니다. 가중치 효과를 확인하기 위한 무가중 기준 모델은 별도로 보고한다.</w:t>
      </w:r>
    </w:p>
    <w:p>
      <w:r>
        <w:t>리프 최소 행 수가 너무 크면 소수 불량을 따로 분리하기 어렵고, 너무 작으면 불량 몇 개를 외울 수 있다. 동일 입력 중복 행 수는 독립적인 공정 패턴 수와 다르므로, 리프 행 수만으로 근거가 충분하다고 해석하지 않는다.</w:t>
      </w:r>
    </w:p>
    <w:p>
      <w:pPr>
        <w:pStyle w:val="Heading1"/>
      </w:pPr>
      <w:r>
        <w:t>해석과 평가상의 주의점</w:t>
      </w:r>
    </w:p>
    <w:p>
      <w:r>
        <w:t>변수 중요도는 모델이 활용한 정보이며 공정의 인과관계가 아니다. 상관된 변수 사이에서는 중요도가 나뉘거나 한쪽에 집중될 수 있다. 대표 분기와 검증 기반 중요도를 함께 확인하고, 전체 데이터에서 얻은 해석을 다시 특징 선택에 쓰면 별도 검증한다.</w:t>
      </w:r>
    </w:p>
    <w:p>
      <w:r>
        <w:t>OOB 평가는 트리별 미추출 행을 평가하지만 동일 입력의 다른 행이 학습에 남을 수 있다. 따라서 본 데이터에서는 그룹을 보존한 외부 검증을 대신하지 않는다. 동일 입력의 상충 라벨에는 동일 점수가 나오므로 RF도 그 라벨들을 완전히 분리할 수 없다.</w:t>
      </w:r>
    </w:p>
    <w:p>
      <w:r>
        <w:br w:type="page"/>
      </w:r>
    </w:p>
    <w:p>
      <w:pPr>
        <w:pStyle w:val="Heading1"/>
      </w:pPr>
      <w:r>
        <w:t>6 OCSVM 원리와 목적함수</w:t>
      </w:r>
    </w:p>
    <w:p>
      <w:r>
        <w:t>OCSVM은 정상 관측의 분포를 학습하고 정상 영역 밖의 새 관측을 이상 후보로 판단한다. 일반 분류 SVM인 SVC와 달리 정상과 불량 사이의 경계를 직접 학습하지 않는다. 본 설계에서는 정상만으로 적합하고, 불량 라벨은 내부 검증의 설정 및 임계값 선택에 사용한다.</w:t>
      </w:r>
    </w:p>
    <w:p>
      <w:r>
        <w:t>min J = ½||w||² + [1/(νn)] Σᵢ ξᵢ − ρ</w:t>
      </w:r>
    </w:p>
    <w:p>
      <w:r>
        <w:t>제약조건   wᵀφ(xᵢ) ≥ ρ − ξᵢ,   ξᵢ ≥ 0</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6984"/>
      </w:tblGrid>
      <w:tr>
        <w:trPr>
          <w:cantSplit/>
          <w:tblHeader/>
        </w:trPr>
        <w:tc>
          <w:tcPr>
            <w:tcW w:type="dxa" w:w="1872"/>
            <w:shd w:fill="E8EEF4"/>
            <w:tcMar>
              <w:top w:w="90" w:type="dxa"/>
              <w:left w:w="90" w:type="dxa"/>
              <w:bottom w:w="90" w:type="dxa"/>
              <w:right w:w="90" w:type="dxa"/>
            </w:tcMar>
          </w:tcPr>
          <w:p>
            <w:pPr>
              <w:spacing w:after="60"/>
            </w:pPr>
            <w:r>
              <w:rPr>
                <w:b/>
                <w:sz w:val="19"/>
              </w:rPr>
              <w:t>기호</w:t>
            </w:r>
          </w:p>
        </w:tc>
        <w:tc>
          <w:tcPr>
            <w:tcW w:type="dxa" w:w="6984"/>
            <w:shd w:fill="E8EEF4"/>
            <w:tcMar>
              <w:top w:w="90" w:type="dxa"/>
              <w:left w:w="90" w:type="dxa"/>
              <w:bottom w:w="90" w:type="dxa"/>
              <w:right w:w="90" w:type="dxa"/>
            </w:tcMar>
          </w:tcPr>
          <w:p>
            <w:pPr>
              <w:spacing w:after="60"/>
            </w:pPr>
            <w:r>
              <w:rPr>
                <w:b/>
                <w:sz w:val="19"/>
              </w:rPr>
              <w:t>의미</w:t>
            </w:r>
          </w:p>
        </w:tc>
      </w:tr>
      <w:tr>
        <w:trPr>
          <w:cantSplit/>
        </w:trPr>
        <w:tc>
          <w:tcPr>
            <w:tcW w:type="dxa" w:w="1872"/>
            <w:shd w:fill="FFFFFF"/>
            <w:tcMar>
              <w:top w:w="90" w:type="dxa"/>
              <w:left w:w="90" w:type="dxa"/>
              <w:bottom w:w="90" w:type="dxa"/>
              <w:right w:w="90" w:type="dxa"/>
            </w:tcMar>
          </w:tcPr>
          <w:p>
            <w:pPr>
              <w:spacing w:after="60"/>
            </w:pPr>
            <w:r>
              <w:rPr>
                <w:b w:val="0"/>
                <w:sz w:val="19"/>
              </w:rPr>
              <w:t>n 및 xᵢ</w:t>
            </w:r>
          </w:p>
        </w:tc>
        <w:tc>
          <w:tcPr>
            <w:tcW w:type="dxa" w:w="6984"/>
            <w:shd w:fill="FFFFFF"/>
            <w:tcMar>
              <w:top w:w="90" w:type="dxa"/>
              <w:left w:w="90" w:type="dxa"/>
              <w:bottom w:w="90" w:type="dxa"/>
              <w:right w:w="90" w:type="dxa"/>
            </w:tcMar>
          </w:tcPr>
          <w:p>
            <w:pPr>
              <w:spacing w:after="60"/>
            </w:pPr>
            <w:r>
              <w:rPr>
                <w:b w:val="0"/>
                <w:sz w:val="19"/>
              </w:rPr>
              <w:t>학습 정상 관측 수와 전처리된 입력 벡터</w:t>
            </w:r>
          </w:p>
        </w:tc>
      </w:tr>
      <w:tr>
        <w:trPr>
          <w:cantSplit/>
        </w:trPr>
        <w:tc>
          <w:tcPr>
            <w:tcW w:type="dxa" w:w="1872"/>
            <w:shd w:fill="FFFFFF"/>
            <w:tcMar>
              <w:top w:w="90" w:type="dxa"/>
              <w:left w:w="90" w:type="dxa"/>
              <w:bottom w:w="90" w:type="dxa"/>
              <w:right w:w="90" w:type="dxa"/>
            </w:tcMar>
          </w:tcPr>
          <w:p>
            <w:pPr>
              <w:spacing w:after="60"/>
            </w:pPr>
            <w:r>
              <w:rPr>
                <w:b w:val="0"/>
                <w:sz w:val="19"/>
              </w:rPr>
              <w:t>φ(xᵢ)</w:t>
            </w:r>
          </w:p>
        </w:tc>
        <w:tc>
          <w:tcPr>
            <w:tcW w:type="dxa" w:w="6984"/>
            <w:shd w:fill="FFFFFF"/>
            <w:tcMar>
              <w:top w:w="90" w:type="dxa"/>
              <w:left w:w="90" w:type="dxa"/>
              <w:bottom w:w="90" w:type="dxa"/>
              <w:right w:w="90" w:type="dxa"/>
            </w:tcMar>
          </w:tcPr>
          <w:p>
            <w:pPr>
              <w:spacing w:after="60"/>
            </w:pPr>
            <w:r>
              <w:rPr>
                <w:b w:val="0"/>
                <w:sz w:val="19"/>
              </w:rPr>
              <w:t>커널이 암묵적으로 표현하는 특징 공간의 입력</w:t>
            </w:r>
          </w:p>
        </w:tc>
      </w:tr>
      <w:tr>
        <w:trPr>
          <w:cantSplit/>
        </w:trPr>
        <w:tc>
          <w:tcPr>
            <w:tcW w:type="dxa" w:w="1872"/>
            <w:shd w:fill="FFFFFF"/>
            <w:tcMar>
              <w:top w:w="90" w:type="dxa"/>
              <w:left w:w="90" w:type="dxa"/>
              <w:bottom w:w="90" w:type="dxa"/>
              <w:right w:w="90" w:type="dxa"/>
            </w:tcMar>
          </w:tcPr>
          <w:p>
            <w:pPr>
              <w:spacing w:after="60"/>
            </w:pPr>
            <w:r>
              <w:rPr>
                <w:b w:val="0"/>
                <w:sz w:val="19"/>
              </w:rPr>
              <w:t>w 및 ρ</w:t>
            </w:r>
          </w:p>
        </w:tc>
        <w:tc>
          <w:tcPr>
            <w:tcW w:type="dxa" w:w="6984"/>
            <w:shd w:fill="FFFFFF"/>
            <w:tcMar>
              <w:top w:w="90" w:type="dxa"/>
              <w:left w:w="90" w:type="dxa"/>
              <w:bottom w:w="90" w:type="dxa"/>
              <w:right w:w="90" w:type="dxa"/>
            </w:tcMar>
          </w:tcPr>
          <w:p>
            <w:pPr>
              <w:spacing w:after="60"/>
            </w:pPr>
            <w:r>
              <w:rPr>
                <w:b w:val="0"/>
                <w:sz w:val="19"/>
              </w:rPr>
              <w:t>특징 공간의 경계 벡터와 경계 위치</w:t>
            </w:r>
          </w:p>
        </w:tc>
      </w:tr>
      <w:tr>
        <w:trPr>
          <w:cantSplit/>
        </w:trPr>
        <w:tc>
          <w:tcPr>
            <w:tcW w:type="dxa" w:w="1872"/>
            <w:shd w:fill="FFFFFF"/>
            <w:tcMar>
              <w:top w:w="90" w:type="dxa"/>
              <w:left w:w="90" w:type="dxa"/>
              <w:bottom w:w="90" w:type="dxa"/>
              <w:right w:w="90" w:type="dxa"/>
            </w:tcMar>
          </w:tcPr>
          <w:p>
            <w:pPr>
              <w:spacing w:after="60"/>
            </w:pPr>
            <w:r>
              <w:rPr>
                <w:b w:val="0"/>
                <w:sz w:val="19"/>
              </w:rPr>
              <w:t>ξᵢ</w:t>
            </w:r>
          </w:p>
        </w:tc>
        <w:tc>
          <w:tcPr>
            <w:tcW w:type="dxa" w:w="6984"/>
            <w:shd w:fill="FFFFFF"/>
            <w:tcMar>
              <w:top w:w="90" w:type="dxa"/>
              <w:left w:w="90" w:type="dxa"/>
              <w:bottom w:w="90" w:type="dxa"/>
              <w:right w:w="90" w:type="dxa"/>
            </w:tcMar>
          </w:tcPr>
          <w:p>
            <w:pPr>
              <w:spacing w:after="60"/>
            </w:pPr>
            <w:r>
              <w:rPr>
                <w:b w:val="0"/>
                <w:sz w:val="19"/>
              </w:rPr>
              <w:t>정상 관측 i의 경계 조건 위반 정도</w:t>
            </w:r>
          </w:p>
        </w:tc>
      </w:tr>
      <w:tr>
        <w:trPr>
          <w:cantSplit/>
        </w:trPr>
        <w:tc>
          <w:tcPr>
            <w:tcW w:type="dxa" w:w="1872"/>
            <w:shd w:fill="FFFFFF"/>
            <w:tcMar>
              <w:top w:w="90" w:type="dxa"/>
              <w:left w:w="90" w:type="dxa"/>
              <w:bottom w:w="90" w:type="dxa"/>
              <w:right w:w="90" w:type="dxa"/>
            </w:tcMar>
          </w:tcPr>
          <w:p>
            <w:pPr>
              <w:spacing w:after="60"/>
            </w:pPr>
            <w:r>
              <w:rPr>
                <w:b w:val="0"/>
                <w:sz w:val="19"/>
              </w:rPr>
              <w:t>ν 또는 nu</w:t>
            </w:r>
          </w:p>
        </w:tc>
        <w:tc>
          <w:tcPr>
            <w:tcW w:type="dxa" w:w="6984"/>
            <w:shd w:fill="FFFFFF"/>
            <w:tcMar>
              <w:top w:w="90" w:type="dxa"/>
              <w:left w:w="90" w:type="dxa"/>
              <w:bottom w:w="90" w:type="dxa"/>
              <w:right w:w="90" w:type="dxa"/>
            </w:tcMar>
          </w:tcPr>
          <w:p>
            <w:pPr>
              <w:spacing w:after="60"/>
            </w:pPr>
            <w:r>
              <w:rPr>
                <w:b w:val="0"/>
                <w:sz w:val="19"/>
              </w:rPr>
              <w:t>경계 위반 벌점과 해의 성질을 조절하는 값</w:t>
            </w:r>
          </w:p>
        </w:tc>
      </w:tr>
    </w:tbl>
    <w:p/>
    <w:p>
      <w:r>
        <w:t>첫 항은 경계를 규제하고, 두 번째 항은 경계 조건 위반에 벌점을 준다. 마지막 항은 경계 위치를 조정한다. 일부 학습 관측의 위반을 허용하면서 정상 영역을 표현한다. 불량에 n₀/n₁ 가중치를 주는 분류 손실과는 다르다.</w:t>
      </w:r>
    </w:p>
    <w:p>
      <w:pPr>
        <w:pStyle w:val="Heading1"/>
      </w:pPr>
      <w:r>
        <w:t>RBF 커널과 gamma</w:t>
      </w:r>
    </w:p>
    <w:p>
      <w:r>
        <w:t>K(xᵢ,xⱼ) = exp(−γ ||xᵢ−xⱼ||²)</w:t>
      </w:r>
    </w:p>
    <w:p>
      <w:r>
        <w:t>K는 두 관측의 유사도, 제곱 거리 ||xᵢ−xⱼ||²는 입력 차이, γ는 거리 증가에 따라 유사도가 감소하는 속도이다. gamma가 크면 가까운 관측만 유사하게 보고 정상 영역이 세밀해질 수 있다. 작으면 넓은 범위의 관측을 유사하게 본다. 학습 정상 기준의 스케일링이 중요하다.</w:t>
      </w:r>
    </w:p>
    <w:p>
      <w:pPr>
        <w:pStyle w:val="Heading1"/>
      </w:pPr>
      <w:r>
        <w:t>nu의 해석</w:t>
      </w:r>
    </w:p>
    <w:p>
      <w:r>
        <w:t>nu는 이론적으로 학습 경계 위반 비율의 상한이자 서포트 벡터 비율의 하한이다. 서포트 벡터는 경계를 결정하는 학습 관측이다. 실제 계산에서는 경계 위의 점과 수치 오차를 고려해야 한다. nu=0.03이 새 데이터의 3%를 불량으로 판정한다는 뜻은 아니며, 정상만 학습하므로 전체 불량률을 그대로 nu로 정할 근거도 없다.</w:t>
      </w:r>
    </w:p>
    <w:p>
      <w:r>
        <w:br w:type="page"/>
      </w:r>
    </w:p>
    <w:p>
      <w:pPr>
        <w:pStyle w:val="Heading1"/>
      </w:pPr>
      <w:r>
        <w:t>7 OCSVM 점수와 학습 전략</w:t>
      </w:r>
    </w:p>
    <w:p>
      <w:r>
        <w:t>f(x) = wᵀφ(x) − ρ     s(x) = −f(x)</w:t>
      </w:r>
    </w:p>
    <w:p>
      <w:r>
        <w:t>f는 decision_function의 결정 점수이다. 기본적으로 양수이면 정상 영역 안, 음수이면 밖이다. predict는 각각 +1과 −1을 반환한다. 이 −1은 확정 불량이 아니라 이상 탐지 결과이다. 우리 공통 라벨은 정상 0, 불량 1로 유지한다.</w:t>
      </w:r>
    </w:p>
    <w:p>
      <w:r>
        <w:t>s는 부호를 뒤집은 이상 점수로 클수록 이상 가능성이 높다. s(x)&gt;τ이면 불량 1, 아니면 정상 0으로 판정한다. τ는 내부 검증에서 선택한다. s는 0~1 확률이 아니므로 LR의 로그 손실을 그대로 계산하지 않는다.</w:t>
      </w:r>
    </w:p>
    <w:p>
      <w:pPr>
        <w:pStyle w:val="Heading1"/>
      </w:pPr>
      <w:r>
        <w:t>적합과 내부 검증</w:t>
      </w:r>
    </w:p>
    <w:p>
      <w:r>
        <w:t>먼저 정상·불량 전체를 대상으로 그룹 분할한다. 이후 내부 학습의 정상만 선택하여 상수 제거, 스케일러, OCSVM을 적합한다. 내부 검증의 정상·불량 모두에 이상 점수를 산출하고 평균 AP로 nu와 gamma를 선택한다. 선택한 설정의 내부 OOF 점수에서 F2 임계값을 정한다.</w:t>
      </w:r>
    </w:p>
    <w:p>
      <w:r>
        <w:t>RBF 커널, nu 후보 0.01, 0.05, 0.10과 gamma 기준값의 0.1배, 1배, 10배를 초기안으로 제안한다. gamma 기준값은 각 정상 학습의 표준화 후 남은 변수 수 d에 대해 1/d로 둔다. 총 9개 후보이며 최적값으로 확정한 수치는 아니다.</w:t>
      </w:r>
    </w:p>
    <w:p>
      <w:r>
        <w:t>선택 후 외부 학습의 정상 전체로 다시 적합하고 외부 검증 전체에 평가한다. 설정과 임계값 선택에 불량 라벨을 사용하므로 전체 실험을 완전한 무라벨 비지도 실험이라고 설명하지 않는다.</w:t>
      </w:r>
    </w:p>
    <w:p>
      <w:pPr>
        <w:pStyle w:val="Heading1"/>
      </w:pPr>
      <w:r>
        <w:t>정상만 학습할 때의 한계</w:t>
      </w:r>
    </w:p>
    <w:p>
      <w:r>
        <w:t>CN7의 불량 전용 패턴은 정상 영역 밖에 놓이는지 검토할 가치가 있다. RG3의 모든 불량은 정상과 같은 입력을 가지므로, 같은 검증 그룹의 정상·불량 쌍에는 동일 점수가 나온다. 탐지율 상승과 오탐 증가를 함께 해석해야 한다.</w:t>
      </w:r>
    </w:p>
    <w:p>
      <w:r>
        <w:t>OCSVM 점수 크기는 재적합 모델마다 달라질 수 있다. 내부 점수에서 고른 수치 임계값이 외부 재적합 모델에서 얼마나 안정적인지 기록한다. 초기안에서는 이 절차를 일관되게 적용하고, 안정성이 부족하면 정상 기준 점수 정규화 등 별도의 사전 정의된 비교안을 검토한다. 외부 결과에 맞춰 임계값을 다시 조정하지 않는다.</w:t>
      </w:r>
    </w:p>
    <w:p>
      <w:r>
        <w:br w:type="page"/>
      </w:r>
    </w:p>
    <w:p>
      <w:pPr>
        <w:pStyle w:val="Heading1"/>
      </w:pPr>
      <w:r>
        <w:t>8 공통 평가와 결과 분석</w:t>
      </w:r>
    </w:p>
    <w:p>
      <w:r>
        <w:t>모든 모델에서 실제 불량을 양성으로 둔다. TP는 탐지한 불량, FP는 불량으로 오인한 정상, FN은 놓친 불량, TN은 정상으로 판정한 정상이다.</w:t>
      </w:r>
    </w:p>
    <w:p>
      <w:r>
        <w:t>Precision = TP/(TP+FP)     Recall = TP/(TP+FN)</w:t>
      </w:r>
    </w:p>
    <w:p>
      <w:r>
        <w:t>Fβ = (1+β²) × Precision × Recall / (β² × Precision + Recall)</w:t>
      </w:r>
    </w:p>
    <w:p>
      <w:r>
        <w:t>여기서 β는 F 지표의 Recall 강조 정도이며 LR의 계수 기호와는 별개이다. β=1이면 F1, β=2이면 F2이다. 분모가 0인 경우 점수 0과 관련 관측 수를 기록하는 규칙을 고정한다.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6696"/>
      </w:tblGrid>
      <w:tr>
        <w:trPr>
          <w:cantSplit/>
          <w:tblHeader/>
        </w:trPr>
        <w:tc>
          <w:tcPr>
            <w:tcW w:type="dxa" w:w="2160"/>
            <w:shd w:fill="E8EEF4"/>
            <w:tcMar>
              <w:top w:w="90" w:type="dxa"/>
              <w:left w:w="90" w:type="dxa"/>
              <w:bottom w:w="90" w:type="dxa"/>
              <w:right w:w="90" w:type="dxa"/>
            </w:tcMar>
          </w:tcPr>
          <w:p>
            <w:pPr>
              <w:spacing w:after="60"/>
            </w:pPr>
            <w:r>
              <w:rPr>
                <w:b/>
                <w:sz w:val="19"/>
              </w:rPr>
              <w:t>항목</w:t>
            </w:r>
          </w:p>
        </w:tc>
        <w:tc>
          <w:tcPr>
            <w:tcW w:type="dxa" w:w="6696"/>
            <w:shd w:fill="E8EEF4"/>
            <w:tcMar>
              <w:top w:w="90" w:type="dxa"/>
              <w:left w:w="90" w:type="dxa"/>
              <w:bottom w:w="90" w:type="dxa"/>
              <w:right w:w="90" w:type="dxa"/>
            </w:tcMar>
          </w:tcPr>
          <w:p>
            <w:pPr>
              <w:spacing w:after="60"/>
            </w:pPr>
            <w:r>
              <w:rPr>
                <w:b/>
                <w:sz w:val="19"/>
              </w:rPr>
              <w:t>분석 목적</w:t>
            </w:r>
          </w:p>
        </w:tc>
      </w:tr>
      <w:tr>
        <w:trPr>
          <w:cantSplit/>
        </w:trPr>
        <w:tc>
          <w:tcPr>
            <w:tcW w:type="dxa" w:w="2160"/>
            <w:shd w:fill="FFFFFF"/>
            <w:tcMar>
              <w:top w:w="90" w:type="dxa"/>
              <w:left w:w="90" w:type="dxa"/>
              <w:bottom w:w="90" w:type="dxa"/>
              <w:right w:w="90" w:type="dxa"/>
            </w:tcMar>
          </w:tcPr>
          <w:p>
            <w:pPr>
              <w:spacing w:after="60"/>
            </w:pPr>
            <w:r>
              <w:rPr>
                <w:b w:val="0"/>
                <w:sz w:val="19"/>
              </w:rPr>
              <w:t>AP</w:t>
            </w:r>
          </w:p>
        </w:tc>
        <w:tc>
          <w:tcPr>
            <w:tcW w:type="dxa" w:w="6696"/>
            <w:shd w:fill="FFFFFF"/>
            <w:tcMar>
              <w:top w:w="90" w:type="dxa"/>
              <w:left w:w="90" w:type="dxa"/>
              <w:bottom w:w="90" w:type="dxa"/>
              <w:right w:w="90" w:type="dxa"/>
            </w:tcMar>
          </w:tcPr>
          <w:p>
            <w:pPr>
              <w:spacing w:after="60"/>
            </w:pPr>
            <w:r>
              <w:rPr>
                <w:b w:val="0"/>
                <w:sz w:val="19"/>
              </w:rPr>
              <w:t>불량에 높은 점수를 부여하는 순위 성능</w:t>
            </w:r>
          </w:p>
        </w:tc>
      </w:tr>
      <w:tr>
        <w:trPr>
          <w:cantSplit/>
        </w:trPr>
        <w:tc>
          <w:tcPr>
            <w:tcW w:type="dxa" w:w="2160"/>
            <w:shd w:fill="FFFFFF"/>
            <w:tcMar>
              <w:top w:w="90" w:type="dxa"/>
              <w:left w:w="90" w:type="dxa"/>
              <w:bottom w:w="90" w:type="dxa"/>
              <w:right w:w="90" w:type="dxa"/>
            </w:tcMar>
          </w:tcPr>
          <w:p>
            <w:pPr>
              <w:spacing w:after="60"/>
            </w:pPr>
            <w:r>
              <w:rPr>
                <w:b w:val="0"/>
                <w:sz w:val="19"/>
              </w:rPr>
              <w:t>F1</w:t>
            </w:r>
          </w:p>
        </w:tc>
        <w:tc>
          <w:tcPr>
            <w:tcW w:type="dxa" w:w="6696"/>
            <w:shd w:fill="FFFFFF"/>
            <w:tcMar>
              <w:top w:w="90" w:type="dxa"/>
              <w:left w:w="90" w:type="dxa"/>
              <w:bottom w:w="90" w:type="dxa"/>
              <w:right w:w="90" w:type="dxa"/>
            </w:tcMar>
          </w:tcPr>
          <w:p>
            <w:pPr>
              <w:spacing w:after="60"/>
            </w:pPr>
            <w:r>
              <w:rPr>
                <w:b w:val="0"/>
                <w:sz w:val="19"/>
              </w:rPr>
              <w:t>선택한 임계값에서 Precision과 Recall의 균형</w:t>
            </w:r>
          </w:p>
        </w:tc>
      </w:tr>
      <w:tr>
        <w:trPr>
          <w:cantSplit/>
        </w:trPr>
        <w:tc>
          <w:tcPr>
            <w:tcW w:type="dxa" w:w="2160"/>
            <w:shd w:fill="FFFFFF"/>
            <w:tcMar>
              <w:top w:w="90" w:type="dxa"/>
              <w:left w:w="90" w:type="dxa"/>
              <w:bottom w:w="90" w:type="dxa"/>
              <w:right w:w="90" w:type="dxa"/>
            </w:tcMar>
          </w:tcPr>
          <w:p>
            <w:pPr>
              <w:spacing w:after="60"/>
            </w:pPr>
            <w:r>
              <w:rPr>
                <w:b w:val="0"/>
                <w:sz w:val="19"/>
              </w:rPr>
              <w:t>F2</w:t>
            </w:r>
          </w:p>
        </w:tc>
        <w:tc>
          <w:tcPr>
            <w:tcW w:type="dxa" w:w="6696"/>
            <w:shd w:fill="FFFFFF"/>
            <w:tcMar>
              <w:top w:w="90" w:type="dxa"/>
              <w:left w:w="90" w:type="dxa"/>
              <w:bottom w:w="90" w:type="dxa"/>
              <w:right w:w="90" w:type="dxa"/>
            </w:tcMar>
          </w:tcPr>
          <w:p>
            <w:pPr>
              <w:spacing w:after="60"/>
            </w:pPr>
            <w:r>
              <w:rPr>
                <w:b w:val="0"/>
                <w:sz w:val="19"/>
              </w:rPr>
              <w:t>불량 누락에 더 큰 비중을 둔 평가</w:t>
            </w:r>
          </w:p>
        </w:tc>
      </w:tr>
      <w:tr>
        <w:trPr>
          <w:cantSplit/>
        </w:trPr>
        <w:tc>
          <w:tcPr>
            <w:tcW w:type="dxa" w:w="2160"/>
            <w:shd w:fill="FFFFFF"/>
            <w:tcMar>
              <w:top w:w="90" w:type="dxa"/>
              <w:left w:w="90" w:type="dxa"/>
              <w:bottom w:w="90" w:type="dxa"/>
              <w:right w:w="90" w:type="dxa"/>
            </w:tcMar>
          </w:tcPr>
          <w:p>
            <w:pPr>
              <w:spacing w:after="60"/>
            </w:pPr>
            <w:r>
              <w:rPr>
                <w:b w:val="0"/>
                <w:sz w:val="19"/>
              </w:rPr>
              <w:t>TP 및 FP 및 FN 및 TN</w:t>
            </w:r>
          </w:p>
        </w:tc>
        <w:tc>
          <w:tcPr>
            <w:tcW w:type="dxa" w:w="6696"/>
            <w:shd w:fill="FFFFFF"/>
            <w:tcMar>
              <w:top w:w="90" w:type="dxa"/>
              <w:left w:w="90" w:type="dxa"/>
              <w:bottom w:w="90" w:type="dxa"/>
              <w:right w:w="90" w:type="dxa"/>
            </w:tcMar>
          </w:tcPr>
          <w:p>
            <w:pPr>
              <w:spacing w:after="60"/>
            </w:pPr>
            <w:r>
              <w:rPr>
                <w:b w:val="0"/>
                <w:sz w:val="19"/>
              </w:rPr>
              <w:t>점수 차이를 실제 탐지·오탐 건수로 설명</w:t>
            </w:r>
          </w:p>
        </w:tc>
      </w:tr>
      <w:tr>
        <w:trPr>
          <w:cantSplit/>
        </w:trPr>
        <w:tc>
          <w:tcPr>
            <w:tcW w:type="dxa" w:w="2160"/>
            <w:shd w:fill="FFFFFF"/>
            <w:tcMar>
              <w:top w:w="90" w:type="dxa"/>
              <w:left w:w="90" w:type="dxa"/>
              <w:bottom w:w="90" w:type="dxa"/>
              <w:right w:w="90" w:type="dxa"/>
            </w:tcMar>
          </w:tcPr>
          <w:p>
            <w:pPr>
              <w:spacing w:after="60"/>
            </w:pPr>
            <w:r>
              <w:rPr>
                <w:b w:val="0"/>
                <w:sz w:val="19"/>
              </w:rPr>
              <w:t>fold별 결과</w:t>
            </w:r>
          </w:p>
        </w:tc>
        <w:tc>
          <w:tcPr>
            <w:tcW w:type="dxa" w:w="6696"/>
            <w:shd w:fill="FFFFFF"/>
            <w:tcMar>
              <w:top w:w="90" w:type="dxa"/>
              <w:left w:w="90" w:type="dxa"/>
              <w:bottom w:w="90" w:type="dxa"/>
              <w:right w:w="90" w:type="dxa"/>
            </w:tcMar>
          </w:tcPr>
          <w:p>
            <w:pPr>
              <w:spacing w:after="60"/>
            </w:pPr>
            <w:r>
              <w:rPr>
                <w:b w:val="0"/>
                <w:sz w:val="19"/>
              </w:rPr>
              <w:t>분할에 따른 성능 변동과 유형 차이 확인</w:t>
            </w:r>
          </w:p>
        </w:tc>
      </w:tr>
      <w:tr>
        <w:trPr>
          <w:cantSplit/>
        </w:trPr>
        <w:tc>
          <w:tcPr>
            <w:tcW w:type="dxa" w:w="2160"/>
            <w:shd w:fill="FFFFFF"/>
            <w:tcMar>
              <w:top w:w="90" w:type="dxa"/>
              <w:left w:w="90" w:type="dxa"/>
              <w:bottom w:w="90" w:type="dxa"/>
              <w:right w:w="90" w:type="dxa"/>
            </w:tcMar>
          </w:tcPr>
          <w:p>
            <w:pPr>
              <w:spacing w:after="60"/>
            </w:pPr>
            <w:r>
              <w:rPr>
                <w:b w:val="0"/>
                <w:sz w:val="19"/>
              </w:rPr>
              <w:t>전체 OOF 결과</w:t>
            </w:r>
          </w:p>
        </w:tc>
        <w:tc>
          <w:tcPr>
            <w:tcW w:type="dxa" w:w="6696"/>
            <w:shd w:fill="FFFFFF"/>
            <w:tcMar>
              <w:top w:w="90" w:type="dxa"/>
              <w:left w:w="90" w:type="dxa"/>
              <w:bottom w:w="90" w:type="dxa"/>
              <w:right w:w="90" w:type="dxa"/>
            </w:tcMar>
          </w:tcPr>
          <w:p>
            <w:pPr>
              <w:spacing w:after="60"/>
            </w:pPr>
            <w:r>
              <w:rPr>
                <w:b w:val="0"/>
                <w:sz w:val="19"/>
              </w:rPr>
              <w:t>각 행의 외부 검증 예측을 모아 전체 성능 계산</w:t>
            </w:r>
          </w:p>
        </w:tc>
      </w:tr>
    </w:tbl>
    <w:p/>
    <w:p>
      <w:r>
        <w:t>F1·F2는 binary 기준으로 계산한다. 정상 다수의 영향을 크게 받는 weighted F1으로 대체하지 않는다. fold별 평균·표준편차와 전체 OOF 지표를 모두 보고한다. 평균 F1과 전체 TP·FP·FN으로 계산한 F1은 서로 다를 수 있다.</w:t>
      </w:r>
    </w:p>
    <w:p>
      <w:pPr>
        <w:pStyle w:val="Heading1"/>
      </w:pPr>
      <w:r>
        <w:t>선택 기준과 평가 기준의 구분</w:t>
      </w:r>
    </w:p>
    <w:p>
      <w:r>
        <w:t>내부 평균 AP로 모델 설정을 선택하고, 선택 설정의 내부 OOF 예측으로 F2 최대 임계값을 선택한다. AP 동률이면 더 단순한 모델을 우선하는 규칙을 실행 전에 고정한다. F2 동률이면 Precision이 높은 임계값, 이후 더 높은 임계값을 우선한다. 외부 F1은 F2로 정한 임계값에서의 균형 성능이다.</w:t>
      </w:r>
    </w:p>
    <w:p>
      <w:r>
        <w:t>외부 fold마다 임계값이 다를 수 있으므로 전체 OOF 분류 지표는 각 fold의 판정을 합쳐 계산한다. 특히 OCSVM의 전체 OOF AP는 모델별 점수 척도 차이에 영향을 받을 수 있어 fold별 AP와 함께 해석한다. 소수 불량 한두 건의 차이가 점수를 크게 바꿀 수 있으므로 건수를 생략하지 않는다.</w:t>
      </w:r>
    </w:p>
    <w:p>
      <w:r>
        <w:br w:type="page"/>
      </w:r>
    </w:p>
    <w:p>
      <w:pPr>
        <w:pStyle w:val="Heading1"/>
      </w:pPr>
      <w:r>
        <w:t>9 시각화와 실행 결과 저장</w:t>
      </w:r>
    </w:p>
    <w:p>
      <w:pPr>
        <w:pStyle w:val="Heading1"/>
      </w:pPr>
      <w:r>
        <w:t>LR과 RF의 행별 손실 그림</w:t>
      </w:r>
    </w:p>
    <w:p>
      <w:r>
        <w:t>X축은 외부 OOF 불량 예측값 pᵢ, Y축은 가중치 적용 전 로그 손실 ℓᵢ로 둔다. 실제 정상은 파랑, 불량은 빨강으로 표시한다. RF에서도 로그 손실을 사후 평가값으로 계산할 수 있지만 트리가 직접 최적화하는 분할 기준은 아니다. 확률 0 또는 1은 작은 ε를 이용해 제한하여 계산한다.</w:t>
      </w:r>
    </w:p>
    <w:p>
      <w:r>
        <w:t>왼쪽 위 빨간 점은 불량에 낮은 점수를 준 사례, 오른쪽 위 파란 점은 정상에 높은 점수를 준 사례이다. 두 클래스 곡선 위에서 점이 겹칠 수 있으므로 투명도나 관측 개수를 표시한다. 가중 손실은 별도 그림으로 제공하고 서로 다른 가중치의 손실 크기를 직접 성능 순위로 해석하지 않는다.</w:t>
      </w:r>
    </w:p>
    <w:p>
      <w:pPr>
        <w:pStyle w:val="Heading1"/>
      </w:pPr>
      <w:r>
        <w:t>OCSVM과 공통 그림</w:t>
      </w:r>
    </w:p>
    <w:p>
      <w:r>
        <w:t>OCSVM은 확률이 없으므로 로그 손실 대신 정상·불량별 이상 점수 분포와 임계값을 표시한다. 공통으로 PR 곡선, fold별 F1·F2, 혼동행렬과 누락 사례 표를 제공한다. 임계값은 fold별 패널에 표시하며 통합 그림에 단일 임계값을 그리지 않는다. 행 ID를 시간으로 해석하지 않는다.</w:t>
      </w:r>
    </w:p>
    <w:p>
      <w:pPr>
        <w:pStyle w:val="Heading1"/>
      </w:pPr>
      <w:r>
        <w:t>실행 및 저장 순서</w:t>
      </w:r>
    </w:p>
    <w:p>
      <w:r>
        <w:t>1. 원본 해시와 클래스 수를 확인하고 그룹을 보존한 외부 4-fold를 생성한다.</w:t>
      </w:r>
    </w:p>
    <w:p>
      <w:r>
        <w:t>2. 동일 내부 분할에서 모델별 전처리, 설정 선택과 임계값 선택을 수행한다.</w:t>
      </w:r>
    </w:p>
    <w:p>
      <w:r>
        <w:t>3. 외부 검증 예측을 저장하고 F1·F2 및 오탐·누락을 계산한다.</w:t>
      </w:r>
    </w:p>
    <w:p>
      <w:r>
        <w:t>4. CN7 불량 전용 패턴과 상충 패턴, RG3 상충 쌍의 결과를 구분해서 해석한다.</w:t>
      </w:r>
    </w:p>
    <w:p>
      <w:r>
        <w:t>5. 평가 완료 후 전체 라벨 데이터 내부 검증으로 설정과 임계값을 정하고 최종 모델을 적합한다.</w:t>
      </w:r>
    </w:p>
    <w:p>
      <w:r>
        <w:t>행별 저장 항목은 source_id, pattern_id, model, outer_fold, y_true, score, threshold, y_pred이다. LR·RF는 log_loss, class_weight, weighted_log_loss도 저장한다. 라이브러리 버전, seed, 설정 후보, 선택값, 수렴 여부와 데이터 해시를 기록한다. 전체 EDA를 이미 수행한 만큼 결과는 개발 평가로 해석하고 독립 데이터에서 재확인한다.</w:t>
      </w:r>
    </w:p>
    <w:p>
      <w:r>
        <w:br w:type="page"/>
      </w:r>
    </w:p>
    <w:p>
      <w:pPr>
        <w:pStyle w:val="Heading1"/>
      </w:pPr>
      <w:r>
        <w:t>10 참고 자료와 적용 상태</w:t>
      </w:r>
    </w:p>
    <w:p>
      <w:r>
        <w:t>데이터 수치와 입력 패턴 유형은 문서 생성 시 원본 CSV에서 재확인하였다. 본 문서 생성은 기존 데이터, 분할 파일, 노트북 또는 학습 코드를 변경하지 않는다. 실제 모델 학습과 성능 비교는 이후 구현 작업이다.</w:t>
      </w:r>
    </w:p>
    <w:p>
      <w:r>
        <w:t>프로젝트 원본: data/origin/moldset_labeled_cn7.csv 및 moldset_labeled_rg3.csv.</w:t>
      </w:r>
    </w:p>
    <w:p>
      <w:r>
        <w:t>프로젝트 메타데이터: data/processed/cn7 및 rg3의 preprocessing_manifest.json과 fold_summary.csv.</w:t>
      </w:r>
    </w:p>
    <w:p>
      <w:r>
        <w:t>제공 가이드: 04. Guidebook_Molding-압축됨.pdf. 앞서 확인한 파일별 표준화 설명을 반영하였다.</w:t>
      </w:r>
    </w:p>
    <w:p>
      <w:r>
        <w:t>LogisticRegression 공식 문서</w:t>
        <w:br/>
        <w:t>https://scikit-learn.org/stable/modules/generated/sklearn.linear_model.LogisticRegression.html</w:t>
      </w:r>
    </w:p>
    <w:p>
      <w:r>
        <w:t>RandomForestClassifier 공식 문서</w:t>
        <w:br/>
        <w:t>https://scikit-learn.org/stable/modules/generated/sklearn.ensemble.RandomForestClassifier.html</w:t>
      </w:r>
    </w:p>
    <w:p>
      <w:r>
        <w:t>OneClassSVM 공식 문서</w:t>
        <w:br/>
        <w:t>https://scikit-learn.org/stable/modules/generated/sklearn.svm.OneClassSVM.html</w:t>
      </w:r>
    </w:p>
    <w:p>
      <w:r>
        <w:t>이상 탐지 가이드</w:t>
        <w:br/>
        <w:t>https://scikit-learn.org/stable/modules/outlier_detection.html</w:t>
      </w:r>
    </w:p>
    <w:p>
      <w:r>
        <w:t>StratifiedGroupKFold 공식 문서</w:t>
        <w:br/>
        <w:t>https://scikit-learn.org/stable/modules/generated/sklearn.model_selection.StratifiedGroupKFold.html</w:t>
      </w:r>
    </w:p>
    <w:p>
      <w:r>
        <w:t>F beta score 공식 문서</w:t>
        <w:br/>
        <w:t>https://scikit-learn.org/stable/modules/generated/sklearn.metrics.fbeta_score.html</w:t>
      </w:r>
    </w:p>
    <w:sectPr w:rsidR="00FC693F" w:rsidRPr="0006063C" w:rsidSect="00034616">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83" w:lineRule="auto"/>
      <w:outlineLvl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83"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83" w:lineRule="auto"/>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