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CN7 EDA 결과 요약</w:t>
      </w:r>
    </w:p>
    <w:p>
      <w:pPr>
        <w:pStyle w:val="Subtitle"/>
      </w:pPr>
      <w:r>
        <w:t xml:space="preserve">분석 흐름 · 핵심 발견 · 전처리 결정</w:t>
      </w:r>
    </w:p>
    <w:p>
      <w:pPr>
        <w:pStyle w:val="Small"/>
      </w:pPr>
      <w:r>
        <w:t xml:space="preserve">기준 자료: EDA/cn7eda.ipynb 및 CN7 원본 CSV</w:t>
        <w:br/>
        <w:t xml:space="preserve">범위: 탐색적 데이터 분석과 전처리. 예측 모델 학습·성능 평가는 포함하지 않음.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3350"/>
        <w:gridCol w:w="3300"/>
        <w:gridCol w:w="3350"/>
      </w:tblGrid>
      <w:tr>
        <w:trPr>
          <w:cantSplit/>
          <w:tblHeader/>
        </w:trPr>
        <w:tc>
          <w:tcPr>
            <w:tcW w:w="335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라벨 데이터</w:t>
            </w:r>
          </w:p>
        </w:tc>
        <w:tc>
          <w:tcPr>
            <w:tcW w:w="33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불량 관측</w:t>
            </w:r>
          </w:p>
        </w:tc>
        <w:tc>
          <w:tcPr>
            <w:tcW w:w="335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전체입력 패턴</w:t>
            </w:r>
          </w:p>
        </w:tc>
      </w:tr>
      <w:tr>
        <w:trPr>
          <w:cantSplit/>
        </w:trPr>
        <w:tc>
          <w:tcPr>
            <w:tcW w:w="335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1,211행 × 24변수</w:t>
            </w:r>
          </w:p>
        </w:tc>
        <w:tc>
          <w:tcPr>
            <w:tcW w:w="3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17행 / 1.40%</w:t>
            </w:r>
          </w:p>
        </w:tc>
        <w:tc>
          <w:tcPr>
            <w:tcW w:w="335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606개</w:t>
            </w:r>
          </w:p>
        </w:tc>
      </w:tr>
    </w:tbl>
    <w:p>
      <w:pPr>
        <w:pStyle w:val="Gap"/>
      </w:pPr>
      <w:r>
        <w:t xml:space="preserve"/>
      </w:r>
    </w:p>
    <w:p>
      <w:pPr>
        <w:pStyle w:val="Heading1"/>
      </w:pPr>
      <w:r>
        <w:t xml:space="preserve">01  분석의 전체 흐름</w:t>
      </w:r>
    </w:p>
    <w:p>
      <w:pPr>
        <w:spacing w:after="80"/>
        <w:jc w:val="center"/>
      </w:pPr>
      <w:r>
        <w:drawing>
          <wp:inline distT="0" distB="0" distL="0" distR="0">
            <wp:extent cx="6355080" cy="2848828"/>
            <wp:docPr id="1" name="Diagram 1" descr="데이터 확인에서 원본 재검증과 전처리 확정으로 이어지는 분석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_analysis_flow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4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핵심 결론</w:t>
      </w:r>
    </w:p>
    <w:p>
      <w:pPr>
        <w:pStyle w:val="Normal"/>
      </w:pPr>
      <w:r>
        <w:t xml:space="preserve">불량이 집중되는 조건은 존재하지만, 그 조건에서 양품도 관측된다. 특히 불량 17행 중 11행은 24개 공정값이 동일한 양품과 공존한다.</w:t>
      </w:r>
    </w:p>
    <w:p>
      <w:pPr>
        <w:pStyle w:val="Normal"/>
      </w:pPr>
      <w:r>
        <w:t xml:space="preserve">나머지 불량 6행은 3개 고유 패턴이며, 최대 사출 속도와 쿠션 위치가 관측 양품 범위 밖이다. 분포 차이와 특이 사례를 구분해 해석해야 한다.</w:t>
      </w:r>
    </w:p>
    <w:p>
      <w:pPr>
        <w:pStyle w:val="Note"/>
      </w:pPr>
      <w:r>
        <w:t xml:space="preserve">확정하지 않은 것: 제조 실패의 인과적 원인, 공정조건 변경의 개선 효과, 새 데이터에 대한 예측 성능.</w:t>
      </w:r>
    </w:p>
    <w:p>
      <w:pPr>
        <w:pStyle w:val="Caption"/>
      </w:pPr>
      <w:r>
        <w:t xml:space="preserve">출처: 노트북 #1~#4. 주요 집계는 원본 CSV로 재확인.</w:t>
      </w:r>
    </w:p>
    <w:p>
      <w:r>
        <w:br w:type="page"/>
      </w:r>
    </w:p>
    <w:p>
      <w:pPr>
        <w:pStyle w:val="Heading1"/>
      </w:pPr>
      <w:r>
        <w:t xml:space="preserve">02  반복·라벨 충돌의 구조</w:t>
      </w:r>
    </w:p>
    <w:p>
      <w:pPr>
        <w:pStyle w:val="Normal"/>
      </w:pPr>
      <w:r>
        <w:t xml:space="preserve">패턴은 24개 공정값이 모두 같은 조건이다. 행 수와 고유 패턴 수를 분리해 읽는다.</w:t>
      </w:r>
    </w:p>
    <w:p>
      <w:pPr>
        <w:spacing w:after="80"/>
        <w:jc w:val="center"/>
      </w:pPr>
      <w:r>
        <w:drawing>
          <wp:inline distT="0" distB="0" distL="0" distR="0">
            <wp:extent cx="6355080" cy="2739258"/>
            <wp:docPr id="2" name="Diagram 2" descr="606개 패턴을 양품 전용 592개, 충돌 11개, 불량 전용 3개로 구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_pattern_structure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3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4600"/>
        <w:gridCol w:w="1800"/>
        <w:gridCol w:w="1800"/>
        <w:gridCol w:w="1800"/>
      </w:tblGrid>
      <w:tr>
        <w:trPr>
          <w:cantSplit/>
          <w:tblHeader/>
        </w:trPr>
        <w:tc>
          <w:tcPr>
            <w:tcW w:w="46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관점</w:t>
            </w:r>
          </w:p>
        </w:tc>
        <w:tc>
          <w:tcPr>
            <w:tcW w:w="18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전체</w:t>
            </w:r>
          </w:p>
        </w:tc>
        <w:tc>
          <w:tcPr>
            <w:tcW w:w="18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양품</w:t>
            </w:r>
          </w:p>
        </w:tc>
        <w:tc>
          <w:tcPr>
            <w:tcW w:w="18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불량</w:t>
            </w:r>
          </w:p>
        </w:tc>
      </w:tr>
      <w:tr>
        <w:trPr>
          <w:cantSplit/>
        </w:trPr>
        <w:tc>
          <w:tcPr>
            <w:tcW w:w="4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원본 행 — 최종 보존 기준</w:t>
            </w:r>
          </w:p>
        </w:tc>
        <w:tc>
          <w:tcPr>
            <w:tcW w:w="1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1,211</w:t>
            </w:r>
          </w:p>
        </w:tc>
        <w:tc>
          <w:tcPr>
            <w:tcW w:w="1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1,194</w:t>
            </w:r>
          </w:p>
        </w:tc>
        <w:tc>
          <w:tcPr>
            <w:tcW w:w="1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17</w:t>
            </w:r>
          </w:p>
        </w:tc>
      </w:tr>
      <w:tr>
        <w:trPr>
          <w:cantSplit/>
        </w:trPr>
        <w:tc>
          <w:tcPr>
            <w:tcW w:w="4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라벨별 고유 입력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617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603</w:t>
            </w:r>
          </w:p>
        </w:tc>
        <w:tc>
          <w:tcPr>
            <w:tcW w:w="18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14</w:t>
            </w:r>
          </w:p>
        </w:tc>
      </w:tr>
      <w:tr>
        <w:trPr>
          <w:cantSplit/>
        </w:trPr>
        <w:tc>
          <w:tcPr>
            <w:tcW w:w="4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불량 우선 입력 축약 — 탐색용</w:t>
            </w:r>
          </w:p>
        </w:tc>
        <w:tc>
          <w:tcPr>
            <w:tcW w:w="1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606</w:t>
            </w:r>
          </w:p>
        </w:tc>
        <w:tc>
          <w:tcPr>
            <w:tcW w:w="1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592</w:t>
            </w:r>
          </w:p>
        </w:tc>
        <w:tc>
          <w:tcPr>
            <w:tcW w:w="18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14</w:t>
            </w:r>
          </w:p>
        </w:tc>
      </w:tr>
    </w:tbl>
    <w:p>
      <w:pPr>
        <w:pStyle w:val="Gap"/>
      </w:pPr>
      <w:r>
        <w:t xml:space="preserve"/>
      </w:r>
    </w:p>
    <w:p>
      <w:pPr>
        <w:pStyle w:val="Heading2"/>
      </w:pPr>
      <w:r>
        <w:t xml:space="preserve">왜 불량 우선 제거를 최종 정책으로 쓰지 않는가?</w:t>
      </w:r>
    </w:p>
    <w:p>
      <w:pPr>
        <w:pStyle w:val="Normal"/>
      </w:pPr>
      <w:r>
        <w:t xml:space="preserve">동일 조건에서 불량이 한 번이라도 발생하면 불량만 남기는 처리는, 충돌 조건의 양품 11행을 제거한다. 이는 원본 빈도와 라벨 공존을 바꾸므로 최종 전처리는 원본 행·라벨을 유지한다.</w:t>
      </w:r>
    </w:p>
    <w:p>
      <w:pPr>
        <w:pStyle w:val="Heading2"/>
      </w:pPr>
      <w:r>
        <w:t xml:space="preserve">두 종류의 확인 과제</w:t>
      </w:r>
    </w:p>
    <w:p>
      <w:pPr>
        <w:pStyle w:val="Normal"/>
      </w:pPr>
      <w:r>
        <w:t xml:space="preserve">• 충돌 11개 패턴: 현재 입력만으로 두 라벨을 구별할 수 없음. 로트·시간·검수·측정 해상도 등 추가 기록의 필요성을 확인.</w:t>
        <w:br/>
        <w:t xml:space="preserve">• 불량 전용 3개 패턴: 사출 속도·쿠션 위치·배압의 원기록과 측정 조건을 우선 점검.</w:t>
      </w:r>
    </w:p>
    <w:p>
      <w:pPr>
        <w:pStyle w:val="Note"/>
      </w:pPr>
      <w:r>
        <w:t xml:space="preserve">주의: 불량 전용은 “현재 동일 입력의 양품이 없음”이라는 뜻이다. 제조 규격 초과나 항상 불량인 조건을 의미하지 않는다.</w:t>
      </w:r>
    </w:p>
    <w:p>
      <w:pPr>
        <w:pStyle w:val="Caption"/>
      </w:pPr>
      <w:r>
        <w:t xml:space="preserve">출처: 노트북 2.2, 3.1, 3.4, 4.3.</w:t>
      </w:r>
    </w:p>
    <w:p>
      <w:r>
        <w:br w:type="page"/>
      </w:r>
    </w:p>
    <w:p>
      <w:pPr>
        <w:pStyle w:val="Heading1"/>
      </w:pPr>
      <w:r>
        <w:t xml:space="preserve">03  분포·조합 분석에서 얻은 것</w:t>
      </w:r>
    </w:p>
    <w:p>
      <w:pPr>
        <w:pStyle w:val="Normal"/>
      </w:pPr>
      <w:r>
        <w:t xml:space="preserve">KS는 두 분포의 차이를 요약한다. 큰 값이 불량 원인이나 완전한 구분 가능성을 뜻하지는 않는다.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3700"/>
        <w:gridCol w:w="2100"/>
        <w:gridCol w:w="2100"/>
        <w:gridCol w:w="2100"/>
      </w:tblGrid>
      <w:tr>
        <w:trPr>
          <w:cantSplit/>
          <w:tblHeader/>
        </w:trPr>
        <w:tc>
          <w:tcPr>
            <w:tcW w:w="37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상위 변수</w:t>
            </w:r>
          </w:p>
        </w:tc>
        <w:tc>
          <w:tcPr>
            <w:tcW w:w="21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불량 우선 처리</w:t>
            </w:r>
          </w:p>
        </w:tc>
        <w:tc>
          <w:tcPr>
            <w:tcW w:w="21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원본 행</w:t>
            </w:r>
          </w:p>
        </w:tc>
        <w:tc>
          <w:tcPr>
            <w:tcW w:w="21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충돌 불량만</w:t>
            </w:r>
          </w:p>
        </w:tc>
      </w:tr>
      <w:tr>
        <w:trPr>
          <w:cantSplit/>
        </w:trPr>
        <w:tc>
          <w:tcPr>
            <w:tcW w:w="3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계량 위치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0.758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0.752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0.752</w:t>
            </w:r>
          </w:p>
        </w:tc>
      </w:tr>
      <w:tr>
        <w:trPr>
          <w:cantSplit/>
        </w:trPr>
        <w:tc>
          <w:tcPr>
            <w:tcW w:w="3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금형 온도 4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0.721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0.715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0.715</w:t>
            </w:r>
          </w:p>
        </w:tc>
      </w:tr>
      <w:tr>
        <w:trPr>
          <w:cantSplit/>
        </w:trPr>
        <w:tc>
          <w:tcPr>
            <w:tcW w:w="3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금형 온도 3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0.711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0.707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0.705</w:t>
            </w:r>
          </w:p>
        </w:tc>
      </w:tr>
      <w:tr>
        <w:trPr>
          <w:cantSplit/>
        </w:trPr>
        <w:tc>
          <w:tcPr>
            <w:tcW w:w="3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최대 배압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0.706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0.700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0.700</w:t>
            </w:r>
          </w:p>
        </w:tc>
      </w:tr>
      <w:tr>
        <w:trPr>
          <w:cantSplit/>
        </w:trPr>
        <w:tc>
          <w:tcPr>
            <w:tcW w:w="3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계량 시간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0.701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0.695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0.695</w:t>
            </w:r>
          </w:p>
        </w:tc>
      </w:tr>
    </w:tbl>
    <w:p>
      <w:pPr>
        <w:pStyle w:val="Gap"/>
      </w:pPr>
      <w:r>
        <w:t xml:space="preserve"/>
      </w:r>
    </w:p>
    <w:p>
      <w:pPr>
        <w:pStyle w:val="Small"/>
      </w:pPr>
      <w:r>
        <w:t xml:space="preserve">비충돌 3개 패턴을 제외해도 KS가 거의 유지된다. 따라서 분포 차이를 소수 특이 사례만으로 설명하기 어렵다. 충돌 불량만의 비교도 양품 참조집합은 원본 양품으로 동일하게 유지한다.</w:t>
      </w:r>
    </w:p>
    <w:p>
      <w:pPr>
        <w:spacing w:after="80"/>
        <w:jc w:val="center"/>
      </w:pPr>
      <w:r>
        <w:drawing>
          <wp:inline distT="0" distB="0" distL="0" distR="0">
            <wp:extent cx="6355080" cy="1862695"/>
            <wp:docPr id="3" name="Diagram 3" descr="온도와 계량 시간의 구간은 불량을 모두 포함하지만 양품 358행도 포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_observed_region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두 변수 조합의 추가 정보는 제한적</w:t>
      </w:r>
    </w:p>
    <w:p>
      <w:pPr>
        <w:pStyle w:val="Normal"/>
      </w:pPr>
      <w:r>
        <w:t xml:space="preserve">상위 5개 변수의 10개 쌍에서 불량 14개 패턴 중 12~14개가 양품과 동일 좌표를 공유한다. 계량 위치–시간의 ID 119만 두 단일 값 대비 추가 미관측 조합이지만, 이 사례도 최대 배압 하나로 이미 포착된다.</w:t>
      </w:r>
    </w:p>
    <w:p>
      <w:pPr>
        <w:pStyle w:val="Small"/>
      </w:pPr>
      <w:r>
        <w:t xml:space="preserve">금형 온도 3·4의 Spearman 상관은 0.988이다. 두 온도를 결합한 구간은 17/581행으로, 온도 4 하나의 17/589행에 비해 범위를 거의 줄이지 못한다.</w:t>
      </w:r>
    </w:p>
    <w:p>
      <w:pPr>
        <w:pStyle w:val="Note"/>
      </w:pPr>
      <w:r>
        <w:t xml:space="preserve">해석 한계: 모든 값은 제공된 표준화 좌표다. 중앙값 경계는 탐색용이며 물리 규격이 아니다. 동일 자료에서 선정·비교했으므로 독립 검증 결과로 보지 않는다.</w:t>
      </w:r>
    </w:p>
    <w:p>
      <w:pPr>
        <w:pStyle w:val="Caption"/>
      </w:pPr>
      <w:r>
        <w:t xml:space="preserve">출처: 노트북 2.3, 3.2, 3.3. 온도 3가 높고 계량 시간이 낮은 구간도 17/375행.</w:t>
      </w:r>
    </w:p>
    <w:p>
      <w:r>
        <w:br w:type="page"/>
      </w:r>
    </w:p>
    <w:p>
      <w:pPr>
        <w:pStyle w:val="Heading1"/>
      </w:pPr>
      <w:r>
        <w:t xml:space="preserve">04  최종 전처리와 인계 구조</w:t>
      </w:r>
    </w:p>
    <w:p>
      <w:pPr>
        <w:spacing w:after="80"/>
        <w:jc w:val="center"/>
      </w:pPr>
      <w:r>
        <w:drawing>
          <wp:inline distT="0" distB="0" distL="0" distR="0">
            <wp:extent cx="6355080" cy="2380415"/>
            <wp:docPr id="4" name="Diagram 4" descr="원본 재로딩과 품질 검사 후 공정 입력과 분석 메타데이터를 분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_preprocessing_flow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2300"/>
        <w:gridCol w:w="7700"/>
      </w:tblGrid>
      <w:tr>
        <w:trPr>
          <w:cantSplit/>
          <w:tblHeader/>
        </w:trPr>
        <w:tc>
          <w:tcPr>
            <w:tcW w:w="23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처리 항목</w:t>
            </w:r>
          </w:p>
        </w:tc>
        <w:tc>
          <w:tcPr>
            <w:tcW w:w="77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확정 기준</w:t>
            </w:r>
          </w:p>
        </w:tc>
      </w:tr>
      <w:tr>
        <w:trPr>
          <w:cantSplit/>
        </w:trPr>
        <w:tc>
          <w:tcPr>
            <w:tcW w:w="2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행·라벨·변수</w:t>
            </w:r>
          </w:p>
        </w:tc>
        <w:tc>
          <w:tcPr>
            <w:tcW w:w="7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원본 1,211행과 라벨, 공정변수 24개 유지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결측·무한값</w:t>
            </w:r>
          </w:p>
        </w:tc>
        <w:tc>
          <w:tcPr>
            <w:tcW w:w="7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두 파일 모두 없음. 대체·행 삭제 불필요</w:t>
            </w:r>
          </w:p>
        </w:tc>
      </w:tr>
      <w:tr>
        <w:trPr>
          <w:cantSplit/>
        </w:trPr>
        <w:tc>
          <w:tcPr>
            <w:tcW w:w="2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상수·특이값</w:t>
            </w:r>
          </w:p>
        </w:tc>
        <w:tc>
          <w:tcPr>
            <w:tcW w:w="7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Clamp_Open_Position은 라벨에서만 상수. 원본 열 유지; 특이값도 삭제·클리핑하지 않음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ID·라벨 파생 정보</w:t>
            </w:r>
          </w:p>
        </w:tc>
        <w:tc>
          <w:tcPr>
            <w:tcW w:w="77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입력과 분리. source_id, pattern_id, 유형·빈도·fold는 메타데이터</w:t>
            </w:r>
          </w:p>
        </w:tc>
      </w:tr>
      <w:tr>
        <w:trPr>
          <w:cantSplit/>
        </w:trPr>
        <w:tc>
          <w:tcPr>
            <w:tcW w:w="2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추가 변환</w:t>
            </w:r>
          </w:p>
        </w:tc>
        <w:tc>
          <w:tcPr>
            <w:tcW w:w="77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재스케일링·변수 선택·샘플링은 현재 적용하지 않음. 추후 필요 시 학습 폴드 내부에서만 적합</w:t>
            </w:r>
          </w:p>
        </w:tc>
      </w:tr>
    </w:tbl>
    <w:p>
      <w:pPr>
        <w:pStyle w:val="Gap"/>
      </w:pPr>
      <w:r>
        <w:t xml:space="preserve"/>
      </w:r>
    </w:p>
    <w:p>
      <w:pPr>
        <w:pStyle w:val="Heading2"/>
      </w:pPr>
      <w:r>
        <w:t xml:space="preserve">동일 입력을 분리하지 않는 3개 폴드</w:t>
      </w:r>
    </w:p>
    <w:tbl>
      <w:tblPr>
        <w:tblW w:w="0" w:type="auto"/>
        <w:tblLayout w:type="fixed"/>
        <w:tblBorders>
          <w:bottom w:val="single" w:sz="4" w:color="D6E2E8"/>
          <w:insideH w:val="single" w:sz="4" w:color="D6E2E8"/>
        </w:tblBorders>
        <w:tblCellMar>
          <w:top w:w="70" w:type="dxa"/>
          <w:left w:w="95" w:type="dxa"/>
          <w:bottom w:w="70" w:type="dxa"/>
          <w:right w:w="95" w:type="dxa"/>
        </w:tblCellMar>
      </w:tblPr>
      <w:tblGrid>
        <w:gridCol w:w="1300"/>
        <w:gridCol w:w="2000"/>
        <w:gridCol w:w="2000"/>
        <w:gridCol w:w="2100"/>
        <w:gridCol w:w="2600"/>
      </w:tblGrid>
      <w:tr>
        <w:trPr>
          <w:cantSplit/>
          <w:tblHeader/>
        </w:trPr>
        <w:tc>
          <w:tcPr>
            <w:tcW w:w="13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폴드</w:t>
            </w:r>
          </w:p>
        </w:tc>
        <w:tc>
          <w:tcPr>
            <w:tcW w:w="20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학습 행</w:t>
            </w:r>
          </w:p>
        </w:tc>
        <w:tc>
          <w:tcPr>
            <w:tcW w:w="20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검증 행</w:t>
            </w:r>
          </w:p>
        </w:tc>
        <w:tc>
          <w:tcPr>
            <w:tcW w:w="21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검증 불량</w:t>
            </w:r>
          </w:p>
        </w:tc>
        <w:tc>
          <w:tcPr>
            <w:tcW w:w="2600" w:type="dxa"/>
            <w:shd w:fill="17324D"/>
            <w:vAlign w:val="center"/>
          </w:tcPr>
          <w:p>
            <w:pPr>
              <w:pStyle w:val="TableText"/>
            </w:pPr>
            <w:r>
              <w:rPr>
                <w:color w:val="FFFFFF"/>
                <w:b/>
              </w:rPr>
              <w:t>불량 전용 패턴</w:t>
            </w:r>
          </w:p>
        </w:tc>
      </w:tr>
      <w:tr>
        <w:trPr>
          <w:cantSplit/>
        </w:trPr>
        <w:tc>
          <w:tcPr>
            <w:tcW w:w="1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0</w:t>
            </w:r>
          </w:p>
        </w:tc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807</w:t>
            </w:r>
          </w:p>
        </w:tc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404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5</w:t>
            </w:r>
          </w:p>
        </w:tc>
        <w:tc>
          <w:tcPr>
            <w:tcW w:w="2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</w:t>
            </w:r>
          </w:p>
        </w:tc>
      </w:tr>
      <w:tr>
        <w:trPr>
          <w:cantSplit/>
        </w:trPr>
        <w:tc>
          <w:tcPr>
            <w:tcW w:w="13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</w:t>
            </w:r>
          </w:p>
        </w:tc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807</w:t>
            </w:r>
          </w:p>
        </w:tc>
        <w:tc>
          <w:tcPr>
            <w:tcW w:w="20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404</w:t>
            </w:r>
          </w:p>
        </w:tc>
        <w:tc>
          <w:tcPr>
            <w:tcW w:w="21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6</w:t>
            </w:r>
          </w:p>
        </w:tc>
        <w:tc>
          <w:tcPr>
            <w:tcW w:w="2600" w:type="dxa"/>
            <w:shd w:fill="FFFFFF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</w:t>
            </w:r>
          </w:p>
        </w:tc>
      </w:tr>
      <w:tr>
        <w:trPr>
          <w:cantSplit/>
        </w:trPr>
        <w:tc>
          <w:tcPr>
            <w:tcW w:w="13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2</w:t>
            </w:r>
          </w:p>
        </w:tc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808</w:t>
            </w:r>
          </w:p>
        </w:tc>
        <w:tc>
          <w:tcPr>
            <w:tcW w:w="20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403</w:t>
            </w:r>
          </w:p>
        </w:tc>
        <w:tc>
          <w:tcPr>
            <w:tcW w:w="21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6</w:t>
            </w:r>
          </w:p>
        </w:tc>
        <w:tc>
          <w:tcPr>
            <w:tcW w:w="2600" w:type="dxa"/>
            <w:shd w:fill="F1F6F8"/>
            <w:vAlign w:val="center"/>
          </w:tcPr>
          <w:p>
            <w:pPr>
              <w:pStyle w:val="TableText"/>
            </w:pPr>
            <w:r>
              <w:rPr>
                <w:color w:val="17324D"/>
              </w:rPr>
              <w:t>1</w:t>
            </w:r>
          </w:p>
        </w:tc>
      </w:tr>
    </w:tbl>
    <w:p>
      <w:pPr>
        <w:pStyle w:val="Gap"/>
      </w:pPr>
      <w:r>
        <w:t xml:space="preserve"/>
      </w:r>
    </w:p>
    <w:p>
      <w:pPr>
        <w:pStyle w:val="Small"/>
      </w:pPr>
      <w:r>
        <w:t xml:space="preserve">동일 패턴은 학습·검증에 겹치지 않는다. 불량 전용 패턴은 폴드마다 1개씩 배치했다. 전체 라벨을 EDA에 사용했으므로 개발용 분할이며 독립적인 최종 시험이나 시간·로트 검증을 대체하지 않는다.</w:t>
      </w:r>
    </w:p>
    <w:p>
      <w:pPr>
        <w:pStyle w:val="Small"/>
      </w:pPr>
      <w:r>
        <w:t xml:space="preserve">저장 위치: data/processed/cn7/</w:t>
        <w:br/>
        <w:t xml:space="preserve">입력·타깃: X_labeled.csv, y_labeled.csv, X_unlabeled.csv</w:t>
        <w:br/>
        <w:t xml:space="preserve">추적·검증: labeled_metadata.csv, unlabeled_metadata.csv, pattern_audit.csv, fold_summary.csv</w:t>
        <w:br/>
        <w:t xml:space="preserve">처리 명세: preprocessing_manifest.json</w:t>
      </w:r>
    </w:p>
    <w:p>
      <w:pPr>
        <w:pStyle w:val="Caption"/>
      </w:pPr>
      <w:r>
        <w:t xml:space="preserve">출처: 노트북 #4 및 저장된 fold_summary.csv. 본 문서는 CN7 분석만 요약하며 RG3 분석·군집화 결과를 포함하지 않는다.</w:t>
      </w:r>
    </w:p>
    <w:sectPr>
      <w:footerReference w:type="default" r:id="rIdFooter"/>
      <w:pgSz w:w="11906" w:h="16838"/>
      <w:pgMar w:top="800" w:right="920" w:bottom="850" w:left="920" w:header="300" w:footer="3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667788"/>
      </w:rPr>
      <w:t>CN7 · EDA 및 전처리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맑은 고딕"/>
        <w:sz w:val="21"/>
        <w:lang w:val="en-US" w:eastAsia="ko-KR"/>
      </w:rPr>
    </w:rPrDefault>
    <w:pPrDefault>
      <w:pPr>
        <w:spacing w:after="110" w:line="270" w:lineRule="auto"/>
      </w:pPr>
    </w:pPrDefault>
  </w:docDefaults>
  <w:style w:type="paragraph" w:styleId="Normal">
    <w:name w:val="Normal"/>
    <w:pPr>
      <w:spacing w:after="100" w:line="260" w:lineRule="auto"/>
    </w:pPr>
    <w:rPr>
      <w:sz w:val="21"/>
      <w:color w:val="17324D"/>
    </w:rPr>
  </w:style>
  <w:style w:type="paragraph" w:styleId="Title">
    <w:name w:val="Title"/>
    <w:pPr>
      <w:spacing w:after="120" w:line="260" w:lineRule="auto"/>
      <w:keepNext/>
    </w:pPr>
    <w:rPr>
      <w:sz w:val="42"/>
      <w:color w:val="17324D"/>
      <w:b/>
    </w:rPr>
  </w:style>
  <w:style w:type="paragraph" w:styleId="Subtitle">
    <w:name w:val="Subtitle"/>
    <w:pPr>
      <w:spacing w:after="130" w:line="260" w:lineRule="auto"/>
      <w:keepNext/>
    </w:pPr>
    <w:rPr>
      <w:sz w:val="24"/>
      <w:color w:val="177E89"/>
    </w:rPr>
  </w:style>
  <w:style w:type="paragraph" w:styleId="Heading1">
    <w:name w:val="Heading1"/>
    <w:pPr>
      <w:spacing w:after="140" w:line="260" w:lineRule="auto"/>
      <w:keepNext/>
    </w:pPr>
    <w:rPr>
      <w:sz w:val="30"/>
      <w:color w:val="17324D"/>
      <w:b/>
    </w:rPr>
  </w:style>
  <w:style w:type="paragraph" w:styleId="Heading2">
    <w:name w:val="Heading2"/>
    <w:pPr>
      <w:spacing w:after="80" w:line="260" w:lineRule="auto"/>
      <w:keepNext/>
    </w:pPr>
    <w:rPr>
      <w:sz w:val="23"/>
      <w:color w:val="177E89"/>
      <w:b/>
    </w:rPr>
  </w:style>
  <w:style w:type="paragraph" w:styleId="Small">
    <w:name w:val="Small"/>
    <w:pPr>
      <w:spacing w:after="80" w:line="260" w:lineRule="auto"/>
    </w:pPr>
    <w:rPr>
      <w:sz w:val="18"/>
      <w:color w:val="526477"/>
    </w:rPr>
  </w:style>
  <w:style w:type="paragraph" w:styleId="Caption">
    <w:name w:val="Caption"/>
    <w:pPr>
      <w:spacing w:after="60" w:line="260" w:lineRule="auto"/>
    </w:pPr>
    <w:rPr>
      <w:sz w:val="16"/>
      <w:color w:val="667788"/>
    </w:rPr>
  </w:style>
  <w:style w:type="paragraph" w:styleId="Note">
    <w:name w:val="Note"/>
    <w:pPr>
      <w:spacing w:after="100" w:line="260" w:lineRule="auto"/>
    </w:pPr>
    <w:rPr>
      <w:sz w:val="19"/>
      <w:color w:val="8A5510"/>
    </w:rPr>
  </w:style>
  <w:style w:type="paragraph" w:styleId="TableText">
    <w:name w:val="TableText"/>
    <w:pPr>
      <w:spacing w:after="0" w:line="260" w:lineRule="auto"/>
    </w:pPr>
    <w:rPr>
      <w:sz w:val="18"/>
      <w:color w:val="17324D"/>
    </w:rPr>
  </w:style>
  <w:style w:type="paragraph" w:styleId="Gap">
    <w:name w:val="Gap"/>
    <w:pPr>
      <w:spacing w:after="40" w:line="260" w:lineRule="auto"/>
    </w:pPr>
    <w:rPr>
      <w:sz w:val="4"/>
      <w:color w:val="17324D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Image1" Type="http://schemas.openxmlformats.org/officeDocument/2006/relationships/image" Target="media/01_analysis_flow.png"/><Relationship Id="rIdImage2" Type="http://schemas.openxmlformats.org/officeDocument/2006/relationships/image" Target="media/02_pattern_structure.png"/><Relationship Id="rIdImage3" Type="http://schemas.openxmlformats.org/officeDocument/2006/relationships/image" Target="media/03_observed_region.png"/><Relationship Id="rIdImage4" Type="http://schemas.openxmlformats.org/officeDocument/2006/relationships/image" Target="media/04_preprocessing_flow.png"/></Relationships>
</file>

<file path=docProps/core.xml><?xml version="1.0" encoding="utf-8"?>
<cp:coreProperties xmlns:cp="http://schemas.openxmlformats.org/package/2006/metadata/core-properties" xmlns:dc="http://purl.org/dc/elements/1.1/">
  <dc:title>CN7 EDA 결과 요약 및 전처리 도식</dc:title>
  <dc:subject>cn7eda.ipynb의 EDA와 전처리 결과</dc:subject>
  <dc:creator>CN7 분석 요약</dc:creator>
  <dc:description>분석 흐름, 라벨 충돌 구조, 주요 결과와 전처리 절차</dc:description>
</cp:coreProperties>
</file>