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01  CN7 모델링 설계 및 학습 전략</w:t>
      </w:r>
    </w:p>
    <w:p>
      <w:pPr>
        <w:pStyle w:val="Subtitle"/>
      </w:pPr>
      <w:r>
        <w:t xml:space="preserve">랜덤포레스트 · One-Class SVM · 로지스틱 회귀</w:t>
      </w:r>
    </w:p>
    <w:p>
      <w:pPr>
        <w:pStyle w:val="Small"/>
      </w:pPr>
      <w:r>
        <w:t xml:space="preserve">기준: CN7_EDA_summary.docx, 전처리 산출물 및 scikit-learn 공식 문서 | 작성일: 2026-09-27</w:t>
      </w:r>
    </w:p>
    <w:p>
      <w:pPr>
        <w:pStyle w:val="Normal"/>
      </w:pPr>
      <w:r>
        <w:t xml:space="preserve">이 문서는 모델 실행 전의 설계안이다. 제안한 설정은 검증된 최적값이 아니며, 성능 수치는 아직 산출하지 않았다. 목표는 재현 가능한 비교와 실패 원인 구분이다.</w:t>
      </w:r>
    </w:p>
    <w:p>
      <w:pPr>
        <w:pStyle w:val="Heading1"/>
      </w:pPr>
      <w:r>
        <w:t xml:space="preserve">EDA에서 모델링으로 이어지는 근거</w:t>
      </w:r>
    </w:p>
    <w:tbl>
      <w:tblPr>
        <w:tblW w:w="9300" w:type="dxa"/>
        <w:tblLayout w:type="fixed"/>
        <w:tblBorders>
          <w:bottom w:val="single" w:sz="4" w:color="D7E2EC"/>
          <w:insideH w:val="single" w:sz="4" w:color="D7E2EC"/>
        </w:tblBorders>
        <w:tblCellMar>
          <w:top w:w="95" w:type="dxa"/>
          <w:left w:w="110" w:type="dxa"/>
          <w:bottom w:w="95" w:type="dxa"/>
          <w:right w:w="110" w:type="dxa"/>
        </w:tblCellMar>
      </w:tblPr>
      <w:tblGrid>
        <w:gridCol w:w="3400"/>
        <w:gridCol w:w="5900"/>
      </w:tblGrid>
      <w:tr>
        <w:trPr>
          <w:cantSplit/>
          <w:tblHeader/>
        </w:trPr>
        <w:tc>
          <w:tcPr>
            <w:tcW w:w="3400" w:type="dxa"/>
            <w:shd w:fill="183B56"/>
          </w:tcPr>
          <w:p>
            <w:pPr>
              <w:pStyle w:val="TableText"/>
            </w:pPr>
            <w:r>
              <w:rPr>
                <w:b/>
                <w:color w:val="FFFFFF"/>
              </w:rPr>
              <w:t>확인된 사실 [1]</w:t>
            </w:r>
          </w:p>
        </w:tc>
        <w:tc>
          <w:tcPr>
            <w:tcW w:w="5900" w:type="dxa"/>
            <w:shd w:fill="183B56"/>
          </w:tcPr>
          <w:p>
            <w:pPr>
              <w:pStyle w:val="TableText"/>
            </w:pPr>
            <w:r>
              <w:rPr>
                <w:b/>
                <w:color w:val="FFFFFF"/>
              </w:rPr>
              <w:t>설계에 반영할 결정</w:t>
            </w:r>
          </w:p>
        </w:tc>
      </w:tr>
      <w:tr>
        <w:trPr>
          <w:cantSplit/>
        </w:trPr>
        <w:tc>
          <w:tcPr>
            <w:tcW w:w="3400" w:type="dxa"/>
            <w:shd w:fill="F0F5F8"/>
          </w:tcPr>
          <w:p>
            <w:pPr>
              <w:pStyle w:val="TableText"/>
            </w:pPr>
            <w:r>
              <w:rPr/>
              <w:t>1,211행 / 불량 17행(1.40%) / 606개 입력 패턴</w:t>
            </w:r>
          </w:p>
        </w:tc>
        <w:tc>
          <w:tcPr>
            <w:tcW w:w="5900" w:type="dxa"/>
            <w:shd w:fill="F0F5F8"/>
          </w:tcPr>
          <w:p>
            <w:pPr>
              <w:pStyle w:val="TableText"/>
            </w:pPr>
            <w:r>
              <w:rPr/>
              <w:t>정확도를 주 지표로 사용하지 않는다. 동일 입력은 같은 폴드에 묶는다.</w:t>
            </w:r>
          </w:p>
        </w:tc>
      </w:tr>
      <w:tr>
        <w:trPr>
          <w:cantSplit/>
        </w:trPr>
        <w:tc>
          <w:tcPr>
            <w:tcW w:w="3400" w:type="dxa"/>
            <w:shd w:fill="FFFFFF"/>
          </w:tcPr>
          <w:p>
            <w:pPr>
              <w:pStyle w:val="TableText"/>
            </w:pPr>
            <w:r>
              <w:rPr/>
              <w:t>불량 11행은 정상 11행과 입력이 완전히 동일</w:t>
            </w:r>
          </w:p>
        </w:tc>
        <w:tc>
          <w:tcPr>
            <w:tcW w:w="5900" w:type="dxa"/>
            <w:shd w:fill="FFFFFF"/>
          </w:tcPr>
          <w:p>
            <w:pPr>
              <w:pStyle w:val="TableText"/>
            </w:pPr>
            <w:r>
              <w:rPr/>
              <w:t>원본 라벨을 보존한다. 세 모델 모두 이 두 라벨에 서로 다른 점수를 줄 수 없다.</w:t>
            </w:r>
          </w:p>
        </w:tc>
      </w:tr>
      <w:tr>
        <w:trPr>
          <w:cantSplit/>
        </w:trPr>
        <w:tc>
          <w:tcPr>
            <w:tcW w:w="3400" w:type="dxa"/>
            <w:shd w:fill="F0F5F8"/>
          </w:tcPr>
          <w:p>
            <w:pPr>
              <w:pStyle w:val="TableText"/>
            </w:pPr>
            <w:r>
              <w:rPr/>
              <w:t>불량 전용 6행은 3개 패턴; 사출 속도·쿠션 위치가 관측 정상 범위 밖</w:t>
            </w:r>
          </w:p>
        </w:tc>
        <w:tc>
          <w:tcPr>
            <w:tcW w:w="5900" w:type="dxa"/>
            <w:shd w:fill="F0F5F8"/>
          </w:tcPr>
          <w:p>
            <w:pPr>
              <w:pStyle w:val="TableText"/>
            </w:pPr>
            <w:r>
              <w:rPr/>
              <w:t>One-Class SVM의 정상 영역 이탈 탐지 가설을 검증하되, 3개 패턴에 대한 결과로 제한한다.</w:t>
            </w:r>
          </w:p>
        </w:tc>
      </w:tr>
      <w:tr>
        <w:trPr>
          <w:cantSplit/>
        </w:trPr>
        <w:tc>
          <w:tcPr>
            <w:tcW w:w="3400" w:type="dxa"/>
            <w:shd w:fill="FFFFFF"/>
          </w:tcPr>
          <w:p>
            <w:pPr>
              <w:pStyle w:val="TableText"/>
            </w:pPr>
            <w:r>
              <w:rPr/>
              <w:t>온도·계량 관련 분포 차이; 온도 3·4 상관 0.988</w:t>
            </w:r>
          </w:p>
        </w:tc>
        <w:tc>
          <w:tcPr>
            <w:tcW w:w="5900" w:type="dxa"/>
            <w:shd w:fill="FFFFFF"/>
          </w:tcPr>
          <w:p>
            <w:pPr>
              <w:pStyle w:val="TableText"/>
            </w:pPr>
            <w:r>
              <w:rPr/>
              <w:t>선형 위험도와 비선형 조건 결합을 비교한다. 상관된 변수의 개별 중요도는 신중히 해석한다.</w:t>
            </w:r>
          </w:p>
        </w:tc>
      </w:tr>
      <w:tr>
        <w:trPr>
          <w:cantSplit/>
        </w:trPr>
        <w:tc>
          <w:tcPr>
            <w:tcW w:w="3400" w:type="dxa"/>
            <w:shd w:fill="F0F5F8"/>
          </w:tcPr>
          <w:p>
            <w:pPr>
              <w:pStyle w:val="TableText"/>
            </w:pPr>
            <w:r>
              <w:rPr/>
              <w:t>고온·짧은 계량 시간 구간 375행에 불량 17행과 정상 358행</w:t>
            </w:r>
          </w:p>
        </w:tc>
        <w:tc>
          <w:tcPr>
            <w:tcW w:w="5900" w:type="dxa"/>
            <w:shd w:fill="F0F5F8"/>
          </w:tcPr>
          <w:p>
            <w:pPr>
              <w:pStyle w:val="TableText"/>
            </w:pPr>
            <w:r>
              <w:rPr/>
              <w:t>그 구간 자체를 불량 규칙으로 쓰지 않는다. 탐지율과 오탐을 함께 확인한다.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1"/>
      </w:pPr>
      <w:r>
        <w:t xml:space="preserve">세 모델이 답할 서로 다른 질문</w:t>
      </w:r>
    </w:p>
    <w:tbl>
      <w:tblPr>
        <w:tblW w:w="9300" w:type="dxa"/>
        <w:tblLayout w:type="fixed"/>
        <w:tblBorders>
          <w:bottom w:val="single" w:sz="4" w:color="D7E2EC"/>
          <w:insideH w:val="single" w:sz="4" w:color="D7E2EC"/>
        </w:tblBorders>
        <w:tblCellMar>
          <w:top w:w="95" w:type="dxa"/>
          <w:left w:w="110" w:type="dxa"/>
          <w:bottom w:w="95" w:type="dxa"/>
          <w:right w:w="110" w:type="dxa"/>
        </w:tblCellMar>
      </w:tblPr>
      <w:tblGrid>
        <w:gridCol w:w="2300"/>
        <w:gridCol w:w="7000"/>
      </w:tblGrid>
      <w:tr>
        <w:trPr>
          <w:cantSplit/>
          <w:tblHeader/>
        </w:trPr>
        <w:tc>
          <w:tcPr>
            <w:tcW w:w="2300" w:type="dxa"/>
            <w:shd w:fill="183B56"/>
          </w:tcPr>
          <w:p>
            <w:pPr>
              <w:pStyle w:val="TableText"/>
            </w:pPr>
            <w:r>
              <w:rPr>
                <w:b/>
                <w:color w:val="FFFFFF"/>
              </w:rPr>
              <w:t>모델</w:t>
            </w:r>
          </w:p>
        </w:tc>
        <w:tc>
          <w:tcPr>
            <w:tcW w:w="7000" w:type="dxa"/>
            <w:shd w:fill="183B56"/>
          </w:tcPr>
          <w:p>
            <w:pPr>
              <w:pStyle w:val="TableText"/>
            </w:pPr>
            <w:r>
              <w:rPr>
                <w:b/>
                <w:color w:val="FFFFFF"/>
              </w:rPr>
              <w:t>선정 근거와 검증 가설</w:t>
            </w:r>
          </w:p>
        </w:tc>
      </w:tr>
      <w:tr>
        <w:trPr>
          <w:cantSplit/>
        </w:trPr>
        <w:tc>
          <w:tcPr>
            <w:tcW w:w="2300" w:type="dxa"/>
            <w:shd w:fill="F0F5F8"/>
          </w:tcPr>
          <w:p>
            <w:pPr>
              <w:pStyle w:val="TableText"/>
            </w:pPr>
            <w:r>
              <w:rPr/>
              <w:t>로지스틱 회귀</w:t>
            </w:r>
          </w:p>
        </w:tc>
        <w:tc>
          <w:tcPr>
            <w:tcW w:w="7000" w:type="dxa"/>
            <w:shd w:fill="F0F5F8"/>
          </w:tcPr>
          <w:p>
            <w:pPr>
              <w:pStyle w:val="TableText"/>
            </w:pPr>
            <w:r>
              <w:rPr/>
              <w:t>적은 불량과 상관 변수에 L2 규제를 적용한 기준선. 전반적인 선형 위험도 변화로 충분한가?</w:t>
            </w:r>
          </w:p>
        </w:tc>
      </w:tr>
      <w:tr>
        <w:trPr>
          <w:cantSplit/>
        </w:trPr>
        <w:tc>
          <w:tcPr>
            <w:tcW w:w="2300" w:type="dxa"/>
            <w:shd w:fill="FFFFFF"/>
          </w:tcPr>
          <w:p>
            <w:pPr>
              <w:pStyle w:val="TableText"/>
            </w:pPr>
            <w:r>
              <w:rPr/>
              <w:t>랜덤포레스트</w:t>
            </w:r>
          </w:p>
        </w:tc>
        <w:tc>
          <w:tcPr>
            <w:tcW w:w="7000" w:type="dxa"/>
            <w:shd w:fill="FFFFFF"/>
          </w:tcPr>
          <w:p>
            <w:pPr>
              <w:pStyle w:val="TableText"/>
            </w:pPr>
            <w:r>
              <w:rPr/>
              <w:t>온도·시간·압력의 비선형 관계와 조건 결합을 표현. 선형 기준선보다 추가 정보가 있는가?</w:t>
            </w:r>
          </w:p>
        </w:tc>
      </w:tr>
      <w:tr>
        <w:trPr>
          <w:cantSplit/>
        </w:trPr>
        <w:tc>
          <w:tcPr>
            <w:tcW w:w="2300" w:type="dxa"/>
            <w:shd w:fill="F0F5F8"/>
          </w:tcPr>
          <w:p>
            <w:pPr>
              <w:pStyle w:val="TableText"/>
            </w:pPr>
            <w:r>
              <w:rPr/>
              <w:t>One-Class SVM</w:t>
            </w:r>
          </w:p>
        </w:tc>
        <w:tc>
          <w:tcPr>
            <w:tcW w:w="7000" w:type="dxa"/>
            <w:shd w:fill="F0F5F8"/>
          </w:tcPr>
          <w:p>
            <w:pPr>
              <w:pStyle w:val="TableText"/>
            </w:pPr>
            <w:r>
              <w:rPr/>
              <w:t>정상 데이터의 경계를 학습. 불량 전용 패턴은 정상 영역 밖에 있는가? 충돌 불량도 탐지 가능한가?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Small"/>
      </w:pPr>
      <w:r>
        <w:t xml:space="preserve">권장 실행 순서: 로지스틱 회귀 → 랜덤포레스트 → One-Class SVM. 사용자 지정 세 모델은 모두 같은 외부 검증 폴드에서 비교한다.</w:t>
      </w:r>
    </w:p>
    <w:p>
      <w:r>
        <w:br w:type="page"/>
      </w:r>
    </w:p>
    <w:p>
      <w:pPr>
        <w:pStyle w:val="Title"/>
      </w:pPr>
      <w:r>
        <w:t xml:space="preserve">02  데이터 분리와 공통 파이프라인</w:t>
      </w:r>
    </w:p>
    <w:p>
      <w:pPr>
        <w:pStyle w:val="Heading1"/>
      </w:pPr>
      <w:r>
        <w:t xml:space="preserve">기존 3개 폴드를 외부 개발 검증으로 고정</w:t>
      </w:r>
    </w:p>
    <w:tbl>
      <w:tblPr>
        <w:tblW w:w="9300" w:type="dxa"/>
        <w:tblLayout w:type="fixed"/>
        <w:tblBorders>
          <w:bottom w:val="single" w:sz="4" w:color="D7E2EC"/>
          <w:insideH w:val="single" w:sz="4" w:color="D7E2EC"/>
        </w:tblBorders>
        <w:tblCellMar>
          <w:top w:w="95" w:type="dxa"/>
          <w:left w:w="110" w:type="dxa"/>
          <w:bottom w:w="95" w:type="dxa"/>
          <w:right w:w="110" w:type="dxa"/>
        </w:tblCellMar>
      </w:tblPr>
      <w:tblGrid>
        <w:gridCol w:w="1200"/>
        <w:gridCol w:w="2900"/>
        <w:gridCol w:w="2200"/>
        <w:gridCol w:w="3000"/>
      </w:tblGrid>
      <w:tr>
        <w:trPr>
          <w:cantSplit/>
          <w:tblHeader/>
        </w:trPr>
        <w:tc>
          <w:tcPr>
            <w:tcW w:w="1200" w:type="dxa"/>
            <w:shd w:fill="183B56"/>
          </w:tcPr>
          <w:p>
            <w:pPr>
              <w:pStyle w:val="TableText"/>
            </w:pPr>
            <w:r>
              <w:rPr>
                <w:b/>
                <w:color w:val="FFFFFF"/>
              </w:rPr>
              <w:t>폴드</w:t>
            </w:r>
          </w:p>
        </w:tc>
        <w:tc>
          <w:tcPr>
            <w:tcW w:w="2900" w:type="dxa"/>
            <w:shd w:fill="183B56"/>
          </w:tcPr>
          <w:p>
            <w:pPr>
              <w:pStyle w:val="TableText"/>
            </w:pPr>
            <w:r>
              <w:rPr>
                <w:b/>
                <w:color w:val="FFFFFF"/>
              </w:rPr>
              <w:t>학습 / 검증 행</w:t>
            </w:r>
          </w:p>
        </w:tc>
        <w:tc>
          <w:tcPr>
            <w:tcW w:w="2200" w:type="dxa"/>
            <w:shd w:fill="183B56"/>
          </w:tcPr>
          <w:p>
            <w:pPr>
              <w:pStyle w:val="TableText"/>
            </w:pPr>
            <w:r>
              <w:rPr>
                <w:b/>
                <w:color w:val="FFFFFF"/>
              </w:rPr>
              <w:t>검증 불량</w:t>
            </w:r>
          </w:p>
        </w:tc>
        <w:tc>
          <w:tcPr>
            <w:tcW w:w="3000" w:type="dxa"/>
            <w:shd w:fill="183B56"/>
          </w:tcPr>
          <w:p>
            <w:pPr>
              <w:pStyle w:val="TableText"/>
            </w:pPr>
            <w:r>
              <w:rPr>
                <w:b/>
                <w:color w:val="FFFFFF"/>
              </w:rPr>
              <w:t>검증 불량 전용 패턴</w:t>
            </w:r>
          </w:p>
        </w:tc>
      </w:tr>
      <w:tr>
        <w:trPr>
          <w:cantSplit/>
        </w:trPr>
        <w:tc>
          <w:tcPr>
            <w:tcW w:w="1200" w:type="dxa"/>
            <w:shd w:fill="F0F5F8"/>
          </w:tcPr>
          <w:p>
            <w:pPr>
              <w:pStyle w:val="TableText"/>
            </w:pPr>
            <w:r>
              <w:rPr/>
              <w:t>0</w:t>
            </w:r>
          </w:p>
        </w:tc>
        <w:tc>
          <w:tcPr>
            <w:tcW w:w="2900" w:type="dxa"/>
            <w:shd w:fill="F0F5F8"/>
          </w:tcPr>
          <w:p>
            <w:pPr>
              <w:pStyle w:val="TableText"/>
            </w:pPr>
            <w:r>
              <w:rPr/>
              <w:t>807 / 404</w:t>
            </w:r>
          </w:p>
        </w:tc>
        <w:tc>
          <w:tcPr>
            <w:tcW w:w="2200" w:type="dxa"/>
            <w:shd w:fill="F0F5F8"/>
          </w:tcPr>
          <w:p>
            <w:pPr>
              <w:pStyle w:val="TableText"/>
            </w:pPr>
            <w:r>
              <w:rPr/>
              <w:t>5</w:t>
            </w:r>
          </w:p>
        </w:tc>
        <w:tc>
          <w:tcPr>
            <w:tcW w:w="3000" w:type="dxa"/>
            <w:shd w:fill="F0F5F8"/>
          </w:tcPr>
          <w:p>
            <w:pPr>
              <w:pStyle w:val="TableText"/>
            </w:pPr>
            <w:r>
              <w:rPr/>
              <w:t>1</w:t>
            </w:r>
          </w:p>
        </w:tc>
      </w:tr>
      <w:tr>
        <w:trPr>
          <w:cantSplit/>
        </w:trPr>
        <w:tc>
          <w:tcPr>
            <w:tcW w:w="1200" w:type="dxa"/>
            <w:shd w:fill="FFFFFF"/>
          </w:tcPr>
          <w:p>
            <w:pPr>
              <w:pStyle w:val="TableText"/>
            </w:pPr>
            <w:r>
              <w:rPr/>
              <w:t>1</w:t>
            </w:r>
          </w:p>
        </w:tc>
        <w:tc>
          <w:tcPr>
            <w:tcW w:w="2900" w:type="dxa"/>
            <w:shd w:fill="FFFFFF"/>
          </w:tcPr>
          <w:p>
            <w:pPr>
              <w:pStyle w:val="TableText"/>
            </w:pPr>
            <w:r>
              <w:rPr/>
              <w:t>807 / 404</w:t>
            </w:r>
          </w:p>
        </w:tc>
        <w:tc>
          <w:tcPr>
            <w:tcW w:w="2200" w:type="dxa"/>
            <w:shd w:fill="FFFFFF"/>
          </w:tcPr>
          <w:p>
            <w:pPr>
              <w:pStyle w:val="TableText"/>
            </w:pPr>
            <w:r>
              <w:rPr/>
              <w:t>6</w:t>
            </w:r>
          </w:p>
        </w:tc>
        <w:tc>
          <w:tcPr>
            <w:tcW w:w="3000" w:type="dxa"/>
            <w:shd w:fill="FFFFFF"/>
          </w:tcPr>
          <w:p>
            <w:pPr>
              <w:pStyle w:val="TableText"/>
            </w:pPr>
            <w:r>
              <w:rPr/>
              <w:t>1</w:t>
            </w:r>
          </w:p>
        </w:tc>
      </w:tr>
      <w:tr>
        <w:trPr>
          <w:cantSplit/>
        </w:trPr>
        <w:tc>
          <w:tcPr>
            <w:tcW w:w="1200" w:type="dxa"/>
            <w:shd w:fill="F0F5F8"/>
          </w:tcPr>
          <w:p>
            <w:pPr>
              <w:pStyle w:val="TableText"/>
            </w:pPr>
            <w:r>
              <w:rPr/>
              <w:t>2</w:t>
            </w:r>
          </w:p>
        </w:tc>
        <w:tc>
          <w:tcPr>
            <w:tcW w:w="2900" w:type="dxa"/>
            <w:shd w:fill="F0F5F8"/>
          </w:tcPr>
          <w:p>
            <w:pPr>
              <w:pStyle w:val="TableText"/>
            </w:pPr>
            <w:r>
              <w:rPr/>
              <w:t>808 / 403</w:t>
            </w:r>
          </w:p>
        </w:tc>
        <w:tc>
          <w:tcPr>
            <w:tcW w:w="2200" w:type="dxa"/>
            <w:shd w:fill="F0F5F8"/>
          </w:tcPr>
          <w:p>
            <w:pPr>
              <w:pStyle w:val="TableText"/>
            </w:pPr>
            <w:r>
              <w:rPr/>
              <w:t>6</w:t>
            </w:r>
          </w:p>
        </w:tc>
        <w:tc>
          <w:tcPr>
            <w:tcW w:w="3000" w:type="dxa"/>
            <w:shd w:fill="F0F5F8"/>
          </w:tcPr>
          <w:p>
            <w:pPr>
              <w:pStyle w:val="TableText"/>
            </w:pPr>
            <w:r>
              <w:rPr/>
              <w:t>1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labeled_metadata.csv의 fold를 그대로 사용한다. 기존 분할은 고유 패턴의 유형을 층화한 StratifiedKFold이며, 일반 행 단위 분할이나 StratifiedGroupKFold를 새로 적용한 결과가 아니다. 24개 원본 입력의 완전 일치로 정의한 pattern_id는 전처리 전에 고정한다. [1]</w:t>
      </w:r>
    </w:p>
    <w:p>
      <w:pPr>
        <w:pStyle w:val="Heading1"/>
      </w:pPr>
      <w:r>
        <w:t xml:space="preserve">외부 3겹 × 내부 2겹의 선택 절차</w:t>
      </w:r>
    </w:p>
    <w:p>
      <w:pPr>
        <w:pStyle w:val="Normal"/>
      </w:pPr>
      <w:r>
        <w:t xml:space="preserve">① 외부 검증 1개 폴드를 잠근다 → ② 나머지 학습 데이터의 고유 패턴을 정상 전용·충돌·불량 전용으로 나눈 뒤 내부 2겹으로 층화한다 → ③ 내부 검증 평균 AP로 설정을 고른다 → ④ 내부 예측으로 임계값 규칙을 선택한다 → ⑤ 외부 학습 전체로 재적합하고 외부 검증을 한 번 평가한다.</w:t>
      </w:r>
    </w:p>
    <w:p>
      <w:pPr>
        <w:pStyle w:val="Normal"/>
      </w:pPr>
      <w:r>
        <w:t xml:space="preserve">외부 학습에는 불량 전용 패턴이 2개만 남으므로 내부는 2겹으로 제한한다. 내부 유형은 해당 외부 학습 라벨만으로 계산한다. random_state=42를 고정하고 모든 모델에 동일한 내부 분할을 준다. 내부 폴드에도 두 클래스가 존재하고 패턴 중복이 없는지 검사한다.</w:t>
      </w:r>
    </w:p>
    <w:p>
      <w:pPr>
        <w:pStyle w:val="Heading1"/>
      </w:pPr>
      <w:r>
        <w:t xml:space="preserve">전처리는 각 학습 구간 안에서만 적합</w:t>
      </w:r>
    </w:p>
    <w:tbl>
      <w:tblPr>
        <w:tblW w:w="9300" w:type="dxa"/>
        <w:tblLayout w:type="fixed"/>
        <w:tblBorders>
          <w:bottom w:val="single" w:sz="4" w:color="D7E2EC"/>
          <w:insideH w:val="single" w:sz="4" w:color="D7E2EC"/>
        </w:tblBorders>
        <w:tblCellMar>
          <w:top w:w="95" w:type="dxa"/>
          <w:left w:w="110" w:type="dxa"/>
          <w:bottom w:w="95" w:type="dxa"/>
          <w:right w:w="110" w:type="dxa"/>
        </w:tblCellMar>
      </w:tblPr>
      <w:tblGrid>
        <w:gridCol w:w="2400"/>
        <w:gridCol w:w="6900"/>
      </w:tblGrid>
      <w:tr>
        <w:trPr>
          <w:cantSplit/>
          <w:tblHeader/>
        </w:trPr>
        <w:tc>
          <w:tcPr>
            <w:tcW w:w="2400" w:type="dxa"/>
            <w:shd w:fill="183B56"/>
          </w:tcPr>
          <w:p>
            <w:pPr>
              <w:pStyle w:val="TableText"/>
            </w:pPr>
            <w:r>
              <w:rPr>
                <w:b/>
                <w:color w:val="FFFFFF"/>
              </w:rPr>
              <w:t>대상</w:t>
            </w:r>
          </w:p>
        </w:tc>
        <w:tc>
          <w:tcPr>
            <w:tcW w:w="6900" w:type="dxa"/>
            <w:shd w:fill="183B56"/>
          </w:tcPr>
          <w:p>
            <w:pPr>
              <w:pStyle w:val="TableText"/>
            </w:pPr>
            <w:r>
              <w:rPr>
                <w:b/>
                <w:color w:val="FFFFFF"/>
              </w:rPr>
              <w:t>적용 원칙</w:t>
            </w:r>
          </w:p>
        </w:tc>
      </w:tr>
      <w:tr>
        <w:trPr>
          <w:cantSplit/>
        </w:trPr>
        <w:tc>
          <w:tcPr>
            <w:tcW w:w="2400" w:type="dxa"/>
            <w:shd w:fill="F0F5F8"/>
          </w:tcPr>
          <w:p>
            <w:pPr>
              <w:pStyle w:val="TableText"/>
            </w:pPr>
            <w:r>
              <w:rPr/>
              <w:t>입력 / 타깃</w:t>
            </w:r>
          </w:p>
        </w:tc>
        <w:tc>
          <w:tcPr>
            <w:tcW w:w="6900" w:type="dxa"/>
            <w:shd w:fill="F0F5F8"/>
          </w:tcPr>
          <w:p>
            <w:pPr>
              <w:pStyle w:val="TableText"/>
            </w:pPr>
            <w:r>
              <w:rPr/>
              <w:t>X_labeled.csv의 24개 공정 변수, y_labeled.csv의 0=정상·1=불량. ID·패턴 유형·빈도·fold는 입력에서 제외.</w:t>
            </w:r>
          </w:p>
        </w:tc>
      </w:tr>
      <w:tr>
        <w:trPr>
          <w:cantSplit/>
        </w:trPr>
        <w:tc>
          <w:tcPr>
            <w:tcW w:w="2400" w:type="dxa"/>
            <w:shd w:fill="FFFFFF"/>
          </w:tcPr>
          <w:p>
            <w:pPr>
              <w:pStyle w:val="TableText"/>
            </w:pPr>
            <w:r>
              <w:rPr/>
              <w:t>상수열 / 스케일</w:t>
            </w:r>
          </w:p>
        </w:tc>
        <w:tc>
          <w:tcPr>
            <w:tcW w:w="6900" w:type="dxa"/>
            <w:shd w:fill="FFFFFF"/>
          </w:tcPr>
          <w:p>
            <w:pPr>
              <w:pStyle w:val="TableText"/>
            </w:pPr>
            <w:r>
              <w:rPr/>
              <w:t>학습에서 상수인 열을 VarianceThreshold(0)로 제외. RF는 스케일링 없음; LR은 전체 학습 행, OCSVM은 정상 학습 행에만 StandardScaler 적합.</w:t>
            </w:r>
          </w:p>
        </w:tc>
      </w:tr>
      <w:tr>
        <w:trPr>
          <w:cantSplit/>
        </w:trPr>
        <w:tc>
          <w:tcPr>
            <w:tcW w:w="2400" w:type="dxa"/>
            <w:shd w:fill="F0F5F8"/>
          </w:tcPr>
          <w:p>
            <w:pPr>
              <w:pStyle w:val="TableText"/>
            </w:pPr>
            <w:r>
              <w:rPr/>
              <w:t>행과 라벨</w:t>
            </w:r>
          </w:p>
        </w:tc>
        <w:tc>
          <w:tcPr>
            <w:tcW w:w="6900" w:type="dxa"/>
            <w:shd w:fill="F0F5F8"/>
          </w:tcPr>
          <w:p>
            <w:pPr>
              <w:pStyle w:val="TableText"/>
            </w:pPr>
            <w:r>
              <w:rPr/>
              <w:t>충돌 행·특이값 보존. 기본 실험은 중복 축약·SMOTE·언더샘플링·클리핑 없이 수행.</w:t>
            </w:r>
          </w:p>
        </w:tc>
      </w:tr>
      <w:tr>
        <w:trPr>
          <w:cantSplit/>
        </w:trPr>
        <w:tc>
          <w:tcPr>
            <w:tcW w:w="2400" w:type="dxa"/>
            <w:shd w:fill="FFFFFF"/>
          </w:tcPr>
          <w:p>
            <w:pPr>
              <w:pStyle w:val="TableText"/>
            </w:pPr>
            <w:r>
              <w:rPr/>
              <w:t>비라벨 35,239행</w:t>
            </w:r>
          </w:p>
        </w:tc>
        <w:tc>
          <w:tcPr>
            <w:tcW w:w="6900" w:type="dxa"/>
            <w:shd w:fill="FFFFFF"/>
          </w:tcPr>
          <w:p>
            <w:pPr>
              <w:pStyle w:val="TableText"/>
            </w:pPr>
            <w:r>
              <w:rPr/>
              <w:t>학습·스케일 추정·파라미터 선택에서 제외. 모델 확정 후 점수 산출 대상으로 사용; 정상이라고 가정하지 않음.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Small"/>
      </w:pPr>
      <w:r>
        <w:t xml:space="preserve">전체 라벨이 이미 EDA에 사용되었다. 중첩 검증은 추가 튜닝 누수를 줄이지만, EDA 선택 편향까지 제거하지는 않는다. 결과는 개발 성능이며 새 로트·시간대의 독립 시험이 필요하다. 제공된 표준화의 원래 적합 범위도 확인되지 않았다.</w:t>
      </w:r>
    </w:p>
    <w:p>
      <w:r>
        <w:br w:type="page"/>
      </w:r>
    </w:p>
    <w:p>
      <w:pPr>
        <w:pStyle w:val="Title"/>
      </w:pPr>
      <w:r>
        <w:t xml:space="preserve">03  랜덤포레스트: 조건 결합의 추가 정보</w:t>
      </w:r>
    </w:p>
    <w:p>
      <w:pPr>
        <w:pStyle w:val="Heading1"/>
      </w:pPr>
      <w:r>
        <w:t xml:space="preserve">학습 방식과 설정 근거</w:t>
      </w:r>
    </w:p>
    <w:p>
      <w:pPr>
        <w:pStyle w:val="Normal"/>
      </w:pPr>
      <w:r>
        <w:t xml:space="preserve">정상과 불량을 함께 학습한다. 여러 트리의 결과를 평균하여 비선형 경계를 표현하되, 불량 표본이 적고 입력이 반복되므로 트리 깊이와 말단 표본 수를 제한한다. 복잡한 트리가 라벨 충돌을 해소할 수 있다고 기대하지 않는다. [2]</w:t>
      </w:r>
    </w:p>
    <w:tbl>
      <w:tblPr>
        <w:tblW w:w="9300" w:type="dxa"/>
        <w:tblLayout w:type="fixed"/>
        <w:tblBorders>
          <w:bottom w:val="single" w:sz="4" w:color="D7E2EC"/>
          <w:insideH w:val="single" w:sz="4" w:color="D7E2EC"/>
        </w:tblBorders>
        <w:tblCellMar>
          <w:top w:w="95" w:type="dxa"/>
          <w:left w:w="110" w:type="dxa"/>
          <w:bottom w:w="95" w:type="dxa"/>
          <w:right w:w="110" w:type="dxa"/>
        </w:tblCellMar>
      </w:tblPr>
      <w:tblGrid>
        <w:gridCol w:w="2700"/>
        <w:gridCol w:w="6600"/>
      </w:tblGrid>
      <w:tr>
        <w:trPr>
          <w:cantSplit/>
          <w:tblHeader/>
        </w:trPr>
        <w:tc>
          <w:tcPr>
            <w:tcW w:w="2700" w:type="dxa"/>
            <w:shd w:fill="183B56"/>
          </w:tcPr>
          <w:p>
            <w:pPr>
              <w:pStyle w:val="TableText"/>
            </w:pPr>
            <w:r>
              <w:rPr>
                <w:b/>
                <w:color w:val="FFFFFF"/>
              </w:rPr>
              <w:t>항목</w:t>
            </w:r>
          </w:p>
        </w:tc>
        <w:tc>
          <w:tcPr>
            <w:tcW w:w="6600" w:type="dxa"/>
            <w:shd w:fill="183B56"/>
          </w:tcPr>
          <w:p>
            <w:pPr>
              <w:pStyle w:val="TableText"/>
            </w:pPr>
            <w:r>
              <w:rPr>
                <w:b/>
                <w:color w:val="FFFFFF"/>
              </w:rPr>
              <w:t>제안 설정</w:t>
            </w:r>
          </w:p>
        </w:tc>
      </w:tr>
      <w:tr>
        <w:trPr>
          <w:cantSplit/>
        </w:trPr>
        <w:tc>
          <w:tcPr>
            <w:tcW w:w="2700" w:type="dxa"/>
            <w:shd w:fill="F0F5F8"/>
          </w:tcPr>
          <w:p>
            <w:pPr>
              <w:pStyle w:val="TableText"/>
            </w:pPr>
            <w:r>
              <w:rPr/>
              <w:t>기본 설정</w:t>
            </w:r>
          </w:p>
        </w:tc>
        <w:tc>
          <w:tcPr>
            <w:tcW w:w="6600" w:type="dxa"/>
            <w:shd w:fill="F0F5F8"/>
          </w:tcPr>
          <w:p>
            <w:pPr>
              <w:pStyle w:val="TableText"/>
            </w:pPr>
            <w:r>
              <w:rPr/>
              <w:t>n_estimators=500, criterion="gini", max_depth=3, min_samples_leaf=3</w:t>
            </w:r>
          </w:p>
        </w:tc>
      </w:tr>
      <w:tr>
        <w:trPr>
          <w:cantSplit/>
        </w:trPr>
        <w:tc>
          <w:tcPr>
            <w:tcW w:w="2700" w:type="dxa"/>
            <w:shd w:fill="FFFFFF"/>
          </w:tcPr>
          <w:p>
            <w:pPr>
              <w:pStyle w:val="TableText"/>
            </w:pPr>
            <w:r>
              <w:rPr/>
              <w:t>고정 설정</w:t>
            </w:r>
          </w:p>
        </w:tc>
        <w:tc>
          <w:tcPr>
            <w:tcW w:w="6600" w:type="dxa"/>
            <w:shd w:fill="FFFFFF"/>
          </w:tcPr>
          <w:p>
            <w:pPr>
              <w:pStyle w:val="TableText"/>
            </w:pPr>
            <w:r>
              <w:rPr/>
              <w:t>max_features="sqrt", bootstrap=True, random_state=42, n_jobs=-1, oob_score=False</w:t>
            </w:r>
          </w:p>
        </w:tc>
      </w:tr>
      <w:tr>
        <w:trPr>
          <w:cantSplit/>
        </w:trPr>
        <w:tc>
          <w:tcPr>
            <w:tcW w:w="2700" w:type="dxa"/>
            <w:shd w:fill="F0F5F8"/>
          </w:tcPr>
          <w:p>
            <w:pPr>
              <w:pStyle w:val="TableText"/>
            </w:pPr>
            <w:r>
              <w:rPr/>
              <w:t>내부 탐색: 8개</w:t>
            </w:r>
          </w:p>
        </w:tc>
        <w:tc>
          <w:tcPr>
            <w:tcW w:w="6600" w:type="dxa"/>
            <w:shd w:fill="F0F5F8"/>
          </w:tcPr>
          <w:p>
            <w:pPr>
              <w:pStyle w:val="TableText"/>
            </w:pPr>
            <w:r>
              <w:rPr/>
              <w:t>max_depth ∈ {3, 6}; min_samples_leaf ∈ {3, 10}; class_weight ∈ {None, "balanced"}</w:t>
            </w:r>
          </w:p>
        </w:tc>
      </w:tr>
      <w:tr>
        <w:trPr>
          <w:cantSplit/>
        </w:trPr>
        <w:tc>
          <w:tcPr>
            <w:tcW w:w="2700" w:type="dxa"/>
            <w:shd w:fill="FFFFFF"/>
          </w:tcPr>
          <w:p>
            <w:pPr>
              <w:pStyle w:val="TableText"/>
            </w:pPr>
            <w:r>
              <w:rPr/>
              <w:t>예측 점수</w:t>
            </w:r>
          </w:p>
        </w:tc>
        <w:tc>
          <w:tcPr>
            <w:tcW w:w="6600" w:type="dxa"/>
            <w:shd w:fill="FFFFFF"/>
          </w:tcPr>
          <w:p>
            <w:pPr>
              <w:pStyle w:val="TableText"/>
            </w:pPr>
            <w:r>
              <w:rPr/>
              <w:t>predict_proba의 불량(클래스 1) 열. 클래스 순서를 classes_로 확인한다.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1"/>
      </w:pPr>
      <w:r>
        <w:t xml:space="preserve">손실함수에 해당하는 학습 기준</w:t>
      </w:r>
    </w:p>
    <w:p>
      <w:pPr>
        <w:pStyle w:val="Normal"/>
      </w:pPr>
      <w:r>
        <w:t xml:space="preserve">각 노드에서 가중 클래스 비율 p를 사용한 Gini 불순도 G=1−Σₖpₖ²를 계산하고, 자식 노드의 가중 불순도를 가장 크게 줄이는 분할을 선택한다. 포레스트 전체에 하나의 교차엔트로피를 두고 경사하강하는 방식은 아니다. [2]</w:t>
      </w:r>
    </w:p>
    <w:p>
      <w:pPr>
        <w:pStyle w:val="Normal"/>
      </w:pPr>
      <w:r>
        <w:t xml:space="preserve">balanced 가중치는 해당 적합 데이터의 n/(2nₖ)이다. 소수 불량의 영향력을 높이는 동시에 충돌 불량에도 큰 가중치를 주므로, 정상 동반 행의 오탐 증가를 확인해야 한다. class_weight=None도 함께 비교한다. [2]</w:t>
      </w:r>
    </w:p>
    <w:p>
      <w:pPr>
        <w:pStyle w:val="Heading1"/>
      </w:pPr>
      <w:r>
        <w:t xml:space="preserve">RF에서 특히 점검할 실패</w:t>
      </w:r>
    </w:p>
    <w:p>
      <w:pPr>
        <w:pStyle w:val="Normal"/>
      </w:pPr>
      <w:r>
        <w:t xml:space="preserve">훈련 점수만 높고 외부 AP가 낮다면 패턴 암기·표본 부족을 의심한다. min_samples_leaf=10은 불량 전용의 작은 영역까지 평활화할 수 있으므로, 깊이를 늘리는 것보다 먼저 해당 3개 패턴의 누락을 확인한다.</w:t>
      </w:r>
    </w:p>
    <w:p>
      <w:pPr>
        <w:pStyle w:val="Normal"/>
      </w:pPr>
      <w:r>
        <w:t xml:space="preserve">행 부트스트랩 기반 OOB는 동일 입력의 다른 복제 행이 트리 학습에 들어갈 수 있어 주 검증으로 사용하지 않는다. 기존 그룹 폴드가 일반화 평가의 기준이다.</w:t>
      </w:r>
    </w:p>
    <w:p>
      <w:pPr>
        <w:pStyle w:val="Normal"/>
      </w:pPr>
      <w:r>
        <w:t xml:space="preserve">중요도는 외부 검증의 permutation importance를 보조로 확인한다. 온도 3·4처럼 상관이 높은 변수는 개별 중요도가 분산될 수 있으므로 함께 섞는 분석도 병기한다. 중요도는 제조 원인이나 개입 효과가 아니다.</w:t>
      </w:r>
    </w:p>
    <w:p>
      <w:pPr>
        <w:pStyle w:val="Small"/>
      </w:pPr>
      <w:r>
        <w:t xml:space="preserve">선정 판단: 로지스틱 회귀 대비 외부 폴드별 AP와 같은 경보 정책의 탐지/오탐이 개선되는지 확인한다. 특정 불량 전용 패턴 하나에서만 이득이 나면 보편적 개선으로 결론 내리지 않는다.</w:t>
      </w:r>
    </w:p>
    <w:p>
      <w:r>
        <w:br w:type="page"/>
      </w:r>
    </w:p>
    <w:p>
      <w:pPr>
        <w:pStyle w:val="Title"/>
      </w:pPr>
      <w:r>
        <w:t xml:space="preserve">04  로지스틱 회귀: 규제된 선형 기준선</w:t>
      </w:r>
    </w:p>
    <w:p>
      <w:pPr>
        <w:pStyle w:val="Heading1"/>
      </w:pPr>
      <w:r>
        <w:t xml:space="preserve">학습 방식과 설정 근거</w:t>
      </w:r>
    </w:p>
    <w:p>
      <w:pPr>
        <w:pStyle w:val="Normal"/>
      </w:pPr>
      <w:r>
        <w:t xml:space="preserve">정상과 불량을 함께 학습하며 p(y=1|x)=sigmoid(b+βᵀx)를 추정한다. 변수별 분포 차이가 선형 점수로 연결되는지 검증하는 기준선이다. 불량 17행과 높은 변수 상관을 고려해 무규제 추정보다 L2 규제를 우선한다. [3, 4]</w:t>
      </w:r>
    </w:p>
    <w:tbl>
      <w:tblPr>
        <w:tblW w:w="9300" w:type="dxa"/>
        <w:tblLayout w:type="fixed"/>
        <w:tblBorders>
          <w:bottom w:val="single" w:sz="4" w:color="D7E2EC"/>
          <w:insideH w:val="single" w:sz="4" w:color="D7E2EC"/>
        </w:tblBorders>
        <w:tblCellMar>
          <w:top w:w="95" w:type="dxa"/>
          <w:left w:w="110" w:type="dxa"/>
          <w:bottom w:w="95" w:type="dxa"/>
          <w:right w:w="110" w:type="dxa"/>
        </w:tblCellMar>
      </w:tblPr>
      <w:tblGrid>
        <w:gridCol w:w="2700"/>
        <w:gridCol w:w="6600"/>
      </w:tblGrid>
      <w:tr>
        <w:trPr>
          <w:cantSplit/>
          <w:tblHeader/>
        </w:trPr>
        <w:tc>
          <w:tcPr>
            <w:tcW w:w="2700" w:type="dxa"/>
            <w:shd w:fill="183B56"/>
          </w:tcPr>
          <w:p>
            <w:pPr>
              <w:pStyle w:val="TableText"/>
            </w:pPr>
            <w:r>
              <w:rPr>
                <w:b/>
                <w:color w:val="FFFFFF"/>
              </w:rPr>
              <w:t>항목</w:t>
            </w:r>
          </w:p>
        </w:tc>
        <w:tc>
          <w:tcPr>
            <w:tcW w:w="6600" w:type="dxa"/>
            <w:shd w:fill="183B56"/>
          </w:tcPr>
          <w:p>
            <w:pPr>
              <w:pStyle w:val="TableText"/>
            </w:pPr>
            <w:r>
              <w:rPr>
                <w:b/>
                <w:color w:val="FFFFFF"/>
              </w:rPr>
              <w:t>제안 설정</w:t>
            </w:r>
          </w:p>
        </w:tc>
      </w:tr>
      <w:tr>
        <w:trPr>
          <w:cantSplit/>
        </w:trPr>
        <w:tc>
          <w:tcPr>
            <w:tcW w:w="2700" w:type="dxa"/>
            <w:shd w:fill="F0F5F8"/>
          </w:tcPr>
          <w:p>
            <w:pPr>
              <w:pStyle w:val="TableText"/>
            </w:pPr>
            <w:r>
              <w:rPr/>
              <w:t>파이프라인</w:t>
            </w:r>
          </w:p>
        </w:tc>
        <w:tc>
          <w:tcPr>
            <w:tcW w:w="6600" w:type="dxa"/>
            <w:shd w:fill="F0F5F8"/>
          </w:tcPr>
          <w:p>
            <w:pPr>
              <w:pStyle w:val="TableText"/>
            </w:pPr>
            <w:r>
              <w:rPr/>
              <w:t>학습 상수열 제거 → StandardScaler → LogisticRegression</w:t>
            </w:r>
          </w:p>
        </w:tc>
      </w:tr>
      <w:tr>
        <w:trPr>
          <w:cantSplit/>
        </w:trPr>
        <w:tc>
          <w:tcPr>
            <w:tcW w:w="2700" w:type="dxa"/>
            <w:shd w:fill="FFFFFF"/>
          </w:tcPr>
          <w:p>
            <w:pPr>
              <w:pStyle w:val="TableText"/>
            </w:pPr>
            <w:r>
              <w:rPr/>
              <w:t>기본 설정</w:t>
            </w:r>
          </w:p>
        </w:tc>
        <w:tc>
          <w:tcPr>
            <w:tcW w:w="6600" w:type="dxa"/>
            <w:shd w:fill="FFFFFF"/>
          </w:tcPr>
          <w:p>
            <w:pPr>
              <w:pStyle w:val="TableText"/>
            </w:pPr>
            <w:r>
              <w:rPr/>
              <w:t>penalty="l2", C=0.1, solver="lbfgs", max_iter=5000, class_weight="balanced"</w:t>
            </w:r>
          </w:p>
        </w:tc>
      </w:tr>
      <w:tr>
        <w:trPr>
          <w:cantSplit/>
        </w:trPr>
        <w:tc>
          <w:tcPr>
            <w:tcW w:w="2700" w:type="dxa"/>
            <w:shd w:fill="F0F5F8"/>
          </w:tcPr>
          <w:p>
            <w:pPr>
              <w:pStyle w:val="TableText"/>
            </w:pPr>
            <w:r>
              <w:rPr/>
              <w:t>내부 탐색: 6개</w:t>
            </w:r>
          </w:p>
        </w:tc>
        <w:tc>
          <w:tcPr>
            <w:tcW w:w="6600" w:type="dxa"/>
            <w:shd w:fill="F0F5F8"/>
          </w:tcPr>
          <w:p>
            <w:pPr>
              <w:pStyle w:val="TableText"/>
            </w:pPr>
            <w:r>
              <w:rPr/>
              <w:t>C ∈ {0.01, 0.1, 1}; class_weight ∈ {None, "balanced"}</w:t>
            </w:r>
          </w:p>
        </w:tc>
      </w:tr>
      <w:tr>
        <w:trPr>
          <w:cantSplit/>
        </w:trPr>
        <w:tc>
          <w:tcPr>
            <w:tcW w:w="2700" w:type="dxa"/>
            <w:shd w:fill="FFFFFF"/>
          </w:tcPr>
          <w:p>
            <w:pPr>
              <w:pStyle w:val="TableText"/>
            </w:pPr>
            <w:r>
              <w:rPr/>
              <w:t>예측 점수</w:t>
            </w:r>
          </w:p>
        </w:tc>
        <w:tc>
          <w:tcPr>
            <w:tcW w:w="6600" w:type="dxa"/>
            <w:shd w:fill="FFFFFF"/>
          </w:tcPr>
          <w:p>
            <w:pPr>
              <w:pStyle w:val="TableText"/>
            </w:pPr>
            <w:r>
              <w:rPr/>
              <w:t>predict_proba의 클래스 1 열. 임계값은 0.5로 고정하지 않고 내부에서 선택한다.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1"/>
      </w:pPr>
      <w:r>
        <w:t xml:space="preserve">손실함수와 규제</w:t>
      </w:r>
    </w:p>
    <w:p>
      <w:pPr>
        <w:pStyle w:val="Normal"/>
      </w:pPr>
      <w:r>
        <w:t xml:space="preserve">가중 이진 교차엔트로피 + L2 규제: L=−Σᵢaᵢ[yᵢ log pᵢ+(1−yᵢ)log(1−pᵢ)] + λ‖β‖²/2. aᵢ는 클래스 가중치이며, 절편은 이 규제 항에서 제외한다. 이 식은 목적의 형태를 나타낸다. 구현의 정규화 관례와 별개로 C가 작을수록 규제가 강하다. [3, 4]</w:t>
      </w:r>
    </w:p>
    <w:p>
      <w:pPr>
        <w:pStyle w:val="Normal"/>
      </w:pPr>
      <w:r>
        <w:t xml:space="preserve">balanced는 불량 누락에 더 큰 학습 비용을 준다. 그러나 실제 공정 비용을 측정한 값은 아니며, 가중 학습의 출력 확률은 실제 불량률로 그대로 해석하지 않는다. 불량이 적어 별도 확률 보정도 기본 단계에서는 보류한다.</w:t>
      </w:r>
    </w:p>
    <w:p>
      <w:pPr>
        <w:pStyle w:val="Heading1"/>
      </w:pPr>
      <w:r>
        <w:t xml:space="preserve">해석 및 실패 점검</w:t>
      </w:r>
    </w:p>
    <w:p>
      <w:pPr>
        <w:pStyle w:val="Normal"/>
      </w:pPr>
      <w:r>
        <w:t xml:space="preserve">계수의 부호와 폴드 간 변동을 기록한다. 표준화 후 계수는 학습 표준편차 단위의 조건부 연관이며, 다른 변수와의 상관 때문에 부호가 바뀔 수 있다. 작은 표본·반복 행·L2 규제가 있으므로 일반 회귀의 p값이나 인과적 효과로 보고하지 않는다.</w:t>
      </w:r>
    </w:p>
    <w:p>
      <w:pPr>
        <w:pStyle w:val="Normal"/>
      </w:pPr>
      <w:r>
        <w:t xml:space="preserve">수렴 경고와 n_iter_를 확인한다. 학습과 검증이 모두 낮으면 선형 경계의 한계를 검토하고 RF와 비교한다. 훈련만 좋다면 C를 줄이는 방향을 우선 검토한다. 상호작용항 추가나 KS 상위 변수 선택은 첫 비교 후 별도 실험으로 분리한다.</w:t>
      </w:r>
    </w:p>
    <w:p>
      <w:pPr>
        <w:pStyle w:val="Small"/>
      </w:pPr>
      <w:r>
        <w:t xml:space="preserve">현재 설치 환경은 scikit-learn 1.2.1이다. 위 penalty="l2" 설정은 이 환경 기준이며, 실행 환경을 갱신할 경우 공식 문서의 API 변경을 확인하고 버전을 고정한다.</w:t>
      </w:r>
    </w:p>
    <w:p>
      <w:r>
        <w:br w:type="page"/>
      </w:r>
    </w:p>
    <w:p>
      <w:pPr>
        <w:pStyle w:val="Title"/>
      </w:pPr>
      <w:r>
        <w:t xml:space="preserve">05  One-Class SVM: 정상 영역의 경계</w:t>
      </w:r>
    </w:p>
    <w:p>
      <w:pPr>
        <w:pStyle w:val="Heading1"/>
      </w:pPr>
      <w:r>
        <w:t xml:space="preserve">학습과 검증의 라벨 사용을 구분</w:t>
      </w:r>
    </w:p>
    <w:p>
      <w:pPr>
        <w:pStyle w:val="Normal"/>
      </w:pPr>
      <w:r>
        <w:t xml:space="preserve">모델과 전처리의 적합에는 해당 학습 구간의 정상(y=0)만 사용한다. 내부·외부 검증에는 정상과 불량을 모두 포함한다. 내부 검증 라벨로 설정을 선택하므로 전체 절차는 라벨을 전혀 쓰지 않는 순수 비지도 평가가 아니라, 정상 전용 학습에 라벨 기반 선택을 결합한 방식이다. [5, 6]</w:t>
      </w:r>
    </w:p>
    <w:p>
      <w:pPr>
        <w:pStyle w:val="Normal"/>
      </w:pPr>
      <w:r>
        <w:t xml:space="preserve">충돌 패턴의 정상 행도 정상 학습에 유지한다. 충돌이라는 이유로 정상 행을 빼면 관측 정상의 정의가 바뀐다. 외부 검증에서 확인한 패턴 유형을 학습 행 선택에 사용하지 않는다.</w:t>
      </w:r>
    </w:p>
    <w:tbl>
      <w:tblPr>
        <w:tblW w:w="9300" w:type="dxa"/>
        <w:tblLayout w:type="fixed"/>
        <w:tblBorders>
          <w:bottom w:val="single" w:sz="4" w:color="D7E2EC"/>
          <w:insideH w:val="single" w:sz="4" w:color="D7E2EC"/>
        </w:tblBorders>
        <w:tblCellMar>
          <w:top w:w="95" w:type="dxa"/>
          <w:left w:w="110" w:type="dxa"/>
          <w:bottom w:w="95" w:type="dxa"/>
          <w:right w:w="110" w:type="dxa"/>
        </w:tblCellMar>
      </w:tblPr>
      <w:tblGrid>
        <w:gridCol w:w="2700"/>
        <w:gridCol w:w="6600"/>
      </w:tblGrid>
      <w:tr>
        <w:trPr>
          <w:cantSplit/>
          <w:tblHeader/>
        </w:trPr>
        <w:tc>
          <w:tcPr>
            <w:tcW w:w="2700" w:type="dxa"/>
            <w:shd w:fill="183B56"/>
          </w:tcPr>
          <w:p>
            <w:pPr>
              <w:pStyle w:val="TableText"/>
            </w:pPr>
            <w:r>
              <w:rPr>
                <w:b/>
                <w:color w:val="FFFFFF"/>
              </w:rPr>
              <w:t>항목</w:t>
            </w:r>
          </w:p>
        </w:tc>
        <w:tc>
          <w:tcPr>
            <w:tcW w:w="6600" w:type="dxa"/>
            <w:shd w:fill="183B56"/>
          </w:tcPr>
          <w:p>
            <w:pPr>
              <w:pStyle w:val="TableText"/>
            </w:pPr>
            <w:r>
              <w:rPr>
                <w:b/>
                <w:color w:val="FFFFFF"/>
              </w:rPr>
              <w:t>제안 설정</w:t>
            </w:r>
          </w:p>
        </w:tc>
      </w:tr>
      <w:tr>
        <w:trPr>
          <w:cantSplit/>
        </w:trPr>
        <w:tc>
          <w:tcPr>
            <w:tcW w:w="2700" w:type="dxa"/>
            <w:shd w:fill="F0F5F8"/>
          </w:tcPr>
          <w:p>
            <w:pPr>
              <w:pStyle w:val="TableText"/>
            </w:pPr>
            <w:r>
              <w:rPr/>
              <w:t>파이프라인</w:t>
            </w:r>
          </w:p>
        </w:tc>
        <w:tc>
          <w:tcPr>
            <w:tcW w:w="6600" w:type="dxa"/>
            <w:shd w:fill="F0F5F8"/>
          </w:tcPr>
          <w:p>
            <w:pPr>
              <w:pStyle w:val="TableText"/>
            </w:pPr>
            <w:r>
              <w:rPr/>
              <w:t>학습 정상 행 선택 → 정상에서 상수열 제거·StandardScaler 적합 → OneClassSVM</w:t>
            </w:r>
          </w:p>
        </w:tc>
      </w:tr>
      <w:tr>
        <w:trPr>
          <w:cantSplit/>
        </w:trPr>
        <w:tc>
          <w:tcPr>
            <w:tcW w:w="2700" w:type="dxa"/>
            <w:shd w:fill="FFFFFF"/>
          </w:tcPr>
          <w:p>
            <w:pPr>
              <w:pStyle w:val="TableText"/>
            </w:pPr>
            <w:r>
              <w:rPr/>
              <w:t>기본 설정</w:t>
            </w:r>
          </w:p>
        </w:tc>
        <w:tc>
          <w:tcPr>
            <w:tcW w:w="6600" w:type="dxa"/>
            <w:shd w:fill="FFFFFF"/>
          </w:tcPr>
          <w:p>
            <w:pPr>
              <w:pStyle w:val="TableText"/>
            </w:pPr>
            <w:r>
              <w:rPr/>
              <w:t>kernel="rbf", nu=0.02, gamma="scale", tol=0.001</w:t>
            </w:r>
          </w:p>
        </w:tc>
      </w:tr>
      <w:tr>
        <w:trPr>
          <w:cantSplit/>
        </w:trPr>
        <w:tc>
          <w:tcPr>
            <w:tcW w:w="2700" w:type="dxa"/>
            <w:shd w:fill="F0F5F8"/>
          </w:tcPr>
          <w:p>
            <w:pPr>
              <w:pStyle w:val="TableText"/>
            </w:pPr>
            <w:r>
              <w:rPr/>
              <w:t>내부 탐색: 9개</w:t>
            </w:r>
          </w:p>
        </w:tc>
        <w:tc>
          <w:tcPr>
            <w:tcW w:w="6600" w:type="dxa"/>
            <w:shd w:fill="F0F5F8"/>
          </w:tcPr>
          <w:p>
            <w:pPr>
              <w:pStyle w:val="TableText"/>
            </w:pPr>
            <w:r>
              <w:rPr/>
              <w:t>nu ∈ {0.01, 0.02, 0.05}; gamma ∈ {0.25/d, 1/d, 4/d}; d는 해당 학습 정상의 활성 변수 수</w:t>
            </w:r>
          </w:p>
        </w:tc>
      </w:tr>
      <w:tr>
        <w:trPr>
          <w:cantSplit/>
        </w:trPr>
        <w:tc>
          <w:tcPr>
            <w:tcW w:w="2700" w:type="dxa"/>
            <w:shd w:fill="FFFFFF"/>
          </w:tcPr>
          <w:p>
            <w:pPr>
              <w:pStyle w:val="TableText"/>
            </w:pPr>
            <w:r>
              <w:rPr/>
              <w:t>점수 방향</w:t>
            </w:r>
          </w:p>
        </w:tc>
        <w:tc>
          <w:tcPr>
            <w:tcW w:w="6600" w:type="dxa"/>
            <w:shd w:fill="FFFFFF"/>
          </w:tcPr>
          <w:p>
            <w:pPr>
              <w:pStyle w:val="TableText"/>
            </w:pPr>
            <w:r>
              <w:rPr/>
              <w:t>s(x)=−decision_function(x). 클수록 이상. 기본 predict의 −1=이상, +1=정상; 원본 라벨 1/0과 다르다.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1"/>
      </w:pPr>
      <w:r>
        <w:t xml:space="preserve">목적함수와 nu의 의미</w:t>
      </w:r>
    </w:p>
    <w:p>
      <w:pPr>
        <w:pStyle w:val="Normal"/>
      </w:pPr>
      <w:r>
        <w:t xml:space="preserve">min ½‖w‖² + (1/(νn))Σᵢξᵢ − ρ, 제약: wᵀφ(xᵢ) ≥ ρ−ξᵢ, ξᵢ≥0. n은 학습 정상 행 수, ξ는 경계 위반 허용량, φ는 커널의 특징 표현이다. RBF 커널은 exp(−γ‖x−x′‖²)이다. [5, 7]</w:t>
      </w:r>
    </w:p>
    <w:p>
      <w:pPr>
        <w:pStyle w:val="Normal"/>
      </w:pPr>
      <w:r>
        <w:t xml:space="preserve">nu는 학습 오류 비율의 상한과 서포트 벡터 비율의 하한에 관련된 매개변수다. 불량률 1.40%를 뜻하지 않으며, nu=0.014로 자동 결정하지 않는다. gamma가 크면 정상 영역이 좁고 복잡해질 수 있다. [5]</w:t>
      </w:r>
    </w:p>
    <w:p>
      <w:pPr>
        <w:pStyle w:val="Heading1"/>
      </w:pPr>
      <w:r>
        <w:t xml:space="preserve">CN7에서 기대할 수 있는 것과 한계</w:t>
      </w:r>
    </w:p>
    <w:p>
      <w:pPr>
        <w:pStyle w:val="Normal"/>
      </w:pPr>
      <w:r>
        <w:t xml:space="preserve">불량 전용 3개 패턴의 영역 이탈을 검증할 가치가 있다. 그러나 동일 입력을 가진 정상·불량은 동일 점수를 받는다. 충돌 불량을 검출하면 같은 입력의 정상도 함께 경보가 발생한다. 이상 점수는 불량 확률이 아니다.</w:t>
      </w:r>
    </w:p>
    <w:p>
      <w:pPr>
        <w:pStyle w:val="Small"/>
      </w:pPr>
      <w:r>
        <w:t xml:space="preserve">정상 분포가 복잡하면 경계의 희귀 정상에 오탐이 집중될 수 있다. 정상의 점수 분포·서포트 벡터 비율·nu/gamma 민감도를 기록한다. 비라벨 데이터를 정상 학습에 합치거나 이상 점수만으로 불량 라벨을 부여하지 않는다.</w:t>
      </w:r>
    </w:p>
    <w:p>
      <w:r>
        <w:br w:type="page"/>
      </w:r>
    </w:p>
    <w:p>
      <w:pPr>
        <w:pStyle w:val="Title"/>
      </w:pPr>
      <w:r>
        <w:t xml:space="preserve">06  평가 지표와 판정 임계값</w:t>
      </w:r>
    </w:p>
    <w:p>
      <w:pPr>
        <w:pStyle w:val="Heading1"/>
      </w:pPr>
      <w:r>
        <w:t xml:space="preserve">주 지표와 보조 지표</w:t>
      </w:r>
    </w:p>
    <w:tbl>
      <w:tblPr>
        <w:tblW w:w="9300" w:type="dxa"/>
        <w:tblLayout w:type="fixed"/>
        <w:tblBorders>
          <w:bottom w:val="single" w:sz="4" w:color="D7E2EC"/>
          <w:insideH w:val="single" w:sz="4" w:color="D7E2EC"/>
        </w:tblBorders>
        <w:tblCellMar>
          <w:top w:w="95" w:type="dxa"/>
          <w:left w:w="110" w:type="dxa"/>
          <w:bottom w:w="95" w:type="dxa"/>
          <w:right w:w="110" w:type="dxa"/>
        </w:tblCellMar>
      </w:tblPr>
      <w:tblGrid>
        <w:gridCol w:w="2600"/>
        <w:gridCol w:w="6700"/>
      </w:tblGrid>
      <w:tr>
        <w:trPr>
          <w:cantSplit/>
          <w:tblHeader/>
        </w:trPr>
        <w:tc>
          <w:tcPr>
            <w:tcW w:w="2600" w:type="dxa"/>
            <w:shd w:fill="183B56"/>
          </w:tcPr>
          <w:p>
            <w:pPr>
              <w:pStyle w:val="TableText"/>
            </w:pPr>
            <w:r>
              <w:rPr>
                <w:b/>
                <w:color w:val="FFFFFF"/>
              </w:rPr>
              <w:t>구분</w:t>
            </w:r>
          </w:p>
        </w:tc>
        <w:tc>
          <w:tcPr>
            <w:tcW w:w="6700" w:type="dxa"/>
            <w:shd w:fill="183B56"/>
          </w:tcPr>
          <w:p>
            <w:pPr>
              <w:pStyle w:val="TableText"/>
            </w:pPr>
            <w:r>
              <w:rPr>
                <w:b/>
                <w:color w:val="FFFFFF"/>
              </w:rPr>
              <w:t>기록할 결과</w:t>
            </w:r>
          </w:p>
        </w:tc>
      </w:tr>
      <w:tr>
        <w:trPr>
          <w:cantSplit/>
        </w:trPr>
        <w:tc>
          <w:tcPr>
            <w:tcW w:w="2600" w:type="dxa"/>
            <w:shd w:fill="F0F5F8"/>
          </w:tcPr>
          <w:p>
            <w:pPr>
              <w:pStyle w:val="TableText"/>
            </w:pPr>
            <w:r>
              <w:rPr/>
              <w:t>주 선택 지표</w:t>
            </w:r>
          </w:p>
        </w:tc>
        <w:tc>
          <w:tcPr>
            <w:tcW w:w="6700" w:type="dxa"/>
            <w:shd w:fill="F0F5F8"/>
          </w:tcPr>
          <w:p>
            <w:pPr>
              <w:pStyle w:val="TableText"/>
            </w:pPr>
            <w:r>
              <w:rPr/>
              <w:t>내부 폴드 AP의 단순 평균. 외부에서는 폴드별 AP와 평균·범위를 함께 보고한다. AP는 사다리꼴 PR-AUC와 구분해 표기. [8]</w:t>
            </w:r>
          </w:p>
        </w:tc>
      </w:tr>
      <w:tr>
        <w:trPr>
          <w:cantSplit/>
        </w:trPr>
        <w:tc>
          <w:tcPr>
            <w:tcW w:w="2600" w:type="dxa"/>
            <w:shd w:fill="FFFFFF"/>
          </w:tcPr>
          <w:p>
            <w:pPr>
              <w:pStyle w:val="TableText"/>
            </w:pPr>
            <w:r>
              <w:rPr/>
              <w:t>보조 지표</w:t>
            </w:r>
          </w:p>
        </w:tc>
        <w:tc>
          <w:tcPr>
            <w:tcW w:w="6700" w:type="dxa"/>
            <w:shd w:fill="FFFFFF"/>
          </w:tcPr>
          <w:p>
            <w:pPr>
              <w:pStyle w:val="TableText"/>
            </w:pPr>
            <w:r>
              <w:rPr/>
              <w:t>ROC-AUC, precision, recall, F2, 정상 오탐률 FP/(FP+TN), 경보율, TP/FP/FN/TN 실제 행 수. [9]</w:t>
            </w:r>
          </w:p>
        </w:tc>
      </w:tr>
      <w:tr>
        <w:trPr>
          <w:cantSplit/>
        </w:trPr>
        <w:tc>
          <w:tcPr>
            <w:tcW w:w="2600" w:type="dxa"/>
            <w:shd w:fill="F0F5F8"/>
          </w:tcPr>
          <w:p>
            <w:pPr>
              <w:pStyle w:val="TableText"/>
            </w:pPr>
            <w:r>
              <w:rPr/>
              <w:t>기준선</w:t>
            </w:r>
          </w:p>
        </w:tc>
        <w:tc>
          <w:tcPr>
            <w:tcW w:w="6700" w:type="dxa"/>
            <w:shd w:fill="F0F5F8"/>
          </w:tcPr>
          <w:p>
            <w:pPr>
              <w:pStyle w:val="TableText"/>
            </w:pPr>
            <w:r>
              <w:rPr/>
              <w:t>항상 정상인 분류기는 정확도 98.60%, 불량 recall=0. 전체 유병률 1.40%는 AP 해석의 참조값이며 실제 무작위 순위 AP와 정확히 같다는 뜻은 아님.</w:t>
            </w:r>
          </w:p>
        </w:tc>
      </w:tr>
      <w:tr>
        <w:trPr>
          <w:cantSplit/>
        </w:trPr>
        <w:tc>
          <w:tcPr>
            <w:tcW w:w="2600" w:type="dxa"/>
            <w:shd w:fill="FFFFFF"/>
          </w:tcPr>
          <w:p>
            <w:pPr>
              <w:pStyle w:val="TableText"/>
            </w:pPr>
            <w:r>
              <w:rPr/>
              <w:t>집계 단위</w:t>
            </w:r>
          </w:p>
        </w:tc>
        <w:tc>
          <w:tcPr>
            <w:tcW w:w="6700" w:type="dxa"/>
            <w:shd w:fill="FFFFFF"/>
          </w:tcPr>
          <w:p>
            <w:pPr>
              <w:pStyle w:val="TableText"/>
            </w:pPr>
            <w:r>
              <w:rPr/>
              <w:t>원본 행 기준이 주 결과. 추가로 각 행에 1/해당 패턴 행 수 가중치를 주어 패턴 균등 지표를 계산; 충돌 라벨은 유지.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1"/>
      </w:pPr>
      <w:r>
        <w:t xml:space="preserve">임계값은 학습 안에서 결정하고 외부에는 고정 적용</w:t>
      </w:r>
    </w:p>
    <w:p>
      <w:pPr>
        <w:pStyle w:val="Normal"/>
      </w:pPr>
      <w:r>
        <w:t xml:space="preserve">1. 내부 평균 AP로 모델 설정을 선택한다. 동률이면 더 단순하거나 더 강하게 규제된 설정을 우선한다. 외부 점수로 후보를 추가하지 않는다.</w:t>
      </w:r>
    </w:p>
    <w:p>
      <w:pPr>
        <w:pStyle w:val="Normal"/>
      </w:pPr>
      <w:r>
        <w:t xml:space="preserve">2. 선택된 설정에서 경보 정책 α∈{1%, 2%, 5%, 10%, 20%}를 비교한다. 각 내부 학습 모델의 정상 학습 점수에서 tα=quantile(s정상, 1−α)를 구하고, 내부 검증에 s&gt;tα를 적용한다. 내부 폴드 평균 F2가 가장 큰 α를 선택하고 동률이면 작은 α를 택한다.</w:t>
      </w:r>
    </w:p>
    <w:p>
      <w:pPr>
        <w:pStyle w:val="Normal"/>
      </w:pPr>
      <w:r>
        <w:t xml:space="preserve">3. 외부 학습 전체로 재적합한 뒤 그 모델의 정상 학습 점수로 선택된 α의 tα를 다시 구한다. 외부 검증에는 이 임계값을 그대로 적용한다. RF/LR은 불량 확률, OCSVM은 음의 decision_function을 s로 사용한다.</w:t>
      </w:r>
    </w:p>
    <w:p>
      <w:pPr>
        <w:pStyle w:val="Normal"/>
      </w:pPr>
      <w:r>
        <w:t xml:space="preserve">이 α는 임계값 생성 규칙이지 외부 오탐률 보장이 아니다. 학습 점수의 낙관성과 RF 점수 동률 때문에 실제 경보율이 달라질 수 있다. quantile 방식은 linear, 비교는 엄격한 &gt;로 고정하고 α·t·검증 오탐률을 모두 저장한다.</w:t>
      </w:r>
    </w:p>
    <w:p>
      <w:pPr>
        <w:pStyle w:val="Heading1"/>
      </w:pPr>
      <w:r>
        <w:t xml:space="preserve">작은 표본에서 결과를 읽는 방법</w:t>
      </w:r>
    </w:p>
    <w:p>
      <w:pPr>
        <w:pStyle w:val="Normal"/>
      </w:pPr>
      <w:r>
        <w:t xml:space="preserve">F2는 누락을 더 중시하는 잠정 운영 지표다. 대회 공식 지표와 오탐/미탐 비용이 아직 제공되지 않았으므로 확인 후 사전에 고정한다. 순위 성능(AP)과 임계값 성능을 분리하면 모델 실패인지 경보 정책 실패인지 구별할 수 있다.</w:t>
      </w:r>
    </w:p>
    <w:p>
      <w:pPr>
        <w:pStyle w:val="Small"/>
      </w:pPr>
      <w:r>
        <w:t xml:space="preserve">불량 5~6개인 폴드는 한 건으로 recall이 16.7~20%p 변한다. 3개 폴드의 표준편차를 신뢰구간으로 부르지 않는다. 특히 OCSVM은 폴드별 점수 척도가 달라 원점수를 합친 OOF AP로 순위를 결정하지 않는다. 임계값 적용 후의 혼동행렬은 합산 가능하다.</w:t>
      </w:r>
    </w:p>
    <w:p>
      <w:r>
        <w:br w:type="page"/>
      </w:r>
    </w:p>
    <w:p>
      <w:pPr>
        <w:pStyle w:val="Title"/>
      </w:pPr>
      <w:r>
        <w:t xml:space="preserve">07  실패 원인 분석과 개선 순서</w:t>
      </w:r>
    </w:p>
    <w:tbl>
      <w:tblPr>
        <w:tblW w:w="9300" w:type="dxa"/>
        <w:tblLayout w:type="fixed"/>
        <w:tblBorders>
          <w:bottom w:val="single" w:sz="4" w:color="D7E2EC"/>
          <w:insideH w:val="single" w:sz="4" w:color="D7E2EC"/>
        </w:tblBorders>
        <w:tblCellMar>
          <w:top w:w="95" w:type="dxa"/>
          <w:left w:w="110" w:type="dxa"/>
          <w:bottom w:w="95" w:type="dxa"/>
          <w:right w:w="110" w:type="dxa"/>
        </w:tblCellMar>
      </w:tblPr>
      <w:tblGrid>
        <w:gridCol w:w="2400"/>
        <w:gridCol w:w="3300"/>
        <w:gridCol w:w="3600"/>
      </w:tblGrid>
      <w:tr>
        <w:trPr>
          <w:cantSplit/>
          <w:tblHeader/>
        </w:trPr>
        <w:tc>
          <w:tcPr>
            <w:tcW w:w="2400" w:type="dxa"/>
            <w:shd w:fill="183B56"/>
          </w:tcPr>
          <w:p>
            <w:pPr>
              <w:pStyle w:val="TableText"/>
            </w:pPr>
            <w:r>
              <w:rPr>
                <w:b/>
                <w:color w:val="FFFFFF"/>
              </w:rPr>
              <w:t>관측할 현상</w:t>
            </w:r>
          </w:p>
        </w:tc>
        <w:tc>
          <w:tcPr>
            <w:tcW w:w="3300" w:type="dxa"/>
            <w:shd w:fill="183B56"/>
          </w:tcPr>
          <w:p>
            <w:pPr>
              <w:pStyle w:val="TableText"/>
            </w:pPr>
            <w:r>
              <w:rPr>
                <w:b/>
                <w:color w:val="FFFFFF"/>
              </w:rPr>
              <w:t>먼저 점검할 원인</w:t>
            </w:r>
          </w:p>
        </w:tc>
        <w:tc>
          <w:tcPr>
            <w:tcW w:w="3600" w:type="dxa"/>
            <w:shd w:fill="183B56"/>
          </w:tcPr>
          <w:p>
            <w:pPr>
              <w:pStyle w:val="TableText"/>
            </w:pPr>
            <w:r>
              <w:rPr>
                <w:b/>
                <w:color w:val="FFFFFF"/>
              </w:rPr>
              <w:t>다음 조치</w:t>
            </w:r>
          </w:p>
        </w:tc>
      </w:tr>
      <w:tr>
        <w:trPr>
          <w:cantSplit/>
        </w:trPr>
        <w:tc>
          <w:tcPr>
            <w:tcW w:w="2400" w:type="dxa"/>
            <w:shd w:fill="F0F5F8"/>
          </w:tcPr>
          <w:p>
            <w:pPr>
              <w:pStyle w:val="TableText"/>
            </w:pPr>
            <w:r>
              <w:rPr/>
              <w:t>충돌 불량 미탐 / 동반 정상 오탐</w:t>
            </w:r>
          </w:p>
        </w:tc>
        <w:tc>
          <w:tcPr>
            <w:tcW w:w="3300" w:type="dxa"/>
            <w:shd w:fill="F0F5F8"/>
          </w:tcPr>
          <w:p>
            <w:pPr>
              <w:pStyle w:val="TableText"/>
            </w:pPr>
            <w:r>
              <w:rPr/>
              <w:t>같은 입력에는 같은 점수라는 구조적 제약</w:t>
            </w:r>
          </w:p>
        </w:tc>
        <w:tc>
          <w:tcPr>
            <w:tcW w:w="3600" w:type="dxa"/>
            <w:shd w:fill="F0F5F8"/>
          </w:tcPr>
          <w:p>
            <w:pPr>
              <w:pStyle w:val="TableText"/>
            </w:pPr>
            <w:r>
              <w:rPr/>
              <w:t>라벨 변경보다 로트·시간·검수 및 측정 해상도 기록 확인</w:t>
            </w:r>
          </w:p>
        </w:tc>
      </w:tr>
      <w:tr>
        <w:trPr>
          <w:cantSplit/>
        </w:trPr>
        <w:tc>
          <w:tcPr>
            <w:tcW w:w="2400" w:type="dxa"/>
            <w:shd w:fill="FFFFFF"/>
          </w:tcPr>
          <w:p>
            <w:pPr>
              <w:pStyle w:val="TableText"/>
            </w:pPr>
            <w:r>
              <w:rPr/>
              <w:t>불량 전용 3개 패턴만 잘 탐지</w:t>
            </w:r>
          </w:p>
        </w:tc>
        <w:tc>
          <w:tcPr>
            <w:tcW w:w="3300" w:type="dxa"/>
            <w:shd w:fill="FFFFFF"/>
          </w:tcPr>
          <w:p>
            <w:pPr>
              <w:pStyle w:val="TableText"/>
            </w:pPr>
            <w:r>
              <w:rPr/>
              <w:t>특이 사례에 의존하는 성능</w:t>
            </w:r>
          </w:p>
        </w:tc>
        <w:tc>
          <w:tcPr>
            <w:tcW w:w="3600" w:type="dxa"/>
            <w:shd w:fill="FFFFFF"/>
          </w:tcPr>
          <w:p>
            <w:pPr>
              <w:pStyle w:val="TableText"/>
            </w:pPr>
            <w:r>
              <w:rPr/>
              <w:t>충돌 11행과 불량 전용 6행의 TP/FN을 별도 보고</w:t>
            </w:r>
          </w:p>
        </w:tc>
      </w:tr>
      <w:tr>
        <w:trPr>
          <w:cantSplit/>
        </w:trPr>
        <w:tc>
          <w:tcPr>
            <w:tcW w:w="2400" w:type="dxa"/>
            <w:shd w:fill="F0F5F8"/>
          </w:tcPr>
          <w:p>
            <w:pPr>
              <w:pStyle w:val="TableText"/>
            </w:pPr>
            <w:r>
              <w:rPr/>
              <w:t>AP는 양호하지만 경보가 과다</w:t>
            </w:r>
          </w:p>
        </w:tc>
        <w:tc>
          <w:tcPr>
            <w:tcW w:w="3300" w:type="dxa"/>
            <w:shd w:fill="F0F5F8"/>
          </w:tcPr>
          <w:p>
            <w:pPr>
              <w:pStyle w:val="TableText"/>
            </w:pPr>
            <w:r>
              <w:rPr/>
              <w:t>가중치·임계값·정상 경계의 문제</w:t>
            </w:r>
          </w:p>
        </w:tc>
        <w:tc>
          <w:tcPr>
            <w:tcW w:w="3600" w:type="dxa"/>
            <w:shd w:fill="F0F5F8"/>
          </w:tcPr>
          <w:p>
            <w:pPr>
              <w:pStyle w:val="TableText"/>
            </w:pPr>
            <w:r>
              <w:rPr/>
              <w:t>학습 설정과 경보 정책을 분리해 비교</w:t>
            </w:r>
          </w:p>
        </w:tc>
      </w:tr>
      <w:tr>
        <w:trPr>
          <w:cantSplit/>
        </w:trPr>
        <w:tc>
          <w:tcPr>
            <w:tcW w:w="2400" w:type="dxa"/>
            <w:shd w:fill="FFFFFF"/>
          </w:tcPr>
          <w:p>
            <w:pPr>
              <w:pStyle w:val="TableText"/>
            </w:pPr>
            <w:r>
              <w:rPr/>
              <w:t>RF 훈련만 우수</w:t>
            </w:r>
          </w:p>
        </w:tc>
        <w:tc>
          <w:tcPr>
            <w:tcW w:w="3300" w:type="dxa"/>
            <w:shd w:fill="FFFFFF"/>
          </w:tcPr>
          <w:p>
            <w:pPr>
              <w:pStyle w:val="TableText"/>
            </w:pPr>
            <w:r>
              <w:rPr/>
              <w:t>깊은 트리의 암기 또는 누수</w:t>
            </w:r>
          </w:p>
        </w:tc>
        <w:tc>
          <w:tcPr>
            <w:tcW w:w="3600" w:type="dxa"/>
            <w:shd w:fill="FFFFFF"/>
          </w:tcPr>
          <w:p>
            <w:pPr>
              <w:pStyle w:val="TableText"/>
            </w:pPr>
            <w:r>
              <w:rPr/>
              <w:t>패턴 중복 검사 후 깊이/말단 제한 강화</w:t>
            </w:r>
          </w:p>
        </w:tc>
      </w:tr>
      <w:tr>
        <w:trPr>
          <w:cantSplit/>
        </w:trPr>
        <w:tc>
          <w:tcPr>
            <w:tcW w:w="2400" w:type="dxa"/>
            <w:shd w:fill="F0F5F8"/>
          </w:tcPr>
          <w:p>
            <w:pPr>
              <w:pStyle w:val="TableText"/>
            </w:pPr>
            <w:r>
              <w:rPr/>
              <w:t>LR 계수 부호가 폴드마다 변동</w:t>
            </w:r>
          </w:p>
        </w:tc>
        <w:tc>
          <w:tcPr>
            <w:tcW w:w="3300" w:type="dxa"/>
            <w:shd w:fill="F0F5F8"/>
          </w:tcPr>
          <w:p>
            <w:pPr>
              <w:pStyle w:val="TableText"/>
            </w:pPr>
            <w:r>
              <w:rPr/>
              <w:t>상관 변수와 소수 불량의 영향</w:t>
            </w:r>
          </w:p>
        </w:tc>
        <w:tc>
          <w:tcPr>
            <w:tcW w:w="3600" w:type="dxa"/>
            <w:shd w:fill="F0F5F8"/>
          </w:tcPr>
          <w:p>
            <w:pPr>
              <w:pStyle w:val="TableText"/>
            </w:pPr>
            <w:r>
              <w:rPr/>
              <w:t>규제 강화, 상관 변수 묶음 해석</w:t>
            </w:r>
          </w:p>
        </w:tc>
      </w:tr>
      <w:tr>
        <w:trPr>
          <w:cantSplit/>
        </w:trPr>
        <w:tc>
          <w:tcPr>
            <w:tcW w:w="2400" w:type="dxa"/>
            <w:shd w:fill="FFFFFF"/>
          </w:tcPr>
          <w:p>
            <w:pPr>
              <w:pStyle w:val="TableText"/>
            </w:pPr>
            <w:r>
              <w:rPr/>
              <w:t>OCSVM 정상 오탐 집중</w:t>
            </w:r>
          </w:p>
        </w:tc>
        <w:tc>
          <w:tcPr>
            <w:tcW w:w="3300" w:type="dxa"/>
            <w:shd w:fill="FFFFFF"/>
          </w:tcPr>
          <w:p>
            <w:pPr>
              <w:pStyle w:val="TableText"/>
            </w:pPr>
            <w:r>
              <w:rPr/>
              <w:t>희귀 정상·스케일·커널 경계</w:t>
            </w:r>
          </w:p>
        </w:tc>
        <w:tc>
          <w:tcPr>
            <w:tcW w:w="3600" w:type="dxa"/>
            <w:shd w:fill="FFFFFF"/>
          </w:tcPr>
          <w:p>
            <w:pPr>
              <w:pStyle w:val="TableText"/>
            </w:pPr>
            <w:r>
              <w:rPr/>
              <w:t>정상 하위 구간과 nu/gamma 민감도 점검</w:t>
            </w:r>
          </w:p>
        </w:tc>
      </w:tr>
      <w:tr>
        <w:trPr>
          <w:cantSplit/>
        </w:trPr>
        <w:tc>
          <w:tcPr>
            <w:tcW w:w="2400" w:type="dxa"/>
            <w:shd w:fill="F0F5F8"/>
          </w:tcPr>
          <w:p>
            <w:pPr>
              <w:pStyle w:val="TableText"/>
            </w:pPr>
            <w:r>
              <w:rPr/>
              <w:t>비라벨에서 경보 급증</w:t>
            </w:r>
          </w:p>
        </w:tc>
        <w:tc>
          <w:tcPr>
            <w:tcW w:w="3300" w:type="dxa"/>
            <w:shd w:fill="F0F5F8"/>
          </w:tcPr>
          <w:p>
            <w:pPr>
              <w:pStyle w:val="TableText"/>
            </w:pPr>
            <w:r>
              <w:rPr/>
              <w:t>입력 범위 또는 표준화 차이 가능</w:t>
            </w:r>
          </w:p>
        </w:tc>
        <w:tc>
          <w:tcPr>
            <w:tcW w:w="3600" w:type="dxa"/>
            <w:shd w:fill="F0F5F8"/>
          </w:tcPr>
          <w:p>
            <w:pPr>
              <w:pStyle w:val="TableText"/>
            </w:pPr>
            <w:r>
              <w:rPr/>
              <w:t>변수별 범위·분위수 이탈 검사; 곧바로 불량 증가로 해석하지 않음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1"/>
      </w:pPr>
      <w:r>
        <w:t xml:space="preserve">분석 결과를 남길 최소 산출물</w:t>
      </w:r>
    </w:p>
    <w:p>
      <w:pPr>
        <w:pStyle w:val="Normal"/>
      </w:pPr>
      <w:r>
        <w:t xml:space="preserve">행별 외부 예측: source_id, pattern_id, fold, 실제 라벨, 모델, 점수, 임계값, 예측 라벨. 평가 후에만 패턴 유형을 결합한다. 충돌 구간은 정상/불량 양쪽을 포함해 보고한다.</w:t>
      </w:r>
    </w:p>
    <w:p>
      <w:pPr>
        <w:pStyle w:val="Normal"/>
      </w:pPr>
      <w:r>
        <w:t xml:space="preserve">실험 명세: 원본·전처리 파일 해시, 라이브러리 버전, 입력 열, 모든 내부 후보 점수, 선택 설정, seed, α와 임계값, 상수열 마스크·스케일러·모델. 기존 전처리 파일은 덮어쓰지 않는다.</w:t>
      </w:r>
    </w:p>
    <w:p>
      <w:pPr>
        <w:pStyle w:val="Heading1"/>
      </w:pPr>
      <w:r>
        <w:t xml:space="preserve">실행 및 최종 학습 순서</w:t>
      </w:r>
    </w:p>
    <w:p>
      <w:pPr>
        <w:pStyle w:val="Normal"/>
      </w:pPr>
      <w:r>
        <w:t xml:space="preserve">① 입력/라벨/메타데이터 행 정렬 및 그룹 중복 검사 → ② LR·RF·OCSVM 중첩 개발 검증 → ③ 공통 지표와 실패 유형 비교 → ④ 필요한 변경 한 가지만 추가 실험 → ⑤ 설계 확정 후 전체 라벨 데이터에서 그룹 3겹 내부 선택을 다시 수행하고 재학습한다.</w:t>
      </w:r>
    </w:p>
    <w:p>
      <w:pPr>
        <w:pStyle w:val="Normal"/>
      </w:pPr>
      <w:r>
        <w:t xml:space="preserve">최종 RF/LR은 전체 라벨 행, 최종 OCSVM은 전체 정상 행으로 적합한다. 최종 설정과 경보 규칙을 확정한 후 비라벨 35,239행에 점수를 부여한다. 모델 선택에 사용한 개발 점수를 독립 시험 성능으로 다시 제시하지 않는다.</w:t>
      </w:r>
    </w:p>
    <w:p>
      <w:pPr>
        <w:pStyle w:val="Small"/>
      </w:pPr>
      <w:r>
        <w:t xml:space="preserve">초기 비교에는 8+6+9=23개 후보를 사용한다. 외부 3겹·내부 2겹 기준 후보 적합 138회와 외부 최종 적합 9회가 기본 규모다. 병렬화는 검색과 모델 양쪽을 동시에 최대화하지 않아 과도한 CPU 점유를 피한다.</w:t>
      </w:r>
    </w:p>
    <w:p>
      <w:r>
        <w:br w:type="page"/>
      </w:r>
    </w:p>
    <w:p>
      <w:pPr>
        <w:pStyle w:val="Title"/>
      </w:pPr>
      <w:r>
        <w:t xml:space="preserve">08  근거 자료와 적용 범위</w:t>
      </w:r>
    </w:p>
    <w:p>
      <w:pPr>
        <w:pStyle w:val="Normal"/>
      </w:pPr>
      <w:r>
        <w:t xml:space="preserve">데이터 관련 사실은 기존 CN7 EDA 문서와 전처리 명세를 근거로 했다. 폴드 수, 후보 범위, α 정책, F2 활용 및 개선 순서는 CN7에 맞춰 제안한 설계이며 공식 문서가 보장하는 최적 설정이 아니다.</w:t>
      </w:r>
    </w:p>
    <w:p>
      <w:pPr>
        <w:pStyle w:val="Heading1"/>
      </w:pPr>
      <w:r>
        <w:t xml:space="preserve">[1] CN7 EDA 및 전처리</w:t>
      </w:r>
    </w:p>
    <w:p>
      <w:pPr>
        <w:pStyle w:val="Small"/>
      </w:pPr>
      <w:r>
        <w:t xml:space="preserve">output/cn7_eda_summary/CN7_EDA_summary.docx; data/processed/cn7/preprocessing_manifest.json; fold_summary.csv</w:t>
      </w:r>
    </w:p>
    <w:p>
      <w:pPr>
        <w:pStyle w:val="Heading1"/>
      </w:pPr>
      <w:r>
        <w:t xml:space="preserve">[2] RandomForestClassifier</w:t>
      </w:r>
    </w:p>
    <w:p>
      <w:pPr>
        <w:pStyle w:val="Small"/>
      </w:pPr>
      <w:r>
        <w:t xml:space="preserve">https://scikit-learn.org/stable/modules/generated/sklearn.ensemble.RandomForestClassifier.html</w:t>
      </w:r>
    </w:p>
    <w:p>
      <w:pPr>
        <w:pStyle w:val="Heading1"/>
      </w:pPr>
      <w:r>
        <w:t xml:space="preserve">[3] LogisticRegression</w:t>
      </w:r>
    </w:p>
    <w:p>
      <w:pPr>
        <w:pStyle w:val="Small"/>
      </w:pPr>
      <w:r>
        <w:t xml:space="preserve">https://scikit-learn.org/stable/modules/generated/sklearn.linear_model.LogisticRegression.html</w:t>
      </w:r>
    </w:p>
    <w:p>
      <w:pPr>
        <w:pStyle w:val="Heading1"/>
      </w:pPr>
      <w:r>
        <w:t xml:space="preserve">[4] Logistic regression: 목적함수</w:t>
      </w:r>
    </w:p>
    <w:p>
      <w:pPr>
        <w:pStyle w:val="Small"/>
      </w:pPr>
      <w:r>
        <w:t xml:space="preserve">https://scikit-learn.org/stable/modules/linear_model.html#logistic-regression</w:t>
      </w:r>
    </w:p>
    <w:p>
      <w:pPr>
        <w:pStyle w:val="Heading1"/>
      </w:pPr>
      <w:r>
        <w:t xml:space="preserve">[5] OneClassSVM</w:t>
      </w:r>
    </w:p>
    <w:p>
      <w:pPr>
        <w:pStyle w:val="Small"/>
      </w:pPr>
      <w:r>
        <w:t xml:space="preserve">https://scikit-learn.org/stable/modules/generated/sklearn.svm.OneClassSVM.html</w:t>
      </w:r>
    </w:p>
    <w:p>
      <w:pPr>
        <w:pStyle w:val="Heading1"/>
      </w:pPr>
      <w:r>
        <w:t xml:space="preserve">[6] Novelty and Outlier Detection</w:t>
      </w:r>
    </w:p>
    <w:p>
      <w:pPr>
        <w:pStyle w:val="Small"/>
      </w:pPr>
      <w:r>
        <w:t xml:space="preserve">https://scikit-learn.org/1.7/modules/outlier_detection.html</w:t>
      </w:r>
    </w:p>
    <w:p>
      <w:pPr>
        <w:pStyle w:val="Heading1"/>
      </w:pPr>
      <w:r>
        <w:t xml:space="preserve">[7] SVM: Mathematical formulation</w:t>
      </w:r>
    </w:p>
    <w:p>
      <w:pPr>
        <w:pStyle w:val="Small"/>
      </w:pPr>
      <w:r>
        <w:t xml:space="preserve">https://scikit-learn.org/stable/modules/svm.html#mathematical-formulation</w:t>
      </w:r>
    </w:p>
    <w:p>
      <w:pPr>
        <w:pStyle w:val="Heading1"/>
      </w:pPr>
      <w:r>
        <w:t xml:space="preserve">[8] Average precision</w:t>
      </w:r>
    </w:p>
    <w:p>
      <w:pPr>
        <w:pStyle w:val="Small"/>
      </w:pPr>
      <w:r>
        <w:t xml:space="preserve">https://scikit-learn.org/stable/modules/generated/sklearn.metrics.average_precision_score.html</w:t>
      </w:r>
    </w:p>
    <w:p>
      <w:pPr>
        <w:pStyle w:val="Heading1"/>
      </w:pPr>
      <w:r>
        <w:t xml:space="preserve">[9] Classification metrics</w:t>
      </w:r>
    </w:p>
    <w:p>
      <w:pPr>
        <w:pStyle w:val="Small"/>
      </w:pPr>
      <w:r>
        <w:t xml:space="preserve">https://scikit-learn.org/stable/modules/model_evaluation.html#precision-recall-f-measure-metrics</w:t>
      </w:r>
    </w:p>
    <w:p>
      <w:pPr>
        <w:pStyle w:val="Small"/>
      </w:pPr>
      <w:r>
        <w:t xml:space="preserve">온라인 문서 확인일: 2026-09-27. stable 문서는 갱신될 수 있으므로 실제 실행에서는 설치 버전과 API를 함께 기록한다. 이 문서에는 모델 학습 결과나 대회 성능 개선을 입증하는 주장이 포함되어 있지 않다.</w:t>
      </w:r>
    </w:p>
    <w:sectPr>
      <w:footerReference w:type="default" r:id="rIdFooter"/>
      <w:pgSz w:w="11906" w:h="16838"/>
      <w:pgMar w:top="950" w:right="1300" w:bottom="950" w:left="1300" w:header="400" w:footer="400"/>
    </w:sectPr>
  </w:body>
</w:document>
</file>

<file path=word/footer1.xml><?xml version="1.0" encoding="utf-8"?>
<w:ftr xmlns:w="http://schemas.openxmlformats.org/wordprocessingml/2006/main">
  <w:p>
    <w:pPr>
      <w:jc w:val="right"/>
    </w:pPr>
    <w:r>
      <w:rPr>
        <w:sz w:val="16"/>
        <w:color w:val="526777"/>
      </w:rPr>
      <w:t>CN7 · 모델링 설계  |  </w:t>
    </w:r>
    <w:fldSimple w:instr="PAGE"/>
  </w:p>
</w:ftr>
</file>

<file path=word/styles.xml><?xml version="1.0" encoding="utf-8"?>
<w:styles xmlns:w="http://schemas.openxmlformats.org/wordprocessingml/2006/main">
  <w:docDefaults>
    <w:rPrDefault>
      <w:rPr>
        <w:rFonts w:ascii="Malgun Gothic" w:hAnsi="Malgun Gothic" w:eastAsia="맑은 고딕"/>
        <w:sz w:val="21"/>
        <w:color w:val="243746"/>
        <w:lang w:val="ko-KR" w:eastAsia="ko-KR"/>
      </w:rPr>
    </w:rPrDefault>
    <w:pPrDefault>
      <w:pPr>
        <w:spacing w:after="100" w:line="280" w:lineRule="auto"/>
      </w:pPr>
    </w:pPrDefault>
  </w:docDefaults>
  <w:style w:type="paragraph" w:default="1" w:styleId="Normal">
    <w:name w:val="Normal"/>
  </w:style>
  <w:style w:type="paragraph" w:styleId="Title">
    <w:name w:val="Title"/>
    <w:pPr>
      <w:keepNext/>
      <w:spacing w:before="0" w:after="220"/>
    </w:pPr>
    <w:rPr>
      <w:b/>
      <w:sz w:val="34"/>
      <w:color w:val="183B56"/>
    </w:rPr>
  </w:style>
  <w:style w:type="paragraph" w:styleId="Subtitle">
    <w:name w:val="Subtitle"/>
    <w:rPr>
      <w:sz w:val="25"/>
      <w:color w:val="187E86"/>
    </w:rPr>
  </w:style>
  <w:style w:type="paragraph" w:styleId="Heading1">
    <w:name w:val="heading 1"/>
    <w:pPr>
      <w:keepNext/>
      <w:spacing w:before="160" w:after="85"/>
    </w:pPr>
    <w:rPr>
      <w:b/>
      <w:sz w:val="24"/>
      <w:color w:val="187E86"/>
    </w:rPr>
  </w:style>
  <w:style w:type="paragraph" w:styleId="Small">
    <w:name w:val="Small"/>
    <w:rPr>
      <w:sz w:val="18"/>
      <w:color w:val="526777"/>
    </w:rPr>
  </w:style>
  <w:style w:type="paragraph" w:styleId="TableText">
    <w:name w:val="Table Text"/>
    <w:pPr>
      <w:spacing w:after="0" w:line="250" w:lineRule="auto"/>
    </w:pPr>
    <w:rPr>
      <w:sz w:val="19"/>
    </w:rPr>
  </w:style>
</w:styles>
</file>

<file path=word/_rels/document.xml.rels><?xml version="1.0" encoding="UTF-8"?><Relationships xmlns="http://schemas.openxmlformats.org/package/2006/relationships"><Relationship Id="rIdStyles" Type="http://schemas.openxmlformats.org/officeDocument/2006/relationships/styles" Target="styles.xml"/><Relationship Id="rIdFooter" Type="http://schemas.openxmlformats.org/officeDocument/2006/relationships/footer" Target="footer1.xml"/></Relationships>
</file>