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RG3 EDA 결과 요약</w:t>
      </w:r>
    </w:p>
    <w:p>
      <w:pPr>
        <w:pStyle w:val="Subtitle"/>
      </w:pPr>
      <w:r>
        <w:t xml:space="preserve">데이터 구조 · 조건군 · 비지도 군집 · 전처리</w:t>
      </w:r>
    </w:p>
    <w:p>
      <w:pPr>
        <w:pStyle w:val="Small"/>
      </w:pPr>
      <w:r>
        <w:t xml:space="preserve">기준 자료: EDA/rg3eda.ipynb, RG3 원본 CSV 및 저장된 EDA 집계표</w:t>
        <w:br/>
        <w:t xml:space="preserve">범위: EDA·전처리와 탐색 목적의 비지도 군집화. 지도학습 예측 성능 평가는 포함하지 않음.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3350"/>
        <w:gridCol w:w="3300"/>
        <w:gridCol w:w="3350"/>
      </w:tblGrid>
      <w:tr>
        <w:trPr>
          <w:cantSplit/>
          <w:tblHeader/>
        </w:trPr>
        <w:tc>
          <w:tcPr>
            <w:tcW w:w="335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라벨 데이터</w:t>
            </w:r>
          </w:p>
        </w:tc>
        <w:tc>
          <w:tcPr>
            <w:tcW w:w="3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불량 관측</w:t>
            </w:r>
          </w:p>
        </w:tc>
        <w:tc>
          <w:tcPr>
            <w:tcW w:w="335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전체입력 패턴</w:t>
            </w:r>
          </w:p>
        </w:tc>
      </w:tr>
      <w:tr>
        <w:trPr>
          <w:cantSplit/>
        </w:trPr>
        <w:tc>
          <w:tcPr>
            <w:tcW w:w="335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1,182행 × 24변수</w:t>
            </w:r>
          </w:p>
        </w:tc>
        <w:tc>
          <w:tcPr>
            <w:tcW w:w="3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25행 / 2.12%</w:t>
            </w:r>
          </w:p>
        </w:tc>
        <w:tc>
          <w:tcPr>
            <w:tcW w:w="335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591개 · 각각 2행</w:t>
            </w:r>
          </w:p>
        </w:tc>
      </w:tr>
    </w:tbl>
    <w:p>
      <w:pPr>
        <w:pStyle w:val="Gap"/>
      </w:pPr>
      <w:r>
        <w:t xml:space="preserve"/>
      </w:r>
    </w:p>
    <w:p>
      <w:pPr>
        <w:pStyle w:val="Heading1"/>
      </w:pPr>
      <w:r>
        <w:t xml:space="preserve">01  분석의 전체 흐름</w:t>
      </w:r>
    </w:p>
    <w:p>
      <w:pPr>
        <w:spacing w:after="80"/>
        <w:jc w:val="center"/>
      </w:pPr>
      <w:r>
        <w:drawing>
          <wp:inline distT="0" distB="0" distL="0" distR="0">
            <wp:extent cx="6355080" cy="2791304"/>
            <wp:docPr id="1" name="Diagram 1" descr="반복 구조에서 조건군과 군집 비교를 거쳐 전처리 결론으로 이어지는 분석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_analysis_flow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핵심 결론</w:t>
      </w:r>
    </w:p>
    <w:p>
      <w:pPr>
        <w:pStyle w:val="Normal"/>
      </w:pPr>
      <w:r>
        <w:t xml:space="preserve">모든 불량 25행에 24개 공정값이 동일한 양품이 존재한다. 공정조건의 구조는 관측되지만, 그 구조가 정상·불량의 경계를 직접 제공하지는 않는다.</w:t>
      </w:r>
    </w:p>
    <w:p>
      <w:pPr>
        <w:pStyle w:val="Normal"/>
      </w:pPr>
      <w:r>
        <w:t xml:space="preserve">라벨과 비라벨은 값의 다양성과 관측 범위가 다르다. 군집이나 범위 밖 여부를 근거로 라벨을 교정하거나 행을 삭제하지 않고 원본 입력과 라벨을 보존한다.</w:t>
      </w:r>
    </w:p>
    <w:p>
      <w:pPr>
        <w:pStyle w:val="Note"/>
      </w:pPr>
      <w:r>
        <w:t xml:space="preserve">확정하지 않은 것: 제조 실패의 인과적 원인, 군집의 물리적 운전 모드 의미, 비라벨 데이터의 불량 여부.</w:t>
      </w:r>
    </w:p>
    <w:p>
      <w:pPr>
        <w:pStyle w:val="Caption"/>
      </w:pPr>
      <w:r>
        <w:t xml:space="preserve">출처: 노트북 #3~#4. KS 중심 탐색은 부록 A에 보존되어 있다.</w:t>
      </w:r>
    </w:p>
    <w:p>
      <w:r>
        <w:br w:type="page"/>
      </w:r>
    </w:p>
    <w:p>
      <w:pPr>
        <w:pStyle w:val="Heading1"/>
      </w:pPr>
      <w:r>
        <w:t xml:space="preserve">02  라벨 충돌과 관측 조건군</w:t>
      </w:r>
    </w:p>
    <w:p>
      <w:pPr>
        <w:spacing w:after="80"/>
        <w:jc w:val="center"/>
      </w:pPr>
      <w:r>
        <w:drawing>
          <wp:inline distT="0" distB="0" distL="0" distR="0">
            <wp:extent cx="6355080" cy="2273584"/>
            <wp:docPr id="2" name="Diagram 2" descr="591개 패턴 중 양품 전용 566개와 충돌 25개, 불량 전용 패턴은 없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_pattern_structure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2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충전시간 2개 값 × 사출시간 3개 값: 6개 조합 중 4개 관측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000"/>
        <w:gridCol w:w="2600"/>
        <w:gridCol w:w="2600"/>
        <w:gridCol w:w="2800"/>
      </w:tblGrid>
      <w:tr>
        <w:trPr>
          <w:cantSplit/>
          <w:tblHeader/>
        </w:trPr>
        <w:tc>
          <w:tcPr>
            <w:tcW w:w="2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조건군</w:t>
            </w:r>
          </w:p>
        </w:tc>
        <w:tc>
          <w:tcPr>
            <w:tcW w:w="2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고유 패턴</w:t>
            </w:r>
          </w:p>
        </w:tc>
        <w:tc>
          <w:tcPr>
            <w:tcW w:w="2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충돌 패턴</w:t>
            </w:r>
          </w:p>
        </w:tc>
        <w:tc>
          <w:tcPr>
            <w:tcW w:w="28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패턴 충돌 비율</w:t>
            </w:r>
          </w:p>
        </w:tc>
      </w:tr>
      <w:tr>
        <w:trPr>
          <w:cantSplit/>
        </w:trPr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G1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</w:t>
            </w:r>
          </w:p>
        </w:tc>
        <w:tc>
          <w:tcPr>
            <w:tcW w:w="2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0/3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G2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241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10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4.15%</w:t>
            </w:r>
          </w:p>
        </w:tc>
      </w:tr>
      <w:tr>
        <w:trPr>
          <w:cantSplit/>
        </w:trPr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G3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342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15</w:t>
            </w:r>
          </w:p>
        </w:tc>
        <w:tc>
          <w:tcPr>
            <w:tcW w:w="2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4.39%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G4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</w:t>
            </w:r>
          </w:p>
        </w:tc>
        <w:tc>
          <w:tcPr>
            <w:tcW w:w="2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0/5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G2·G3는 충전시간으로 나뉘며 사출 속도·배압 중앙값도 다르다. 하지만 충돌 비율은 유사하다. G1·G4는 표본이 작아 안전한 조건이나 삭제할 이상값으로 확정하지 않는다.</w:t>
      </w:r>
    </w:p>
    <w:p>
      <w:pPr>
        <w:pStyle w:val="Heading2"/>
      </w:pPr>
      <w:r>
        <w:t xml:space="preserve">기존 집중 구간을 조건군 안에서 다시 확인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000"/>
        <w:gridCol w:w="4000"/>
        <w:gridCol w:w="4000"/>
      </w:tblGrid>
      <w:tr>
        <w:trPr>
          <w:cantSplit/>
          <w:tblHeader/>
        </w:trPr>
        <w:tc>
          <w:tcPr>
            <w:tcW w:w="2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조건군</w:t>
            </w:r>
          </w:p>
        </w:tc>
        <w:tc>
          <w:tcPr>
            <w:tcW w:w="4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구간 안: 불량/전체 행</w:t>
            </w:r>
          </w:p>
        </w:tc>
        <w:tc>
          <w:tcPr>
            <w:tcW w:w="4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구간 밖: 불량/전체 행</w:t>
            </w:r>
          </w:p>
        </w:tc>
      </w:tr>
      <w:tr>
        <w:trPr>
          <w:cantSplit/>
        </w:trPr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G2</w:t>
            </w:r>
          </w:p>
        </w:tc>
        <w:tc>
          <w:tcPr>
            <w:tcW w:w="4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7/190 (3.68%)</w:t>
            </w:r>
          </w:p>
        </w:tc>
        <w:tc>
          <w:tcPr>
            <w:tcW w:w="4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3/292 (1.03%)</w:t>
            </w:r>
          </w:p>
        </w:tc>
      </w:tr>
      <w:tr>
        <w:trPr>
          <w:cantSplit/>
        </w:trPr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G3</w:t>
            </w:r>
          </w:p>
        </w:tc>
        <w:tc>
          <w:tcPr>
            <w:tcW w:w="4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2/28 (7.14%)</w:t>
            </w:r>
          </w:p>
        </w:tc>
        <w:tc>
          <w:tcPr>
            <w:tcW w:w="4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13/656 (1.98%)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구간은 배럴 온도 5와 최대 사출 속도가 모두 양품 중앙값보다 높은 조건이다. 두 조건군 안에서도 집중 경향은 남지만 G3의 구간 안 불량은 2건뿐이다. 전체 구간은 불량 9행·양품 209행이며 밖에 불량 16행이 있다.</w:t>
      </w:r>
    </w:p>
    <w:p>
      <w:pPr>
        <w:pStyle w:val="Note"/>
      </w:pPr>
      <w:r>
        <w:t xml:space="preserve">패턴 충돌 비율과 원본 행 불량 비율을 구분한다. 모든 패턴이 2행이므로 이 자료에서 후자는 전자의 절반이다. 관측 조건군을 물리 운전 모드나 불량 원인으로 단정하지 않는다.</w:t>
      </w:r>
    </w:p>
    <w:p>
      <w:pPr>
        <w:pStyle w:val="Caption"/>
      </w:pPr>
      <w:r>
        <w:t xml:space="preserve">출처: 3.1, 3.4~3.6. 동일 자료의 사후 탐색이며 독립적인 재현 검증은 아니다.</w:t>
      </w:r>
    </w:p>
    <w:p>
      <w:r>
        <w:br w:type="page"/>
      </w:r>
    </w:p>
    <w:p>
      <w:pPr>
        <w:pStyle w:val="Heading1"/>
      </w:pPr>
      <w:r>
        <w:t xml:space="preserve">03  라벨·비라벨의 적용 범위 차이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3600"/>
        <w:gridCol w:w="3200"/>
        <w:gridCol w:w="3200"/>
      </w:tblGrid>
      <w:tr>
        <w:trPr>
          <w:cantSplit/>
          <w:tblHeader/>
        </w:trPr>
        <w:tc>
          <w:tcPr>
            <w:tcW w:w="3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항목</w:t>
            </w:r>
          </w:p>
        </w:tc>
        <w:tc>
          <w:tcPr>
            <w:tcW w:w="32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라벨 데이터</w:t>
            </w:r>
          </w:p>
        </w:tc>
        <w:tc>
          <w:tcPr>
            <w:tcW w:w="32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비라벨 데이터</w:t>
            </w:r>
          </w:p>
        </w:tc>
      </w:tr>
      <w:tr>
        <w:trPr>
          <w:cantSplit/>
        </w:trPr>
        <w:tc>
          <w:tcPr>
            <w:tcW w:w="3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행 수 / 고유 조건</w:t>
            </w:r>
          </w:p>
        </w:tc>
        <w:tc>
          <w:tcPr>
            <w:tcW w:w="3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1,182 / 591</w:t>
            </w:r>
          </w:p>
        </w:tc>
        <w:tc>
          <w:tcPr>
            <w:tcW w:w="3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35,941 / 29,707</w:t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충전시간 고유값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97</w:t>
            </w:r>
          </w:p>
        </w:tc>
      </w:tr>
      <w:tr>
        <w:trPr>
          <w:cantSplit/>
        </w:trPr>
        <w:tc>
          <w:tcPr>
            <w:tcW w:w="3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사출시간 고유값</w:t>
            </w:r>
          </w:p>
        </w:tc>
        <w:tc>
          <w:tcPr>
            <w:tcW w:w="3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</w:t>
            </w:r>
          </w:p>
        </w:tc>
        <w:tc>
          <w:tcPr>
            <w:tcW w:w="3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91</w:t>
            </w:r>
          </w:p>
        </w:tc>
      </w:tr>
      <w:tr>
        <w:trPr>
          <w:cantSplit/>
        </w:trPr>
        <w:tc>
          <w:tcPr>
            <w:tcW w:w="3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금형 열림 위치 고유값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 (상수)</w:t>
            </w:r>
          </w:p>
        </w:tc>
        <w:tc>
          <w:tcPr>
            <w:tcW w:w="3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53</w:t>
            </w:r>
          </w:p>
        </w:tc>
      </w:tr>
    </w:tbl>
    <w:p>
      <w:pPr>
        <w:pStyle w:val="Gap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6355080" cy="2574903"/>
            <wp:docPr id="3" name="Diagram 3" descr="상수열을 제외한 비라벨 범위 이탈을 충전시간과 다른 변수의 기여로 분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_support_coverage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범위 안이라고 직접 관측된 값은 아니다</w:t>
      </w:r>
    </w:p>
    <w:p>
      <w:pPr>
        <w:pStyle w:val="Normal"/>
      </w:pPr>
      <w:r>
        <w:t xml:space="preserve">비라벨 충전시간은 두 라벨 관측값 사이에 22,792행(63.42%), 상한 초과 13,147행, 하한 미만 2행이 있다. 절대 허용오차 1e-10에서 두 관측값과 일치하는 행은 없다.</w:t>
      </w:r>
    </w:p>
    <w:p>
      <w:pPr>
        <w:pStyle w:val="Small"/>
      </w:pPr>
      <w:r>
        <w:t xml:space="preserve">더 많은 비라벨 행 수가 고유값 차이의 일부를 설명할 수 있다. 또한 파일별 표준화와 일치하는 평균·표준편차가 관측되므로, 제공 좌표의 범위 차이를 곧바로 물리적 규격 차이로 해석할 수 없다.</w:t>
      </w:r>
    </w:p>
    <w:p>
      <w:pPr>
        <w:pStyle w:val="Note"/>
      </w:pPr>
      <w:r>
        <w:t xml:space="preserve">처리 결정: 비라벨을 두 충전시간 값으로 강제 반올림하거나 라벨 범위로 클리핑하지 않는다. 원본 단위·정규화 계수·데이터 생성 기준을 확인한다. 51.24%는 불량률이 아니다.</w:t>
      </w:r>
    </w:p>
    <w:p>
      <w:pPr>
        <w:pStyle w:val="Caption"/>
      </w:pPr>
      <w:r>
        <w:t xml:space="preserve">출처: 3.2, 3.8. 범위 비교는 라벨 데이터 전체의 최소·최대 및 제공 표준화 좌표 기준.</w:t>
      </w:r>
    </w:p>
    <w:p>
      <w:r>
        <w:br w:type="page"/>
      </w:r>
    </w:p>
    <w:p>
      <w:pPr>
        <w:pStyle w:val="Heading1"/>
      </w:pPr>
      <w:r>
        <w:t xml:space="preserve">04  비지도 군집 비교의 결과</w:t>
      </w:r>
    </w:p>
    <w:p>
      <w:pPr>
        <w:pStyle w:val="Small"/>
      </w:pPr>
      <w:r>
        <w:t xml:space="preserve">군집화는 라벨·ID를 제외한 591개 고유 조건에서 수행했다. 주 분석은 상수열을 제외한 23개 제공 좌표다. 후보 k=2~6에서 세 방법의 평균 실루엣이 가장 높은 공통 k=2를 선택했고, 라벨 분포는 그 후 비교했다.</w:t>
      </w:r>
    </w:p>
    <w:p>
      <w:pPr>
        <w:spacing w:after="80"/>
        <w:jc w:val="center"/>
      </w:pPr>
      <w:r>
        <w:drawing>
          <wp:inline distT="0" distB="0" distL="0" distR="0">
            <wp:extent cx="6355080" cy="2191406"/>
            <wp:docPr id="4" name="Diagram 4" descr="세 군집화 방법의 패턴 구성 및 부분표본 안정성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_clustering_comparison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300"/>
        <w:gridCol w:w="1700"/>
        <w:gridCol w:w="4100"/>
        <w:gridCol w:w="1900"/>
      </w:tblGrid>
      <w:tr>
        <w:trPr>
          <w:cantSplit/>
          <w:tblHeader/>
        </w:trPr>
        <w:tc>
          <w:tcPr>
            <w:tcW w:w="2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방법</w:t>
            </w:r>
          </w:p>
        </w:tc>
        <w:tc>
          <w:tcPr>
            <w:tcW w:w="17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실루엣</w:t>
            </w:r>
          </w:p>
        </w:tc>
        <w:tc>
          <w:tcPr>
            <w:tcW w:w="4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두 군집의 충돌 패턴 비율</w:t>
            </w:r>
          </w:p>
        </w:tc>
        <w:tc>
          <w:tcPr>
            <w:tcW w:w="19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평균 ARI</w:t>
            </w:r>
          </w:p>
        </w:tc>
      </w:tr>
      <w:tr>
        <w:trPr>
          <w:cantSplit/>
        </w:trPr>
        <w:tc>
          <w:tcPr>
            <w:tcW w:w="2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Ward</w:t>
            </w:r>
          </w:p>
        </w:tc>
        <w:tc>
          <w:tcPr>
            <w:tcW w:w="1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0.188</w:t>
            </w:r>
          </w:p>
        </w:tc>
        <w:tc>
          <w:tcPr>
            <w:tcW w:w="4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4.98% / 3.78%</w:t>
            </w:r>
          </w:p>
        </w:tc>
        <w:tc>
          <w:tcPr>
            <w:tcW w:w="19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0.912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K-Medoids</w:t>
            </w:r>
          </w:p>
        </w:tc>
        <w:tc>
          <w:tcPr>
            <w:tcW w:w="1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0.197</w:t>
            </w:r>
          </w:p>
        </w:tc>
        <w:tc>
          <w:tcPr>
            <w:tcW w:w="4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4.37% / 4.14%</w:t>
            </w:r>
          </w:p>
        </w:tc>
        <w:tc>
          <w:tcPr>
            <w:tcW w:w="19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0.660</w:t>
            </w:r>
          </w:p>
        </w:tc>
      </w:tr>
      <w:tr>
        <w:trPr>
          <w:cantSplit/>
        </w:trPr>
        <w:tc>
          <w:tcPr>
            <w:tcW w:w="2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K-Means</w:t>
            </w:r>
          </w:p>
        </w:tc>
        <w:tc>
          <w:tcPr>
            <w:tcW w:w="1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0.199</w:t>
            </w:r>
          </w:p>
        </w:tc>
        <w:tc>
          <w:tcPr>
            <w:tcW w:w="4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5.13% / 3.46%</w:t>
            </w:r>
          </w:p>
        </w:tc>
        <w:tc>
          <w:tcPr>
            <w:tcW w:w="19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0.984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ARI는 80% 패턴을 10회 재추출하여 얻은 군집과 전체 군집의 일치도이며, 정상·불량 예측 정확도가 아니다. 실루엣은 군집 내부 응집·분리를 요약하는 지표다.</w:t>
      </w:r>
    </w:p>
    <w:p>
      <w:pPr>
        <w:pStyle w:val="Heading2"/>
      </w:pPr>
      <w:r>
        <w:t xml:space="preserve">관측 구조는 있지만 불량 전용 군집은 확인되지 않음</w:t>
      </w:r>
    </w:p>
    <w:p>
      <w:pPr>
        <w:pStyle w:val="Normal"/>
      </w:pPr>
      <w:r>
        <w:t xml:space="preserve">K-Means는 이번 설정에서 가장 일관된 배정을 보였고, Ward와 함께 기존 G2·G3의 큰 공정조건 차이를 상당 부분 다시 표현했다. K-Medoids는 실제 대표조건 설명에 유용하지만 부분표본에 더 민감했다.</w:t>
      </w:r>
    </w:p>
    <w:p>
      <w:pPr>
        <w:pStyle w:val="Small"/>
      </w:pPr>
      <w:r>
        <w:t xml:space="preserve">기존 조건군 안에서 충돌 개수를 보존한 2,000회 재배치 비교에서 주 분석의 6개 군집 모두 각 참고 범위 안이었다. 별도 이웃 분석에서도 뚜렷한 충돌 집중의 근거는 충분하지 않았다.</w:t>
      </w:r>
    </w:p>
    <w:p>
      <w:pPr>
        <w:pStyle w:val="Note"/>
      </w:pPr>
      <w:r>
        <w:t xml:space="preserve">군집 안정성이 높아도 불량 구분 근거가 되는 것은 아니다. 참고 범위는 신뢰구간이나 다중비교 보정 검정이 아니다. 군집 번호는 EDA 산출물로만 보관한다.</w:t>
      </w:r>
    </w:p>
    <w:p>
      <w:pPr>
        <w:pStyle w:val="Caption"/>
      </w:pPr>
      <w:r>
        <w:t xml:space="preserve">출처: 3.7, 3.9. K-Medoids는 alternate 방식·5회 초기화이며 전역 최적해를 보장하지 않는다. 순위 23열·21열 표현 민감도도 노트북에 포함.</w:t>
      </w:r>
    </w:p>
    <w:p>
      <w:r>
        <w:br w:type="page"/>
      </w:r>
    </w:p>
    <w:p>
      <w:pPr>
        <w:pStyle w:val="Heading1"/>
      </w:pPr>
      <w:r>
        <w:t xml:space="preserve">05  전처리 결정과 저장 구조</w:t>
      </w:r>
    </w:p>
    <w:p>
      <w:pPr>
        <w:spacing w:after="80"/>
        <w:jc w:val="center"/>
      </w:pPr>
      <w:r>
        <w:drawing>
          <wp:inline distT="0" distB="0" distL="0" distR="0">
            <wp:extent cx="6355080" cy="2328369"/>
            <wp:docPr id="5" name="Diagram 5" descr="원본 데이터 보존, 메타데이터 분리와 그룹 폴드 저장 절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_preprocessing_flow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2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400"/>
        <w:gridCol w:w="7600"/>
      </w:tblGrid>
      <w:tr>
        <w:trPr>
          <w:cantSplit/>
          <w:tblHeader/>
        </w:trPr>
        <w:tc>
          <w:tcPr>
            <w:tcW w:w="24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항목</w:t>
            </w:r>
          </w:p>
        </w:tc>
        <w:tc>
          <w:tcPr>
            <w:tcW w:w="7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확정 처리 기준</w:t>
            </w:r>
          </w:p>
        </w:tc>
      </w:tr>
      <w:tr>
        <w:trPr>
          <w:cantSplit/>
        </w:trPr>
        <w:tc>
          <w:tcPr>
            <w:tcW w:w="24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원본·라벨</w:t>
            </w:r>
          </w:p>
        </w:tc>
        <w:tc>
          <w:tcPr>
            <w:tcW w:w="7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1,182행·불량 25행·공정변수 24개 보존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품질 검사</w:t>
            </w:r>
          </w:p>
        </w:tc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두 파일 모두 결측·무한값 없음. 임의 대체·행 삭제하지 않음</w:t>
            </w:r>
          </w:p>
        </w:tc>
      </w:tr>
      <w:tr>
        <w:trPr>
          <w:cantSplit/>
        </w:trPr>
        <w:tc>
          <w:tcPr>
            <w:tcW w:w="24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ID·유형·군집</w:t>
            </w:r>
          </w:p>
        </w:tc>
        <w:tc>
          <w:tcPr>
            <w:tcW w:w="7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추적·분석용으로 분리. 입력에 자동 추가하지 않음</w:t>
            </w:r>
          </w:p>
        </w:tc>
      </w:tr>
      <w:tr>
        <w:trPr>
          <w:cantSplit/>
        </w:trPr>
        <w:tc>
          <w:tcPr>
            <w:tcW w:w="24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범위·상수</w:t>
            </w:r>
          </w:p>
        </w:tc>
        <w:tc>
          <w:tcPr>
            <w:tcW w:w="7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Clamp_Open_Position의 라벨 상수 여부 기록. 별도 재표준화·강제 반올림·클리핑하지 않음</w:t>
            </w:r>
          </w:p>
        </w:tc>
      </w:tr>
      <w:tr>
        <w:trPr>
          <w:cantSplit/>
        </w:trPr>
        <w:tc>
          <w:tcPr>
            <w:tcW w:w="24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중복·분할</w:t>
            </w:r>
          </w:p>
        </w:tc>
        <w:tc>
          <w:tcPr>
            <w:tcW w:w="7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행 무작위 분할의 동일 입력 겹침을 피하도록 패턴 단위 그룹 분할</w:t>
            </w:r>
          </w:p>
        </w:tc>
      </w:tr>
    </w:tbl>
    <w:p>
      <w:pPr>
        <w:pStyle w:val="Gap"/>
      </w:pPr>
      <w:r>
        <w:t xml:space="preserve"/>
      </w:r>
    </w:p>
    <w:p>
      <w:pPr>
        <w:pStyle w:val="Heading2"/>
      </w:pPr>
      <w:r>
        <w:t xml:space="preserve">분할 점검과 고정 3개 폴드</w:t>
      </w:r>
    </w:p>
    <w:p>
      <w:pPr>
        <w:pStyle w:val="Small"/>
      </w:pPr>
      <w:r>
        <w:t xml:space="preserve">행 무작위 분할에서는 검증 1,182행 중 794행의 동일 입력이 학습에도 존재했다. 그룹 분할은 이 겹침을 0으로 유지한다. ID를 생산 시간으로 간주하지 않는다.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1300"/>
        <w:gridCol w:w="2200"/>
        <w:gridCol w:w="2200"/>
        <w:gridCol w:w="2200"/>
        <w:gridCol w:w="2100"/>
      </w:tblGrid>
      <w:tr>
        <w:trPr>
          <w:cantSplit/>
          <w:tblHeader/>
        </w:trPr>
        <w:tc>
          <w:tcPr>
            <w:tcW w:w="1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폴드</w:t>
            </w:r>
          </w:p>
        </w:tc>
        <w:tc>
          <w:tcPr>
            <w:tcW w:w="22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학습 행</w:t>
            </w:r>
          </w:p>
        </w:tc>
        <w:tc>
          <w:tcPr>
            <w:tcW w:w="22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검증 행</w:t>
            </w:r>
          </w:p>
        </w:tc>
        <w:tc>
          <w:tcPr>
            <w:tcW w:w="22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검증 불량</w:t>
            </w:r>
          </w:p>
        </w:tc>
        <w:tc>
          <w:tcPr>
            <w:tcW w:w="2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검증 패턴</w:t>
            </w:r>
          </w:p>
        </w:tc>
      </w:tr>
      <w:tr>
        <w:trPr>
          <w:cantSplit/>
        </w:trPr>
        <w:tc>
          <w:tcPr>
            <w:tcW w:w="1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788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394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8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197</w:t>
            </w:r>
          </w:p>
        </w:tc>
      </w:tr>
      <w:tr>
        <w:trPr>
          <w:cantSplit/>
        </w:trP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788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394</w:t>
            </w:r>
          </w:p>
        </w:tc>
        <w:tc>
          <w:tcPr>
            <w:tcW w:w="22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8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197</w:t>
            </w:r>
          </w:p>
        </w:tc>
      </w:tr>
      <w:tr>
        <w:trPr>
          <w:cantSplit/>
        </w:trPr>
        <w:tc>
          <w:tcPr>
            <w:tcW w:w="1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788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394</w:t>
            </w:r>
          </w:p>
        </w:tc>
        <w:tc>
          <w:tcPr>
            <w:tcW w:w="22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9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197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전처리: data/processed/rg3/ — 입력·타깃·메타데이터·패턴 감사표·폴드·처리 명세</w:t>
        <w:br/>
        <w:t xml:space="preserve">구조 점검: output/rg3_pipeline_audit/</w:t>
        <w:br/>
        <w:t xml:space="preserve">추가 EDA: output/rg3_structure_eda/</w:t>
        <w:br/>
        <w:t xml:space="preserve">군집 비교: output/rg3_clustering_eda/</w:t>
      </w:r>
    </w:p>
    <w:p>
      <w:pPr>
        <w:pStyle w:val="Note"/>
      </w:pPr>
      <w:r>
        <w:t xml:space="preserve">최종 결론: 관측 구조를 설명하는 EDA 결과는 얻었지만, 라벨 교정이나 제조 원인 확정의 근거는 부족하다. 원본 보존과 그룹 분할 정책을 유지한다.</w:t>
      </w:r>
    </w:p>
    <w:p>
      <w:pPr>
        <w:pStyle w:val="Caption"/>
      </w:pPr>
      <w:r>
        <w:t xml:space="preserve">출처: 3.3, 3.10, #4. 전체 라벨을 EDA에 사용한 개발용 분할이며 독립 최종 시험이나 시간·로트 검증을 대체하지 않는다.</w:t>
      </w:r>
    </w:p>
    <w:sectPr>
      <w:footerReference w:type="default" r:id="rIdFooter"/>
      <w:pgSz w:w="11906" w:h="16838"/>
      <w:pgMar w:top="800" w:right="920" w:bottom="850" w:left="920" w:header="300" w:footer="3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667788"/>
      </w:rPr>
      <w:t>RG3 · EDA 및 전처리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sz w:val="21"/>
        <w:lang w:val="en-US" w:eastAsia="ko-KR"/>
      </w:rPr>
    </w:rPrDefault>
    <w:pPrDefault>
      <w:pPr>
        <w:spacing w:after="110" w:line="270" w:lineRule="auto"/>
      </w:pPr>
    </w:pPrDefault>
  </w:docDefaults>
  <w:style w:type="paragraph" w:styleId="Normal">
    <w:name w:val="Normal"/>
    <w:pPr>
      <w:spacing w:after="100" w:line="260" w:lineRule="auto"/>
    </w:pPr>
    <w:rPr>
      <w:sz w:val="21"/>
      <w:color w:val="17324D"/>
    </w:rPr>
  </w:style>
  <w:style w:type="paragraph" w:styleId="Title">
    <w:name w:val="Title"/>
    <w:pPr>
      <w:spacing w:after="120" w:line="260" w:lineRule="auto"/>
      <w:keepNext/>
    </w:pPr>
    <w:rPr>
      <w:sz w:val="42"/>
      <w:color w:val="17324D"/>
      <w:b/>
    </w:rPr>
  </w:style>
  <w:style w:type="paragraph" w:styleId="Subtitle">
    <w:name w:val="Subtitle"/>
    <w:pPr>
      <w:spacing w:after="130" w:line="260" w:lineRule="auto"/>
      <w:keepNext/>
    </w:pPr>
    <w:rPr>
      <w:sz w:val="24"/>
      <w:color w:val="177E89"/>
    </w:rPr>
  </w:style>
  <w:style w:type="paragraph" w:styleId="Heading1">
    <w:name w:val="Heading1"/>
    <w:pPr>
      <w:spacing w:after="140" w:line="260" w:lineRule="auto"/>
      <w:keepNext/>
    </w:pPr>
    <w:rPr>
      <w:sz w:val="30"/>
      <w:color w:val="17324D"/>
      <w:b/>
    </w:rPr>
  </w:style>
  <w:style w:type="paragraph" w:styleId="Heading2">
    <w:name w:val="Heading2"/>
    <w:pPr>
      <w:spacing w:after="80" w:line="260" w:lineRule="auto"/>
      <w:keepNext/>
    </w:pPr>
    <w:rPr>
      <w:sz w:val="23"/>
      <w:color w:val="177E89"/>
      <w:b/>
    </w:rPr>
  </w:style>
  <w:style w:type="paragraph" w:styleId="Small">
    <w:name w:val="Small"/>
    <w:pPr>
      <w:spacing w:after="80" w:line="260" w:lineRule="auto"/>
    </w:pPr>
    <w:rPr>
      <w:sz w:val="18"/>
      <w:color w:val="526477"/>
    </w:rPr>
  </w:style>
  <w:style w:type="paragraph" w:styleId="Caption">
    <w:name w:val="Caption"/>
    <w:pPr>
      <w:spacing w:after="60" w:line="260" w:lineRule="auto"/>
    </w:pPr>
    <w:rPr>
      <w:sz w:val="16"/>
      <w:color w:val="667788"/>
    </w:rPr>
  </w:style>
  <w:style w:type="paragraph" w:styleId="Note">
    <w:name w:val="Note"/>
    <w:pPr>
      <w:spacing w:after="100" w:line="260" w:lineRule="auto"/>
    </w:pPr>
    <w:rPr>
      <w:sz w:val="19"/>
      <w:color w:val="8A5510"/>
    </w:rPr>
  </w:style>
  <w:style w:type="paragraph" w:styleId="TableText">
    <w:name w:val="TableText"/>
    <w:pPr>
      <w:spacing w:after="0" w:line="260" w:lineRule="auto"/>
    </w:pPr>
    <w:rPr>
      <w:sz w:val="18"/>
      <w:color w:val="17324D"/>
    </w:rPr>
  </w:style>
  <w:style w:type="paragraph" w:styleId="Gap">
    <w:name w:val="Gap"/>
    <w:pPr>
      <w:spacing w:after="40" w:line="260" w:lineRule="auto"/>
    </w:pPr>
    <w:rPr>
      <w:sz w:val="4"/>
      <w:color w:val="17324D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age1" Type="http://schemas.openxmlformats.org/officeDocument/2006/relationships/image" Target="media/01_analysis_flow.png"/><Relationship Id="rIdImage2" Type="http://schemas.openxmlformats.org/officeDocument/2006/relationships/image" Target="media/02_pattern_structure.png"/><Relationship Id="rIdImage3" Type="http://schemas.openxmlformats.org/officeDocument/2006/relationships/image" Target="media/03_support_coverage.png"/><Relationship Id="rIdImage4" Type="http://schemas.openxmlformats.org/officeDocument/2006/relationships/image" Target="media/04_clustering_comparison.png"/><Relationship Id="rIdImage5" Type="http://schemas.openxmlformats.org/officeDocument/2006/relationships/image" Target="media/05_preprocessing_flow.png"/></Relationships>
</file>

<file path=docProps/core.xml><?xml version="1.0" encoding="utf-8"?>
<cp:coreProperties xmlns:cp="http://schemas.openxmlformats.org/package/2006/metadata/core-properties" xmlns:dc="http://purl.org/dc/elements/1.1/">
  <dc:title>RG3 EDA 결과 요약 및 전처리 도식</dc:title>
  <dc:subject>데이터 구조·조건군·비지도 군집·전처리</dc:subject>
  <dc:creator>RG3 분석 요약</dc:creator>
</cp:coreProperties>
</file>