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01  RG3 모델링 설계 및 학습 전략</w:t>
      </w:r>
    </w:p>
    <w:p>
      <w:pPr>
        <w:pStyle w:val="Subtitle"/>
      </w:pPr>
      <w:r>
        <w:t xml:space="preserve">랜덤포레스트 · One-Class SVM · 로지스틱 회귀</w:t>
      </w:r>
    </w:p>
    <w:p>
      <w:pPr>
        <w:pStyle w:val="Small"/>
      </w:pPr>
      <w:r>
        <w:t xml:space="preserve">기준: EDA/rg3eda.ipynb 및 전처리·군집화 산출물 | 2026-09-27</w:t>
      </w:r>
    </w:p>
    <w:p>
      <w:pPr>
        <w:pStyle w:val="Normal"/>
      </w:pPr>
      <w:r>
        <w:t xml:space="preserve">세 모델의 선정 근거, 학습과 검증, 손실함수, 실패 분석을 정리한 실행 전 설계안이다. 아래 파라미터는 초기 후보이며 성능이 검증된 최적값이 아니다. EDA 노트북은 수정하거나 모델링 코드를 추가하지 않는다.</w:t>
      </w:r>
    </w:p>
    <w:p>
      <w:pPr>
        <w:pStyle w:val="Heading1"/>
      </w:pPr>
      <w:r>
        <w:t xml:space="preserve">EDA에서 확인된 사실과 설계 결정 [1]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4050"/>
        <w:gridCol w:w="5250"/>
      </w:tblGrid>
      <w:tr>
        <w:trPr>
          <w:cantSplit/>
          <w:tblHeader/>
        </w:trPr>
        <w:tc>
          <w:tcPr>
            <w:tcW w:w="405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관측 결과</w:t>
            </w:r>
          </w:p>
        </w:tc>
        <w:tc>
          <w:tcPr>
            <w:tcW w:w="525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모델링에 반영할 결정</w:t>
            </w:r>
          </w:p>
        </w:tc>
      </w:tr>
      <w:tr>
        <w:trPr>
          <w:cantSplit/>
        </w:trPr>
        <w:tc>
          <w:tcPr>
            <w:tcW w:w="4050" w:type="dxa"/>
            <w:shd w:fill="F0F5F8"/>
          </w:tcPr>
          <w:p>
            <w:pPr>
              <w:pStyle w:val="TableText"/>
            </w:pPr>
            <w:r>
              <w:rPr/>
              <w:t>1,182행: 정상 1,157 / 불량 25(2.12%). 591개 패턴 모두 2행</w:t>
            </w:r>
          </w:p>
        </w:tc>
        <w:tc>
          <w:tcPr>
            <w:tcW w:w="5250" w:type="dxa"/>
            <w:shd w:fill="F0F5F8"/>
          </w:tcPr>
          <w:p>
            <w:pPr>
              <w:pStyle w:val="TableText"/>
            </w:pPr>
            <w:r>
              <w:rPr/>
              <w:t>원본 행과 라벨을 보존하고 동일 패턴을 같은 검증 폴드에 배치.</w:t>
            </w:r>
          </w:p>
        </w:tc>
      </w:tr>
      <w:tr>
        <w:trPr>
          <w:cantSplit/>
        </w:trPr>
        <w:tc>
          <w:tcPr>
            <w:tcW w:w="4050" w:type="dxa"/>
            <w:shd w:fill="FFFFFF"/>
          </w:tcPr>
          <w:p>
            <w:pPr>
              <w:pStyle w:val="TableText"/>
            </w:pPr>
            <w:r>
              <w:rPr/>
              <w:t>566개 정상 전용, 25개 충돌, 불량 전용 0개</w:t>
            </w:r>
          </w:p>
        </w:tc>
        <w:tc>
          <w:tcPr>
            <w:tcW w:w="5250" w:type="dxa"/>
            <w:shd w:fill="FFFFFF"/>
          </w:tcPr>
          <w:p>
            <w:pPr>
              <w:pStyle w:val="TableText"/>
            </w:pPr>
            <w:r>
              <w:rPr/>
              <w:t>개별 정상/불량의 완전 분리보다 새로운 조건에서의 상대적 위험 순위를 평가.</w:t>
            </w:r>
          </w:p>
        </w:tc>
      </w:tr>
      <w:tr>
        <w:trPr>
          <w:cantSplit/>
        </w:trPr>
        <w:tc>
          <w:tcPr>
            <w:tcW w:w="4050" w:type="dxa"/>
            <w:shd w:fill="F0F5F8"/>
          </w:tcPr>
          <w:p>
            <w:pPr>
              <w:pStyle w:val="TableText"/>
            </w:pPr>
            <w:r>
              <w:rPr/>
              <w:t>G2 불량 10/482, G3 불량 15/684: 2.07% 대 2.19%</w:t>
            </w:r>
          </w:p>
        </w:tc>
        <w:tc>
          <w:tcPr>
            <w:tcW w:w="5250" w:type="dxa"/>
            <w:shd w:fill="F0F5F8"/>
          </w:tcPr>
          <w:p>
            <w:pPr>
              <w:pStyle w:val="TableText"/>
            </w:pPr>
            <w:r>
              <w:rPr/>
              <w:t>조건군별 모델을 먼저 만들지 않는다. 공통 모델 결과를 조건군별로 진단.</w:t>
            </w:r>
          </w:p>
        </w:tc>
      </w:tr>
      <w:tr>
        <w:trPr>
          <w:cantSplit/>
        </w:trPr>
        <w:tc>
          <w:tcPr>
            <w:tcW w:w="4050" w:type="dxa"/>
            <w:shd w:fill="FFFFFF"/>
          </w:tcPr>
          <w:p>
            <w:pPr>
              <w:pStyle w:val="TableText"/>
            </w:pPr>
            <w:r>
              <w:rPr/>
              <w:t>3개 군집화 방법에서 공정 군집은 형성되지만 불량 전용 군집은 없음</w:t>
            </w:r>
          </w:p>
        </w:tc>
        <w:tc>
          <w:tcPr>
            <w:tcW w:w="5250" w:type="dxa"/>
            <w:shd w:fill="FFFFFF"/>
          </w:tcPr>
          <w:p>
            <w:pPr>
              <w:pStyle w:val="TableText"/>
            </w:pPr>
            <w:r>
              <w:rPr/>
              <w:t>군집 번호를 불량 라벨로 해석하지 않고 기본 입력에도 추가하지 않음.</w:t>
            </w:r>
          </w:p>
        </w:tc>
      </w:tr>
      <w:tr>
        <w:trPr>
          <w:cantSplit/>
        </w:trPr>
        <w:tc>
          <w:tcPr>
            <w:tcW w:w="4050" w:type="dxa"/>
            <w:shd w:fill="F0F5F8"/>
          </w:tcPr>
          <w:p>
            <w:pPr>
              <w:pStyle w:val="TableText"/>
            </w:pPr>
            <w:r>
              <w:rPr/>
              <w:t>상수열 제외 시 비라벨 18,416/35,941행(51.24%)이 관측 범위 밖</w:t>
            </w:r>
          </w:p>
        </w:tc>
        <w:tc>
          <w:tcPr>
            <w:tcW w:w="5250" w:type="dxa"/>
            <w:shd w:fill="F0F5F8"/>
          </w:tcPr>
          <w:p>
            <w:pPr>
              <w:pStyle w:val="TableText"/>
            </w:pPr>
            <w:r>
              <w:rPr/>
              <w:t>개발 검증과 적용 범위 점검을 분리. 범위 이탈을 불량으로 확정하지 않음.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관측 자료의 구조적 식별 한계</w:t>
      </w:r>
    </w:p>
    <w:p>
      <w:pPr>
        <w:pStyle w:val="Normal"/>
      </w:pPr>
      <w:r>
        <w:t xml:space="preserve">동일 입력에 동일 점수·동일 임계값을 적용하는 모델에서는 TP 하나마다 같은 입력의 정상 FP가 최소 하나 발생한다. 따라서 이 관측 자료에서 TP&gt;0이면 precision=TP/(TP+FP)≤50%이다. 이는 미래 데이터의 상한이 아니라 현재 반복·라벨 구조에서 도출한 한계다.</w:t>
      </w:r>
    </w:p>
    <w:p>
      <w:pPr>
        <w:pStyle w:val="Normal"/>
      </w:pPr>
      <w:r>
        <w:t xml:space="preserve">이 한계를 넘는 결과가 나오면 ID·행 순서·라벨 파생 정보의 유입, 짝의 분할, 점수 동률을 행 순서로 깨는 top-k 평가부터 검사한다. 모델이 충돌 자체를 해결했다고 해석하지 않는다.</w:t>
      </w:r>
    </w:p>
    <w:p>
      <w:pPr>
        <w:pStyle w:val="Heading1"/>
      </w:pPr>
      <w:r>
        <w:t xml:space="preserve">세 모델의 역할</w:t>
      </w:r>
    </w:p>
    <w:p>
      <w:pPr>
        <w:pStyle w:val="Normal"/>
      </w:pPr>
      <w:r>
        <w:t xml:space="preserve">로지스틱 회귀: 약한 선형 위험도 신호의 기준선 → 랜덤포레스트: 조건 결합의 추가 정보 검증 → One-Class SVM: 정상 영역의 희귀도가 위험 순위와 연결되는지 검증. 세 모델 모두 동일 외부 폴드에서 평가한다.</w:t>
      </w:r>
    </w:p>
    <w:p>
      <w:r>
        <w:br w:type="page"/>
      </w:r>
    </w:p>
    <w:p>
      <w:pPr>
        <w:pStyle w:val="Title"/>
      </w:pPr>
      <w:r>
        <w:t xml:space="preserve">02  그룹 분할과 전처리 파이프라인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00"/>
        <w:gridCol w:w="2900"/>
        <w:gridCol w:w="2200"/>
        <w:gridCol w:w="2600"/>
      </w:tblGrid>
      <w:tr>
        <w:trPr>
          <w:cantSplit/>
          <w:tblHeader/>
        </w:trPr>
        <w:tc>
          <w:tcPr>
            <w:tcW w:w="1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외부 폴드</w:t>
            </w:r>
          </w:p>
        </w:tc>
        <w:tc>
          <w:tcPr>
            <w:tcW w:w="29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학습 / 검증 행</w:t>
            </w:r>
          </w:p>
        </w:tc>
        <w:tc>
          <w:tcPr>
            <w:tcW w:w="22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검증 불량</w:t>
            </w:r>
          </w:p>
        </w:tc>
        <w:tc>
          <w:tcPr>
            <w:tcW w:w="2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검증 고유 패턴</w:t>
            </w:r>
          </w:p>
        </w:tc>
      </w:tr>
      <w:tr>
        <w:trPr>
          <w:cantSplit/>
        </w:trPr>
        <w:tc>
          <w:tcPr>
            <w:tcW w:w="1600" w:type="dxa"/>
            <w:shd w:fill="F0F5F8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w="2900" w:type="dxa"/>
            <w:shd w:fill="F0F5F8"/>
          </w:tcPr>
          <w:p>
            <w:pPr>
              <w:pStyle w:val="TableText"/>
            </w:pPr>
            <w:r>
              <w:rPr/>
              <w:t>788 / 394</w:t>
            </w:r>
          </w:p>
        </w:tc>
        <w:tc>
          <w:tcPr>
            <w:tcW w:w="2200" w:type="dxa"/>
            <w:shd w:fill="F0F5F8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w="2600" w:type="dxa"/>
            <w:shd w:fill="F0F5F8"/>
          </w:tcPr>
          <w:p>
            <w:pPr>
              <w:pStyle w:val="TableText"/>
            </w:pPr>
            <w:r>
              <w:rPr/>
              <w:t>197</w:t>
            </w:r>
          </w:p>
        </w:tc>
      </w:tr>
      <w:tr>
        <w:trPr>
          <w:cantSplit/>
        </w:trPr>
        <w:tc>
          <w:tcPr>
            <w:tcW w:w="1600" w:type="dxa"/>
            <w:shd w:fill="FFFFFF"/>
          </w:tcPr>
          <w:p>
            <w:pPr>
              <w:pStyle w:val="TableText"/>
            </w:pPr>
            <w:r>
              <w:rPr/>
              <w:t>1</w:t>
            </w:r>
          </w:p>
        </w:tc>
        <w:tc>
          <w:tcPr>
            <w:tcW w:w="2900" w:type="dxa"/>
            <w:shd w:fill="FFFFFF"/>
          </w:tcPr>
          <w:p>
            <w:pPr>
              <w:pStyle w:val="TableText"/>
            </w:pPr>
            <w:r>
              <w:rPr/>
              <w:t>788 / 394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w="2600" w:type="dxa"/>
            <w:shd w:fill="FFFFFF"/>
          </w:tcPr>
          <w:p>
            <w:pPr>
              <w:pStyle w:val="TableText"/>
            </w:pPr>
            <w:r>
              <w:rPr/>
              <w:t>197</w:t>
            </w:r>
          </w:p>
        </w:tc>
      </w:tr>
      <w:tr>
        <w:trPr>
          <w:cantSplit/>
        </w:trPr>
        <w:tc>
          <w:tcPr>
            <w:tcW w:w="1600" w:type="dxa"/>
            <w:shd w:fill="F0F5F8"/>
          </w:tcPr>
          <w:p>
            <w:pPr>
              <w:pStyle w:val="TableText"/>
            </w:pPr>
            <w:r>
              <w:rPr/>
              <w:t>2</w:t>
            </w:r>
          </w:p>
        </w:tc>
        <w:tc>
          <w:tcPr>
            <w:tcW w:w="2900" w:type="dxa"/>
            <w:shd w:fill="F0F5F8"/>
          </w:tcPr>
          <w:p>
            <w:pPr>
              <w:pStyle w:val="TableText"/>
            </w:pPr>
            <w:r>
              <w:rPr/>
              <w:t>788 / 394</w:t>
            </w:r>
          </w:p>
        </w:tc>
        <w:tc>
          <w:tcPr>
            <w:tcW w:w="2200" w:type="dxa"/>
            <w:shd w:fill="F0F5F8"/>
          </w:tcPr>
          <w:p>
            <w:pPr>
              <w:pStyle w:val="TableText"/>
            </w:pPr>
            <w:r>
              <w:rPr/>
              <w:t>9</w:t>
            </w:r>
          </w:p>
        </w:tc>
        <w:tc>
          <w:tcPr>
            <w:tcW w:w="2600" w:type="dxa"/>
            <w:shd w:fill="F0F5F8"/>
          </w:tcPr>
          <w:p>
            <w:pPr>
              <w:pStyle w:val="TableText"/>
            </w:pPr>
            <w:r>
              <w:rPr/>
              <w:t>197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기존 labeled_metadata.csv의 fold를 고정한다. 분할 방식은 고유 패턴을 정상 전용·충돌 유형으로 층화한 StratifiedKFold이다. 일반 행 층화나 새 StratifiedGroupKFold 결과로 바꾸지 않는다. pattern_id는 24개 원본 값의 완전 일치로 정의한다. [1]</w:t>
      </w:r>
    </w:p>
    <w:p>
      <w:pPr>
        <w:pStyle w:val="Heading1"/>
      </w:pPr>
      <w:r>
        <w:t xml:space="preserve">외부 3겹 × 내부 2겹 개발 검증</w:t>
      </w:r>
    </w:p>
    <w:p>
      <w:pPr>
        <w:pStyle w:val="Normal"/>
      </w:pPr>
      <w:r>
        <w:t xml:space="preserve">① 외부 검증 폴드를 잠금 → ② 외부 학습의 패턴 유형을 그 학습 라벨만으로 계산 → ③ 유형별 내부 2겹 분할(seed=42) → ④ 내부 평균 AP로 설정 선택 → ⑤ 내부 예측으로 경보 정책 선택 → ⑥ 외부 학습 전체로 재적합 후 검증.</w:t>
      </w:r>
    </w:p>
    <w:p>
      <w:pPr>
        <w:pStyle w:val="Normal"/>
      </w:pPr>
      <w:r>
        <w:t xml:space="preserve">외부 학습에는 충돌 16~17개가 남아 내부 검증에 8~9개씩 배치할 수 있다. CN7과 비교 절차를 맞추고 탐색 변동을 제한하기 위해 내부 2겹을 권장한다. 유형은 분할 균형에만 사용한다. 내부·외부 모두 패턴 겹침 0, 두 클래스 존재를 확인한다.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400"/>
        <w:gridCol w:w="6900"/>
      </w:tblGrid>
      <w:tr>
        <w:trPr>
          <w:cantSplit/>
          <w:tblHeader/>
        </w:trPr>
        <w:tc>
          <w:tcPr>
            <w:tcW w:w="24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처리</w:t>
            </w:r>
          </w:p>
        </w:tc>
        <w:tc>
          <w:tcPr>
            <w:tcW w:w="69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적용 기준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입력과 타깃</w:t>
            </w:r>
          </w:p>
        </w:tc>
        <w:tc>
          <w:tcPr>
            <w:tcW w:w="6900" w:type="dxa"/>
            <w:shd w:fill="F0F5F8"/>
          </w:tcPr>
          <w:p>
            <w:pPr>
              <w:pStyle w:val="TableText"/>
            </w:pPr>
            <w:r>
              <w:rPr/>
              <w:t>X_labeled.csv 24개 공정 변수; y_labeled.csv의 0=정상·1=불량. ID, 홀짝, 기록 순서, 빈도, 유형, fold 제외.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상수열</w:t>
            </w:r>
          </w:p>
        </w:tc>
        <w:tc>
          <w:tcPr>
            <w:tcW w:w="6900" w:type="dxa"/>
            <w:shd w:fill="FFFFFF"/>
          </w:tcPr>
          <w:p>
            <w:pPr>
              <w:pStyle w:val="TableText"/>
            </w:pPr>
            <w:r>
              <w:rPr/>
              <w:t>원본 파일은 유지. 각 학습 구간에서 VarianceThreshold(0) 적합 후 같은 마스크로 검증 변환.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스케일링</w:t>
            </w:r>
          </w:p>
        </w:tc>
        <w:tc>
          <w:tcPr>
            <w:tcW w:w="6900" w:type="dxa"/>
            <w:shd w:fill="F0F5F8"/>
          </w:tcPr>
          <w:p>
            <w:pPr>
              <w:pStyle w:val="TableText"/>
            </w:pPr>
            <w:r>
              <w:rPr/>
              <w:t>RF는 없음. LR은 전체 학습 행, OCSVM은 정상 학습 행에 StandardScaler 적합; 검증·비라벨에는 transform만 적용.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원본 보존</w:t>
            </w:r>
          </w:p>
        </w:tc>
        <w:tc>
          <w:tcPr>
            <w:tcW w:w="6900" w:type="dxa"/>
            <w:shd w:fill="FFFFFF"/>
          </w:tcPr>
          <w:p>
            <w:pPr>
              <w:pStyle w:val="TableText"/>
            </w:pPr>
            <w:r>
              <w:rPr/>
              <w:t>불량 우선 축약, 충돌 삭제, SMOTE, 클리핑 없이 시작. 비라벨을 정상으로 간주해 학습에 합치지 않음.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기존 EDA 변환</w:t>
            </w:r>
          </w:p>
        </w:tc>
        <w:tc>
          <w:tcPr>
            <w:tcW w:w="6900" w:type="dxa"/>
            <w:shd w:fill="F0F5F8"/>
          </w:tcPr>
          <w:p>
            <w:pPr>
              <w:pStyle w:val="TableText"/>
            </w:pPr>
            <w:r>
              <w:rPr/>
              <w:t>전체 데이터로 만든 순위 변환·군집·PCA 좌표를 모델 입력으로 재사용하지 않음.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Small"/>
      </w:pPr>
      <w:r>
        <w:t xml:space="preserve">전체 라벨을 이미 EDA에 사용했으므로 중첩 검증도 독립적인 최종 시험은 아니다. ID를 시간으로 간주하지 않으며, 제공 좌표의 추가 스케일링이 파일별 표준화 차이나 물리 단위를 복원한다고 보지 않는다.</w:t>
      </w:r>
    </w:p>
    <w:p>
      <w:r>
        <w:br w:type="page"/>
      </w:r>
    </w:p>
    <w:p>
      <w:pPr>
        <w:pStyle w:val="Title"/>
      </w:pPr>
      <w:r>
        <w:t xml:space="preserve">03  랜덤포레스트: 비선형 위험도 비교</w:t>
      </w:r>
    </w:p>
    <w:p>
      <w:pPr>
        <w:pStyle w:val="Heading1"/>
      </w:pPr>
      <w:r>
        <w:t xml:space="preserve">선정 근거와 학습 가설</w:t>
      </w:r>
    </w:p>
    <w:p>
      <w:pPr>
        <w:pStyle w:val="Normal"/>
      </w:pPr>
      <w:r>
        <w:t xml:space="preserve">온도·속도 결합 구간에서 불량 9/218행(4.13%)이 관측되었지만 정상 209행이 포함되고 불량 16행은 밖에 있다. 이 탐색 결과는 약한 조건 결합을 검증할 이유이며, 유효한 불량 규칙이 확정되었다는 근거는 아니다. RF로 추가 비선형 정보가 검증 폴드에도 남는지 확인한다. [1]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00"/>
        <w:gridCol w:w="7000"/>
      </w:tblGrid>
      <w:tr>
        <w:trPr>
          <w:cantSplit/>
          <w:tblHeader/>
        </w:trPr>
        <w:tc>
          <w:tcPr>
            <w:tcW w:w="2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초기 설정과 탐색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고정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n_estimators=500, criterion="gini", max_features="sqrt", bootstrap=True, random_state=42, n_jobs=-1, oob_score=False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기본값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max_depth=3, min_samples_leaf=5, class_weight=None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후보 8개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max_depth ∈ {3, 6}; min_samples_leaf ∈ {5, 15}; class_weight ∈ {None, "balanced"}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학습 / 출력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정상·불량 모두 학습. classes_에서 클래스 1의 predict_proba 열을 찾아 불량 점수로 사용.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학습 기준과 불균형 처리 [2]</w:t>
      </w:r>
    </w:p>
    <w:p>
      <w:pPr>
        <w:pStyle w:val="Normal"/>
      </w:pPr>
      <w:r>
        <w:t xml:space="preserve">가중 노드 비율 pₖ에 대한 Gini 불순도 G=1−Σₖpₖ²를 사용해 분할 전후 불순도 감소를 최대화한다. 포레스트 전체를 하나의 교차엔트로피로 경사하강하는 구조는 아니다. 트리들의 확률 출력을 평균한다.</w:t>
      </w:r>
    </w:p>
    <w:p>
      <w:pPr>
        <w:pStyle w:val="Normal"/>
      </w:pPr>
      <w:r>
        <w:t xml:space="preserve">balanced는 적합 데이터에서 클래스 k에 n/(2nₖ) 가중치를 준다. 불량의 영향을 높이지만 충돌 패턴에서 정상과 불량의 학습 비용 균형도 바꾼다. None과 비교해 순위 개선과 오탐 증가를 구분한다. 가중치가 동일 입력의 라벨 차이를 복원하지는 않는다.</w:t>
      </w:r>
    </w:p>
    <w:p>
      <w:pPr>
        <w:pStyle w:val="Heading1"/>
      </w:pPr>
      <w:r>
        <w:t xml:space="preserve">RG3에 맞춘 제한과 실패 진단</w:t>
      </w:r>
    </w:p>
    <w:p>
      <w:pPr>
        <w:pStyle w:val="Normal"/>
      </w:pPr>
      <w:r>
        <w:t xml:space="preserve">CN7보다 큰 말단 크기 후보를 사용해 25개 충돌 조건의 암기를 억제한다. 이는 보수적 시작점이며 효과는 내부 검증으로 판단한다. 기본적인 행 부트스트랩 OOB는 같은 패턴의 짝이 학습에 남을 수 있어 평가 기준으로 사용하지 않는다.</w:t>
      </w:r>
    </w:p>
    <w:p>
      <w:pPr>
        <w:pStyle w:val="Normal"/>
      </w:pPr>
      <w:r>
        <w:t xml:space="preserve">G2·G3를 나누는 변수만 중요하고 각 조건군 안에서 성능이 약하면, 공정 조건 차이를 학습했을 뿐 불량 위험을 설명하지 못했을 가능성을 점검한다. 조건군별 AP·TP·FP를 반드시 함께 기록한다.</w:t>
      </w:r>
    </w:p>
    <w:p>
      <w:pPr>
        <w:pStyle w:val="Small"/>
      </w:pPr>
      <w:r>
        <w:t xml:space="preserve">훈련 점수만 좋으면 패턴 누수 검사 후 깊이 제한과 말단 크기를 검토한다. 외부 검증 중요도는 설명용으로만 사용하고, 그 결과로 변수를 고른 뒤 같은 검증 점수를 독립 성능으로 재보고하지 않는다.</w:t>
      </w:r>
    </w:p>
    <w:p>
      <w:r>
        <w:br w:type="page"/>
      </w:r>
    </w:p>
    <w:p>
      <w:pPr>
        <w:pStyle w:val="Title"/>
      </w:pPr>
      <w:r>
        <w:t xml:space="preserve">04  로지스틱 회귀: 약한 신호의 기준선</w:t>
      </w:r>
    </w:p>
    <w:p>
      <w:pPr>
        <w:pStyle w:val="Heading1"/>
      </w:pPr>
      <w:r>
        <w:t xml:space="preserve">선정 근거</w:t>
      </w:r>
    </w:p>
    <w:p>
      <w:pPr>
        <w:pStyle w:val="Normal"/>
      </w:pPr>
      <w:r>
        <w:t xml:space="preserve">개별 분포 차이가 작고 군집 내 불량 집중 근거도 제한적이다. 따라서 복잡한 모델에 앞서, 규제된 선형 위험도만으로 재현되는 정보가 있는지 확인한다. 금형 온도 3·4의 상관 0.987과 적은 불량 표본을 고려해 L2 규제를 사용한다. [1]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00"/>
        <w:gridCol w:w="7000"/>
      </w:tblGrid>
      <w:tr>
        <w:trPr>
          <w:cantSplit/>
          <w:tblHeader/>
        </w:trPr>
        <w:tc>
          <w:tcPr>
            <w:tcW w:w="2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초기 설정과 탐색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파이프라인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학습 상수열 제거 → StandardScaler → LogisticRegression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기본값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penalty="l2", C=0.1, solver="lbfgs", max_iter=5000, class_weight=None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후보 6개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C ∈ {0.01, 0.1, 1}; class_weight ∈ {None, "balanced"}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학습 / 출력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정상·불량 모두 학습. 불량(클래스 1) 확률을 순위 점수로 사용; 임계값은 별도 결정.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손실함수와 규제 [3]</w:t>
      </w:r>
    </w:p>
    <w:p>
      <w:pPr>
        <w:pStyle w:val="Normal"/>
      </w:pPr>
      <w:r>
        <w:t xml:space="preserve">pᵢ=sigmoid(b+βᵀxᵢ). 목적함수의 형태는 가중 이진 교차엔트로피와 L2 규제의 합이다: L=−Σᵢaᵢ[yᵢ log pᵢ+(1−yᵢ)log(1−pᵢ)] + λ‖β‖²/2. 절편은 규제 항에서 제외한다. C가 작을수록 규제가 강하며, 정확한 계수 정규화는 구현 관례를 따른다.</w:t>
      </w:r>
    </w:p>
    <w:p>
      <w:pPr>
        <w:pStyle w:val="Normal"/>
      </w:pPr>
      <w:r>
        <w:t xml:space="preserve">aᵢ는 클래스 가중치다. balanced는 학습 자료의 n/(2nₖ)를 사용하며 실제 공정 비용으로 측정된 값은 아니다. 가중 학습 확률을 곧바로 실제 불량 확률로 해석하지 않는다.</w:t>
      </w:r>
    </w:p>
    <w:p>
      <w:pPr>
        <w:pStyle w:val="Heading1"/>
      </w:pPr>
      <w:r>
        <w:t xml:space="preserve">해석과 개선 판단</w:t>
      </w:r>
    </w:p>
    <w:p>
      <w:pPr>
        <w:pStyle w:val="Normal"/>
      </w:pPr>
      <w:r>
        <w:t xml:space="preserve">계수 부호와 폴드별 변동, 수렴 경고와 n_iter_를 기록한다. 높은 상관이 있는 변수의 부호 변화는 단일 변수의 제조 효과 반전으로 해석하지 않는다. 규제·반복 행·소수 불량이 있으므로 단순 회귀의 유의확률 검정을 중심으로 보고하지 않는다.</w:t>
      </w:r>
    </w:p>
    <w:p>
      <w:pPr>
        <w:pStyle w:val="Normal"/>
      </w:pPr>
      <w:r>
        <w:t xml:space="preserve">RF가 LR보다 안정적으로 개선되면 조건 결합의 추가 정보 가능성을 확인한다. 둘 다 기준선 부근이면 “비선형 모델이 더 필요하다”로 바로 결론 내리지 않고 라벨 충돌·적은 표본·적용 범위·미측정 변수의 한계를 먼저 점검한다.</w:t>
      </w:r>
    </w:p>
    <w:p>
      <w:pPr>
        <w:pStyle w:val="Normal"/>
      </w:pPr>
      <w:r>
        <w:t xml:space="preserve">KS 상위 변수만 고르거나 EDA에서 발견한 고온·고속 규칙을 기본 특징으로 추가하지 않는다. 초기 비교는 공통 입력으로 수행하고, 변수 축소는 별도의 학습 폴드 내부 민감도 분석으로 제한한다.</w:t>
      </w:r>
    </w:p>
    <w:p>
      <w:pPr>
        <w:pStyle w:val="Small"/>
      </w:pPr>
      <w:r>
        <w:t xml:space="preserve">설정 문법은 현재 환경의 scikit-learn 1.2.1을 기준으로 한다. 버전 변경 시 penalty 등 API 변경을 확인하고 실행 환경을 기록한다.</w:t>
      </w:r>
    </w:p>
    <w:p>
      <w:r>
        <w:br w:type="page"/>
      </w:r>
    </w:p>
    <w:p>
      <w:pPr>
        <w:pStyle w:val="Title"/>
      </w:pPr>
      <w:r>
        <w:t xml:space="preserve">05  One-Class SVM: 희귀 정상과 불량의 관계</w:t>
      </w:r>
    </w:p>
    <w:p>
      <w:pPr>
        <w:pStyle w:val="Heading1"/>
      </w:pPr>
      <w:r>
        <w:t xml:space="preserve">선정 근거의 강도와 학습 대상</w:t>
      </w:r>
    </w:p>
    <w:p>
      <w:pPr>
        <w:pStyle w:val="Normal"/>
      </w:pPr>
      <w:r>
        <w:t xml:space="preserve">RG3에는 정상과 분리된 불량 전용 패턴이 없다. 따라서 CN7의 범위 밖 불량 가설을 그대로 적용할 근거가 없다. OCSVM은 정상 영역에서 상대적으로 희귀한 조건에 충돌 불량이 더 자주 나타나는지 확인하는 비교 모델이다. 우월한 탐지력을 전제하지 않는다. [1]</w:t>
      </w:r>
    </w:p>
    <w:p>
      <w:pPr>
        <w:pStyle w:val="Normal"/>
      </w:pPr>
      <w:r>
        <w:t xml:space="preserve">각 학습 구간의 정상 행만으로 전처리와 모델을 적합한다. 충돌 패턴의 정상 행도 유지한다. 검증은 정상·불량 전체에서 수행한다. 정상 학습에 사용되지 않은 새 패턴에서 평가하되, 검증의 정상 짝과 불량 짝은 같은 점수를 받는다.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00"/>
        <w:gridCol w:w="7000"/>
      </w:tblGrid>
      <w:tr>
        <w:trPr>
          <w:cantSplit/>
          <w:tblHeader/>
        </w:trPr>
        <w:tc>
          <w:tcPr>
            <w:tcW w:w="2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초기 설정과 탐색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파이프라인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학습 정상 선택 → 정상에서 상수열 제거·StandardScaler 적합 → OneClassSVM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기본값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kernel="rbf", nu=0.02, gamma="scale", tol=0.001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후보 9개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nu ∈ {0.01, 0.02, 0.05}; gamma ∈ {0.25/d, 1/d, 4/d}; d=해당 정상 학습의 활성 변수 수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출력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s=−decision_function. 높을수록 이상. predict의 −1=이상·+1=정상은 원본 라벨 1/0과 다름.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목적함수와 매개변수 [4, 5]</w:t>
      </w:r>
    </w:p>
    <w:p>
      <w:pPr>
        <w:pStyle w:val="Normal"/>
      </w:pPr>
      <w:r>
        <w:t xml:space="preserve">min ½‖w‖² + (1/(νn))Σᵢξᵢ − ρ; 제약 wᵀφ(xᵢ)≥ρ−ξᵢ, ξᵢ≥0. n은 정상 학습 행 수, ξ는 경계 위반 허용량이다. RBF는 exp(−γ‖x−x′‖²)로 거리에 반응한다.</w:t>
      </w:r>
    </w:p>
    <w:p>
      <w:pPr>
        <w:pStyle w:val="Normal"/>
      </w:pPr>
      <w:r>
        <w:t xml:space="preserve">nu는 학습 오류 비율의 상한과 서포트 벡터 비율의 하한에 관련된다. 관측 불량률 2.12%나 실제 검증 오탐률과 같지 않다. gamma가 커지면 더 좁고 복잡한 경계가 가능하다. 내부 라벨로 후보를 선택하므로 전체 평가 절차는 순수 무라벨 학습·선택이 아니다.</w:t>
      </w:r>
    </w:p>
    <w:p>
      <w:pPr>
        <w:pStyle w:val="Heading1"/>
      </w:pPr>
      <w:r>
        <w:t xml:space="preserve">RG3에서 특히 확인할 실패</w:t>
      </w:r>
    </w:p>
    <w:p>
      <w:pPr>
        <w:pStyle w:val="Normal"/>
      </w:pPr>
      <w:r>
        <w:t xml:space="preserve">G1·G4의 희귀 정상이나 주요 조건군의 경계에 경보가 몰리는지 확인한다. 공정의 희귀도가 불량 위험도와 다르면 OCSVM의 AP가 낮아도 구현 오류라고 단정하지 않는다.</w:t>
      </w:r>
    </w:p>
    <w:p>
      <w:pPr>
        <w:pStyle w:val="Small"/>
      </w:pPr>
      <w:r>
        <w:t xml:space="preserve">정상 학습에서는 정상 전용 패턴이 2행, 충돌 패턴이 1행으로 남는다. 이 밀도 가중 구조도 결과에 영향을 줄 수 있다. 기본 비교는 원본 빈도를 유지하고, 정상 패턴 균등 가중은 필요할 때만 별도 민감도 분석으로 시행한다.</w:t>
      </w:r>
    </w:p>
    <w:p>
      <w:r>
        <w:br w:type="page"/>
      </w:r>
    </w:p>
    <w:p>
      <w:pPr>
        <w:pStyle w:val="Title"/>
      </w:pPr>
      <w:r>
        <w:t xml:space="preserve">06  평가와 임계값 선택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00"/>
        <w:gridCol w:w="7000"/>
      </w:tblGrid>
      <w:tr>
        <w:trPr>
          <w:cantSplit/>
          <w:tblHeader/>
        </w:trPr>
        <w:tc>
          <w:tcPr>
            <w:tcW w:w="2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보고 기준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주 지표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내부 폴드 평균 AP(average precision)로 후보 선택. 외부 AP는 폴드별 값과 평균·범위를 기록. 사다리꼴 PR-AUC와 구분. [6]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보조 지표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ROC-AUC, precision, recall, F2, 정상 오탐률, 경보율 및 TP/FP/FN/TN 실제 건수.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기준선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항상 정상: 정확도 97.88%, recall=0. 전체 불량률 2.12%를 AP 해석 참조로 사용; 무작위 순위의 실현 AP와 동일한 수치는 아님.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분해 결과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G2·G3 각각의 AP와 혼동행렬. G1·G4는 불량 0개이므로 AP·recall 해석을 피하고 정상 경보 건수를 보고.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동률 / 집계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동일 입력의 짝에 같은 점수·판정을 보장. top-k에서 짝을 임의로 쪼개지 않음. 모든 패턴이 2행이라 패턴 균등 가중은 행 가중과 비례.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내부에서 경보 규칙을 고르고 외부에서 평가</w:t>
      </w:r>
    </w:p>
    <w:p>
      <w:pPr>
        <w:pStyle w:val="Normal"/>
      </w:pPr>
      <w:r>
        <w:t xml:space="preserve">1. 내부 평균 AP로 설정 선택. 동률이면 LR은 더 작은 C, RF는 더 얕은 깊이·큰 말단, OCSVM은 더 작은 gamma를 우선한다. 나머지 동률은 사전 고정한 후보 순서로 결정한다.</w:t>
      </w:r>
    </w:p>
    <w:p>
      <w:pPr>
        <w:pStyle w:val="Normal"/>
      </w:pPr>
      <w:r>
        <w:t xml:space="preserve">2. 선택 설정에서 α∈{1%, 2%, 5%, 10%, 20%} 비교. 각 내부 학습 모델의 정상 학습 점수에서 tα=quantile(s정상,1−α)를 구해 내부 검증에 s&gt;tα 적용. 평균 F2 최대의 α를 선택하고 동률이면 작은 α를 선택한다.</w:t>
      </w:r>
    </w:p>
    <w:p>
      <w:pPr>
        <w:pStyle w:val="Normal"/>
      </w:pPr>
      <w:r>
        <w:t xml:space="preserve">3. 외부 학습 전체로 재적합 후, 해당 모델의 정상 학습 점수에서 선택된 α의 tα를 다시 구한다. 이를 외부 검증에 고정 적용한다. RF/LR은 클래스 1 확률, OCSVM은 음의 decision_function을 공통 방향의 점수로 사용한다.</w:t>
      </w:r>
    </w:p>
    <w:p>
      <w:pPr>
        <w:pStyle w:val="Normal"/>
      </w:pPr>
      <w:r>
        <w:t xml:space="preserve">분위수 방식은 linear, 비교 연산은 &gt;로 고정한다. α는 경보 규칙이며 외부 오탐률 보장이 아니다. 학습 점수의 낙관성과 동률 때문에 실제 경보율이 달라지므로 α·임계값·검증 오탐률을 함께 기록한다.</w:t>
      </w:r>
    </w:p>
    <w:p>
      <w:pPr>
        <w:pStyle w:val="Heading1"/>
      </w:pPr>
      <w:r>
        <w:t xml:space="preserve">해석 시 주의할 점</w:t>
      </w:r>
    </w:p>
    <w:p>
      <w:pPr>
        <w:pStyle w:val="Normal"/>
      </w:pPr>
      <w:r>
        <w:t xml:space="preserve">대회 공식 지표와 오탐/미탐 비용은 제공되지 않았다. F2는 누락을 더 중시하는 잠정 지표이며 실행 전 공식 기준과 정합성을 확인한다. 임계값 결과와 순위 성능을 분리해 읽는다.</w:t>
      </w:r>
    </w:p>
    <w:p>
      <w:pPr>
        <w:pStyle w:val="Small"/>
      </w:pPr>
      <w:r>
        <w:t xml:space="preserve">불량 8~9개인 폴드는 한 건으로 recall이 11.1~12.5%p 변한다. 3개 폴드 표준편차를 신뢰구간으로 부르지 않는다. OCSVM의 폴드별 점수 척도가 달라 원점수를 합친 OOF AP로 순위를 결정하지 않는다. 고정 규칙 적용 후 혼동행렬은 합산할 수 있다.</w:t>
      </w:r>
    </w:p>
    <w:p>
      <w:r>
        <w:br w:type="page"/>
      </w:r>
    </w:p>
    <w:p>
      <w:pPr>
        <w:pStyle w:val="Title"/>
      </w:pPr>
      <w:r>
        <w:t xml:space="preserve">07  군집 결과 활용과 실패 원인 개선</w:t>
      </w:r>
    </w:p>
    <w:p>
      <w:pPr>
        <w:pStyle w:val="Heading1"/>
      </w:pPr>
      <w:r>
        <w:t xml:space="preserve">군집 안정성과 불량 예측력을 구분 [1]</w:t>
      </w:r>
    </w:p>
    <w:p>
      <w:pPr>
        <w:pStyle w:val="Normal"/>
      </w:pPr>
      <w:r>
        <w:t xml:space="preserve">기존 80% 부분표본 반복의 평균 ARI는 K-Means 0.984, Ward 0.912, K-Medoids 0.660이다. 이는 관측 공정 구조의 재현성 지표이며 불량 분리 성능이 아니다. 군집별 충돌 비율은 조건군을 유지한 라벨 무작위화 참조 범위 안이었다.</w:t>
      </w:r>
    </w:p>
    <w:p>
      <w:pPr>
        <w:pStyle w:val="Normal"/>
      </w:pPr>
      <w:r>
        <w:t xml:space="preserve">기본 모델에 기존 전체 데이터 군집 번호를 추가하지 않는다. 필요 시 학습 폴드 안에서만 K-Means를 재적합하고 검증에는 predict로 군집을 배정한 보조 실험을 시행한다. 군집화 전처리 역시 학습 내 적합한다. Ward 결과는 새 데이터 predict를 가진 모델처럼 취급하지 않는다.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3200"/>
        <w:gridCol w:w="6100"/>
      </w:tblGrid>
      <w:tr>
        <w:trPr>
          <w:cantSplit/>
          <w:tblHeader/>
        </w:trPr>
        <w:tc>
          <w:tcPr>
            <w:tcW w:w="32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실패 관측</w:t>
            </w:r>
          </w:p>
        </w:tc>
        <w:tc>
          <w:tcPr>
            <w:tcW w:w="61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원인 점검과 개선</w:t>
            </w:r>
          </w:p>
        </w:tc>
      </w:tr>
      <w:tr>
        <w:trPr>
          <w:cantSplit/>
        </w:trPr>
        <w:tc>
          <w:tcPr>
            <w:tcW w:w="3200" w:type="dxa"/>
            <w:shd w:fill="F0F5F8"/>
          </w:tcPr>
          <w:p>
            <w:pPr>
              <w:pStyle w:val="TableText"/>
            </w:pPr>
            <w:r>
              <w:rPr/>
              <w:t>precision이 50%를 넘음</w:t>
            </w:r>
          </w:p>
        </w:tc>
        <w:tc>
          <w:tcPr>
            <w:tcW w:w="6100" w:type="dxa"/>
            <w:shd w:fill="F0F5F8"/>
          </w:tcPr>
          <w:p>
            <w:pPr>
              <w:pStyle w:val="TableText"/>
            </w:pPr>
            <w:r>
              <w:rPr/>
              <w:t>관측 짝 구조의 상한과 충돌. ID·라벨 파생 정보·동률 처리·집계 오류부터 검사.</w:t>
            </w:r>
          </w:p>
        </w:tc>
      </w:tr>
      <w:tr>
        <w:trPr>
          <w:cantSplit/>
        </w:trPr>
        <w:tc>
          <w:tcPr>
            <w:tcW w:w="3200" w:type="dxa"/>
            <w:shd w:fill="FFFFFF"/>
          </w:tcPr>
          <w:p>
            <w:pPr>
              <w:pStyle w:val="TableText"/>
            </w:pPr>
            <w:r>
              <w:rPr/>
              <w:t>정상 짝과 불량을 함께 경보</w:t>
            </w:r>
          </w:p>
        </w:tc>
        <w:tc>
          <w:tcPr>
            <w:tcW w:w="6100" w:type="dxa"/>
            <w:shd w:fill="FFFFFF"/>
          </w:tcPr>
          <w:p>
            <w:pPr>
              <w:pStyle w:val="TableText"/>
            </w:pPr>
            <w:r>
              <w:rPr/>
              <w:t>현재 입력의 식별 한계. 모델 복잡도 확대보다 생성·검수·측정 해상도와 추가 기록 확인.</w:t>
            </w:r>
          </w:p>
        </w:tc>
      </w:tr>
      <w:tr>
        <w:trPr>
          <w:cantSplit/>
        </w:trPr>
        <w:tc>
          <w:tcPr>
            <w:tcW w:w="3200" w:type="dxa"/>
            <w:shd w:fill="F0F5F8"/>
          </w:tcPr>
          <w:p>
            <w:pPr>
              <w:pStyle w:val="TableText"/>
            </w:pPr>
            <w:r>
              <w:rPr/>
              <w:t>RF만 훈련 성능이 높음</w:t>
            </w:r>
          </w:p>
        </w:tc>
        <w:tc>
          <w:tcPr>
            <w:tcW w:w="6100" w:type="dxa"/>
            <w:shd w:fill="F0F5F8"/>
          </w:tcPr>
          <w:p>
            <w:pPr>
              <w:pStyle w:val="TableText"/>
            </w:pPr>
            <w:r>
              <w:rPr/>
              <w:t>충돌 조건 암기 또는 누수. 그룹 겹침 검사 후 깊이·말단 제한 점검.</w:t>
            </w:r>
          </w:p>
        </w:tc>
      </w:tr>
      <w:tr>
        <w:trPr>
          <w:cantSplit/>
        </w:trPr>
        <w:tc>
          <w:tcPr>
            <w:tcW w:w="3200" w:type="dxa"/>
            <w:shd w:fill="FFFFFF"/>
          </w:tcPr>
          <w:p>
            <w:pPr>
              <w:pStyle w:val="TableText"/>
            </w:pPr>
            <w:r>
              <w:rPr/>
              <w:t>G2/G3 구분은 잘 되나 AP는 낮음</w:t>
            </w:r>
          </w:p>
        </w:tc>
        <w:tc>
          <w:tcPr>
            <w:tcW w:w="6100" w:type="dxa"/>
            <w:shd w:fill="FFFFFF"/>
          </w:tcPr>
          <w:p>
            <w:pPr>
              <w:pStyle w:val="TableText"/>
            </w:pPr>
            <w:r>
              <w:rPr/>
              <w:t>공정 조건 구분과 불량 구분의 차이. 조건군별 위험 순위를 확인.</w:t>
            </w:r>
          </w:p>
        </w:tc>
      </w:tr>
      <w:tr>
        <w:trPr>
          <w:cantSplit/>
        </w:trPr>
        <w:tc>
          <w:tcPr>
            <w:tcW w:w="3200" w:type="dxa"/>
            <w:shd w:fill="F0F5F8"/>
          </w:tcPr>
          <w:p>
            <w:pPr>
              <w:pStyle w:val="TableText"/>
            </w:pPr>
            <w:r>
              <w:rPr/>
              <w:t>OCSVM이 G1/G4에 경보 집중</w:t>
            </w:r>
          </w:p>
        </w:tc>
        <w:tc>
          <w:tcPr>
            <w:tcW w:w="6100" w:type="dxa"/>
            <w:shd w:fill="F0F5F8"/>
          </w:tcPr>
          <w:p>
            <w:pPr>
              <w:pStyle w:val="TableText"/>
            </w:pPr>
            <w:r>
              <w:rPr/>
              <w:t>희귀 정상 탐지 가능성. 표본 부족을 불량 근거로 바꾸지 않음.</w:t>
            </w:r>
          </w:p>
        </w:tc>
      </w:tr>
      <w:tr>
        <w:trPr>
          <w:cantSplit/>
        </w:trPr>
        <w:tc>
          <w:tcPr>
            <w:tcW w:w="3200" w:type="dxa"/>
            <w:shd w:fill="FFFFFF"/>
          </w:tcPr>
          <w:p>
            <w:pPr>
              <w:pStyle w:val="TableText"/>
            </w:pPr>
            <w:r>
              <w:rPr/>
              <w:t>비라벨 경보 급증</w:t>
            </w:r>
          </w:p>
        </w:tc>
        <w:tc>
          <w:tcPr>
            <w:tcW w:w="6100" w:type="dxa"/>
            <w:shd w:fill="FFFFFF"/>
          </w:tcPr>
          <w:p>
            <w:pPr>
              <w:pStyle w:val="TableText"/>
            </w:pPr>
            <w:r>
              <w:rPr/>
              <w:t>범위·고유값·표준화 차이 점검. 비라벨을 별도 재표준화하거나 정상 범위로 클리핑하지 않음.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실행·저장·최종 재학습</w:t>
      </w:r>
    </w:p>
    <w:p>
      <w:pPr>
        <w:pStyle w:val="Normal"/>
      </w:pPr>
      <w:r>
        <w:t xml:space="preserve">입력 행 정렬·그룹 중복 검사 → LR/RF/OCSVM 중첩 검증 → 실패 유형 비교 → 변경 하나씩 추가 실험 → 모델·정책 확정 → 전체 라벨 데이터에서 그룹 3겹 선택 후 최종 적합 순서로 진행한다.</w:t>
      </w:r>
    </w:p>
    <w:p>
      <w:pPr>
        <w:pStyle w:val="Normal"/>
      </w:pPr>
      <w:r>
        <w:t xml:space="preserve">최종 RF/LR은 모든 라벨 행, OCSVM은 모든 정상 행으로 학습한다. 점수·판정·source_id·pattern_id·fold·선택 설정·α·임계값과 모델/스케일러/상수 마스크, 파일 해시·버전을 저장한다. 모델 비교에 쓴 개발 점수는 독립 시험 성능이 아니다.</w:t>
      </w:r>
    </w:p>
    <w:p>
      <w:pPr>
        <w:pStyle w:val="Small"/>
      </w:pPr>
      <w:r>
        <w:t xml:space="preserve">초기 후보 8+6+9=23개: 외부 3겹 × 내부 2겹 후보 적합 138회, 외부 재적합 9회. EDA와 원본 파일은 유지하고 모델링 산출물을 별도 디렉터리에 저장한다.</w:t>
      </w:r>
    </w:p>
    <w:p>
      <w:r>
        <w:br w:type="page"/>
      </w:r>
    </w:p>
    <w:p>
      <w:pPr>
        <w:pStyle w:val="Title"/>
      </w:pPr>
      <w:r>
        <w:t xml:space="preserve">08  근거와 적용 범위</w:t>
      </w:r>
    </w:p>
    <w:p>
      <w:pPr>
        <w:pStyle w:val="Normal"/>
      </w:pPr>
      <w:r>
        <w:t xml:space="preserve">데이터 사실은 RG3 노트북 및 저장된 산출물을 근거로 했다. 후보 범위·내부 분할·α·F2는 제안한 설계다. 세 모델의 성능, 최적 설정, 대회 개선 효과는 아직 검증하지 않았다.</w:t>
      </w:r>
    </w:p>
    <w:p>
      <w:pPr>
        <w:pStyle w:val="Heading1"/>
      </w:pPr>
      <w:r>
        <w:t xml:space="preserve">[1] RG3 원자료와 분석 산출물</w:t>
      </w:r>
    </w:p>
    <w:p>
      <w:pPr>
        <w:pStyle w:val="Small"/>
      </w:pPr>
      <w:r>
        <w:t xml:space="preserve">EDA/rg3eda.ipynb; data/processed/rg3/preprocessing_manifest.json; fold_summary.csv; output/rg3_clustering_eda/; output/rg3_structure_eda/</w:t>
      </w:r>
    </w:p>
    <w:p>
      <w:pPr>
        <w:pStyle w:val="Heading1"/>
      </w:pPr>
      <w:r>
        <w:t xml:space="preserve">[2] RandomForestClassifier</w:t>
      </w:r>
    </w:p>
    <w:p>
      <w:pPr>
        <w:pStyle w:val="Small"/>
      </w:pPr>
      <w:r>
        <w:t xml:space="preserve">https://scikit-learn.org/stable/modules/generated/sklearn.ensemble.RandomForestClassifier.html</w:t>
      </w:r>
    </w:p>
    <w:p>
      <w:pPr>
        <w:pStyle w:val="Heading1"/>
      </w:pPr>
      <w:r>
        <w:t xml:space="preserve">[3] LogisticRegression 및 목적함수</w:t>
      </w:r>
    </w:p>
    <w:p>
      <w:pPr>
        <w:pStyle w:val="Small"/>
      </w:pPr>
      <w:r>
        <w:t xml:space="preserve">https://scikit-learn.org/stable/modules/generated/sklearn.linear_model.LogisticRegression.html</w:t>
      </w:r>
    </w:p>
    <w:p>
      <w:pPr>
        <w:pStyle w:val="Small"/>
      </w:pPr>
      <w:r>
        <w:t xml:space="preserve">https://scikit-learn.org/stable/modules/linear_model.html#logistic-regression</w:t>
      </w:r>
    </w:p>
    <w:p>
      <w:pPr>
        <w:pStyle w:val="Heading1"/>
      </w:pPr>
      <w:r>
        <w:t xml:space="preserve">[4] OneClassSVM</w:t>
      </w:r>
    </w:p>
    <w:p>
      <w:pPr>
        <w:pStyle w:val="Small"/>
      </w:pPr>
      <w:r>
        <w:t xml:space="preserve">https://scikit-learn.org/stable/modules/generated/sklearn.svm.OneClassSVM.html</w:t>
      </w:r>
    </w:p>
    <w:p>
      <w:pPr>
        <w:pStyle w:val="Heading1"/>
      </w:pPr>
      <w:r>
        <w:t xml:space="preserve">[5] SVM 목적함수</w:t>
      </w:r>
    </w:p>
    <w:p>
      <w:pPr>
        <w:pStyle w:val="Small"/>
      </w:pPr>
      <w:r>
        <w:t xml:space="preserve">https://scikit-learn.org/stable/modules/svm.html#mathematical-formulation</w:t>
      </w:r>
    </w:p>
    <w:p>
      <w:pPr>
        <w:pStyle w:val="Heading1"/>
      </w:pPr>
      <w:r>
        <w:t xml:space="preserve">[6] Average precision</w:t>
      </w:r>
    </w:p>
    <w:p>
      <w:pPr>
        <w:pStyle w:val="Small"/>
      </w:pPr>
      <w:r>
        <w:t xml:space="preserve">https://scikit-learn.org/stable/modules/generated/sklearn.metrics.average_precision_score.html</w:t>
      </w:r>
    </w:p>
    <w:p>
      <w:pPr>
        <w:pStyle w:val="Small"/>
      </w:pPr>
      <w:r>
        <w:t xml:space="preserve">온라인 API 문서 확인일: 2026-09-27. stable 문서는 변경될 수 있으므로 실행 환경의 버전을 고정한다. 노트북의 EDA 결과는 연관과 관측 구조를 보여주며 제조 실패의 인과관계나 개선 효과를 증명하지 않는다.</w:t>
      </w:r>
    </w:p>
    <ns0:sectPr xmlns:ns0="http://schemas.openxmlformats.org/wordprocessingml/2006/main" xmlns:ns1="http://schemas.openxmlformats.org/officeDocument/2006/relationships">
      <ns0:footerReference ns0:type="default" ns1:id="rIdFooter"/>
      <ns0:pgSz ns0:w="11906" ns0:h="16838"/>
      <ns0:pgMar ns0:top="950" ns0:right="1300" ns0:bottom="950" ns0:left="1300" ns0:header="400" ns0:footer="400"/>
    </ns0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526777"/>
      </w:rPr>
      <w:t>RG3 · 모델링 설계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21"/>
        <w:color w:val="243746"/>
        <w:lang w:val="ko-KR" w:eastAsia="ko-KR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before="0" w:after="220"/>
    </w:pPr>
    <w:rPr>
      <w:b/>
      <w:sz w:val="34"/>
      <w:color w:val="183B56"/>
    </w:rPr>
  </w:style>
  <w:style w:type="paragraph" w:styleId="Subtitle">
    <w:name w:val="Subtitle"/>
    <w:rPr>
      <w:sz w:val="25"/>
      <w:color w:val="187E86"/>
    </w:rPr>
  </w:style>
  <w:style w:type="paragraph" w:styleId="Heading1">
    <w:name w:val="heading 1"/>
    <w:pPr>
      <w:keepNext/>
      <w:spacing w:before="160" w:after="85"/>
    </w:pPr>
    <w:rPr>
      <w:b/>
      <w:sz w:val="24"/>
      <w:color w:val="187E86"/>
    </w:rPr>
  </w:style>
  <w:style w:type="paragraph" w:styleId="Small">
    <w:name w:val="Small"/>
    <w:rPr>
      <w:sz w:val="18"/>
      <w:color w:val="526777"/>
    </w:rPr>
  </w:style>
  <w:style w:type="paragraph" w:styleId="TableText">
    <w:name w:val="Table Text"/>
    <w:pPr>
      <w:spacing w:after="0" w:line="250" w:lineRule="auto"/>
    </w:pPr>
    <w:rPr>
      <w:sz w:val="19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