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6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중간발표 준비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중간발표에 사용할 문서 정리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AWS 구성 매뉴얼 작성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oauth 관련 공부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