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0E61" w14:textId="77777777" w:rsidR="0082245D" w:rsidRDefault="0082245D" w:rsidP="0082245D">
      <w:r>
        <w:t>Craig Plazony</w:t>
      </w:r>
    </w:p>
    <w:p w14:paraId="41009241" w14:textId="77777777" w:rsidR="0082245D" w:rsidRDefault="0082245D" w:rsidP="0082245D">
      <w:r>
        <w:t>ECE 505</w:t>
      </w:r>
    </w:p>
    <w:p w14:paraId="4DF79A7C" w14:textId="16EA3E36" w:rsidR="0082245D" w:rsidRDefault="0082245D" w:rsidP="0082245D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 xml:space="preserve">Deliverable </w:t>
      </w:r>
      <w:r>
        <w:rPr>
          <w:sz w:val="40"/>
          <w:szCs w:val="40"/>
        </w:rPr>
        <w:t>3</w:t>
      </w:r>
    </w:p>
    <w:p w14:paraId="7608BC4E" w14:textId="247E10E7" w:rsidR="0082245D" w:rsidRDefault="0082245D" w:rsidP="0082245D">
      <w:r>
        <w:t xml:space="preserve">1. </w:t>
      </w:r>
      <w:r>
        <w:t>Is one fuel better than the other for the purposes of Average Miles Per Gallon?</w:t>
      </w:r>
    </w:p>
    <w:p w14:paraId="2DC2B7CA" w14:textId="4D5176A4" w:rsidR="00FD5074" w:rsidRDefault="0082245D" w:rsidP="0082245D">
      <w:r>
        <w:tab/>
      </w:r>
      <w:r w:rsidR="00FD5074">
        <w:t>H</w:t>
      </w:r>
      <w:r w:rsidR="00FD5074">
        <w:rPr>
          <w:vertAlign w:val="subscript"/>
        </w:rPr>
        <w:t>0</w:t>
      </w:r>
      <w:r w:rsidR="00FD5074">
        <w:t xml:space="preserve"> – The means of each biofuels Average Miles Per Gallon (AMPG) are </w:t>
      </w:r>
      <w:r w:rsidR="00814602">
        <w:t>the same</w:t>
      </w:r>
      <w:r w:rsidR="00FD5074">
        <w:t>.</w:t>
      </w:r>
    </w:p>
    <w:p w14:paraId="05705E65" w14:textId="77777777" w:rsidR="00814602" w:rsidRDefault="00814602" w:rsidP="0082245D">
      <w:r>
        <w:t>The assumptions I am making for this are that the Idle times are not different between the two groups. Most of that data is missing and is the same for data that does exist. I also assume these trucks are similar make/model and took the same routes on average.</w:t>
      </w:r>
    </w:p>
    <w:p w14:paraId="0036F921" w14:textId="436B417D" w:rsidR="00FD5074" w:rsidRDefault="00814602" w:rsidP="0082245D">
      <w:r>
        <w:t>To determine if H</w:t>
      </w:r>
      <w:r>
        <w:rPr>
          <w:vertAlign w:val="subscript"/>
        </w:rPr>
        <w:t>0</w:t>
      </w:r>
      <w:r>
        <w:t xml:space="preserve"> is not rejected,</w:t>
      </w:r>
      <w:r w:rsidR="00FD5074">
        <w:t xml:space="preserve"> I will be using paired two-sample t-test</w:t>
      </w:r>
      <w:r w:rsidR="00BF0B55">
        <w:t xml:space="preserve"> with a confidence level of 95%</w:t>
      </w:r>
      <w:r w:rsidR="00FD5074">
        <w:t>. We get the following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412"/>
      </w:tblGrid>
      <w:tr w:rsidR="00FD5074" w14:paraId="4E8E035B" w14:textId="77777777" w:rsidTr="00814602">
        <w:trPr>
          <w:trHeight w:val="270"/>
          <w:jc w:val="center"/>
        </w:trPr>
        <w:tc>
          <w:tcPr>
            <w:tcW w:w="2412" w:type="dxa"/>
          </w:tcPr>
          <w:p w14:paraId="5532DE3D" w14:textId="458308B9" w:rsidR="00FD5074" w:rsidRDefault="00FD5074" w:rsidP="0082245D">
            <w:r>
              <w:t>T Value</w:t>
            </w:r>
          </w:p>
        </w:tc>
        <w:tc>
          <w:tcPr>
            <w:tcW w:w="2412" w:type="dxa"/>
          </w:tcPr>
          <w:p w14:paraId="1B84BE87" w14:textId="2AFBB39F" w:rsidR="00FD5074" w:rsidRDefault="00FD5074" w:rsidP="0082245D">
            <w:r>
              <w:t>-.363</w:t>
            </w:r>
          </w:p>
        </w:tc>
      </w:tr>
      <w:tr w:rsidR="00FD5074" w14:paraId="189FF259" w14:textId="77777777" w:rsidTr="00814602">
        <w:trPr>
          <w:trHeight w:val="270"/>
          <w:jc w:val="center"/>
        </w:trPr>
        <w:tc>
          <w:tcPr>
            <w:tcW w:w="2412" w:type="dxa"/>
          </w:tcPr>
          <w:p w14:paraId="39238A62" w14:textId="7F79AF60" w:rsidR="00FD5074" w:rsidRDefault="00FD5074" w:rsidP="0082245D">
            <w:r>
              <w:t>P Value</w:t>
            </w:r>
          </w:p>
        </w:tc>
        <w:tc>
          <w:tcPr>
            <w:tcW w:w="2412" w:type="dxa"/>
          </w:tcPr>
          <w:p w14:paraId="2380A0A7" w14:textId="2B7F8F36" w:rsidR="00FD5074" w:rsidRDefault="00FD5074" w:rsidP="0082245D">
            <w:r>
              <w:t>.720</w:t>
            </w:r>
          </w:p>
        </w:tc>
      </w:tr>
      <w:tr w:rsidR="00FD5074" w14:paraId="658197D0" w14:textId="77777777" w:rsidTr="00814602">
        <w:trPr>
          <w:trHeight w:val="270"/>
          <w:jc w:val="center"/>
        </w:trPr>
        <w:tc>
          <w:tcPr>
            <w:tcW w:w="2412" w:type="dxa"/>
          </w:tcPr>
          <w:p w14:paraId="4B210557" w14:textId="6861CF1C" w:rsidR="00FD5074" w:rsidRDefault="00FD5074" w:rsidP="0082245D">
            <w:r>
              <w:t>Degrees of Freedo</w:t>
            </w:r>
            <w:r w:rsidR="00483081">
              <w:t>m</w:t>
            </w:r>
          </w:p>
        </w:tc>
        <w:tc>
          <w:tcPr>
            <w:tcW w:w="2412" w:type="dxa"/>
          </w:tcPr>
          <w:p w14:paraId="4CD6BF9C" w14:textId="76FB79FF" w:rsidR="00FD5074" w:rsidRDefault="00FD5074" w:rsidP="00814602">
            <w:pPr>
              <w:keepNext/>
            </w:pPr>
            <w:r>
              <w:t>22</w:t>
            </w:r>
          </w:p>
        </w:tc>
      </w:tr>
    </w:tbl>
    <w:p w14:paraId="0C84F4E0" w14:textId="4285E2C3" w:rsidR="00FD5074" w:rsidRDefault="00814602" w:rsidP="00814602">
      <w:pPr>
        <w:pStyle w:val="Caption"/>
        <w:jc w:val="center"/>
      </w:pPr>
      <w:r>
        <w:t xml:space="preserve">Table </w:t>
      </w:r>
      <w:fldSimple w:instr=" SEQ Table \* ARABIC ">
        <w:r w:rsidR="00D00917">
          <w:rPr>
            <w:noProof/>
          </w:rPr>
          <w:t>1</w:t>
        </w:r>
      </w:fldSimple>
      <w:r>
        <w:t xml:space="preserve"> Independent two-sample t-test results</w:t>
      </w:r>
    </w:p>
    <w:p w14:paraId="3B0FCA0F" w14:textId="471C5662" w:rsidR="00BF0B55" w:rsidRDefault="00483081" w:rsidP="00BF0B55">
      <w:pPr>
        <w:keepNext/>
      </w:pPr>
      <w:r>
        <w:rPr>
          <w:noProof/>
        </w:rPr>
        <w:drawing>
          <wp:inline distT="0" distB="0" distL="0" distR="0" wp14:anchorId="7AAAB52D" wp14:editId="00889BC8">
            <wp:extent cx="6057900" cy="4038600"/>
            <wp:effectExtent l="0" t="0" r="0" b="0"/>
            <wp:docPr id="466985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773" cy="4039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60B5D" w14:textId="7DDD51F1" w:rsidR="00BF0B55" w:rsidRDefault="00BF0B55" w:rsidP="00BF0B55">
      <w:pPr>
        <w:pStyle w:val="Caption"/>
      </w:pPr>
      <w:r>
        <w:t xml:space="preserve">Figure </w:t>
      </w:r>
      <w:fldSimple w:instr=" SEQ Figure \* ARABIC ">
        <w:r w:rsidR="00D00917">
          <w:rPr>
            <w:noProof/>
          </w:rPr>
          <w:t>1</w:t>
        </w:r>
      </w:fldSimple>
      <w:r>
        <w:t xml:space="preserve"> Q-Q plots for both biofuel AMPG</w:t>
      </w:r>
    </w:p>
    <w:p w14:paraId="7FD0C45B" w14:textId="77777777" w:rsidR="00CE320D" w:rsidRDefault="00CE320D" w:rsidP="00CE320D">
      <w:pPr>
        <w:keepNext/>
      </w:pPr>
      <w:r>
        <w:rPr>
          <w:noProof/>
        </w:rPr>
        <w:lastRenderedPageBreak/>
        <w:drawing>
          <wp:inline distT="0" distB="0" distL="0" distR="0" wp14:anchorId="0A44D542" wp14:editId="07122BCE">
            <wp:extent cx="6105525" cy="4070350"/>
            <wp:effectExtent l="0" t="0" r="9525" b="6350"/>
            <wp:docPr id="639341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7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F5DA9" w14:textId="5D454705" w:rsidR="00CE320D" w:rsidRPr="00CE320D" w:rsidRDefault="00CE320D" w:rsidP="00CE320D">
      <w:pPr>
        <w:pStyle w:val="Caption"/>
      </w:pPr>
      <w:r>
        <w:t xml:space="preserve">Figure </w:t>
      </w:r>
      <w:fldSimple w:instr=" SEQ Figure \* ARABIC ">
        <w:r w:rsidR="00D00917">
          <w:rPr>
            <w:noProof/>
          </w:rPr>
          <w:t>2</w:t>
        </w:r>
      </w:fldSimple>
      <w:r>
        <w:t xml:space="preserve"> Boxplot of the AMPG of the two biofuels</w:t>
      </w:r>
    </w:p>
    <w:p w14:paraId="091C7317" w14:textId="5C79EE5F" w:rsidR="00FD5074" w:rsidRDefault="00BF0B55" w:rsidP="0082245D">
      <w:r>
        <w:t xml:space="preserve">The p-value is much higher than .05 </w:t>
      </w:r>
      <w:r w:rsidR="00483081">
        <w:t>but the distributed difference between them is not normally distributed.</w:t>
      </w:r>
      <w:r>
        <w:t xml:space="preserve"> </w:t>
      </w:r>
      <w:r w:rsidR="00CE320D">
        <w:t xml:space="preserve">If you </w:t>
      </w:r>
      <w:proofErr w:type="spellStart"/>
      <w:r w:rsidR="00CE320D">
        <w:t>loot</w:t>
      </w:r>
      <w:proofErr w:type="spellEnd"/>
      <w:r w:rsidR="00CE320D">
        <w:t xml:space="preserve"> at the Boxplots, you see they are very similar to each other.</w:t>
      </w:r>
      <w:r>
        <w:t xml:space="preserve"> </w:t>
      </w:r>
      <w:r w:rsidR="00FD5074">
        <w:t>From this, we can</w:t>
      </w:r>
      <w:r w:rsidR="00814602">
        <w:t xml:space="preserve"> see that </w:t>
      </w:r>
      <w:r w:rsidR="00814602">
        <w:t>H</w:t>
      </w:r>
      <w:r w:rsidR="00814602">
        <w:rPr>
          <w:vertAlign w:val="subscript"/>
        </w:rPr>
        <w:t>0</w:t>
      </w:r>
      <w:r w:rsidR="00814602">
        <w:t xml:space="preserve"> is not rejected. This means there is no evidence that suggest a significant difference between the two AMPG.</w:t>
      </w:r>
    </w:p>
    <w:p w14:paraId="0619F987" w14:textId="570B257C" w:rsidR="00CE320D" w:rsidRPr="00CE320D" w:rsidRDefault="00CE320D" w:rsidP="00CE320D">
      <w:pPr>
        <w:rPr>
          <w:b/>
          <w:bCs/>
          <w:u w:val="single"/>
        </w:rPr>
      </w:pPr>
      <w:r>
        <w:t xml:space="preserve">1. </w:t>
      </w:r>
      <w:r>
        <w:t>Is one fuel better than the other for the purposes of particulate emissions in their exhaust?</w:t>
      </w:r>
    </w:p>
    <w:p w14:paraId="2B3CCF27" w14:textId="15377F1F" w:rsidR="00CE320D" w:rsidRDefault="00CE320D" w:rsidP="0082245D">
      <w:r>
        <w:tab/>
        <w:t>H</w:t>
      </w:r>
      <w:r>
        <w:rPr>
          <w:vertAlign w:val="subscript"/>
        </w:rPr>
        <w:t>0</w:t>
      </w:r>
      <w:r>
        <w:t xml:space="preserve"> – the difference between the total particulate emissions of the biofuels is the same.</w:t>
      </w:r>
    </w:p>
    <w:p w14:paraId="6554B969" w14:textId="6BC0752D" w:rsidR="00CE320D" w:rsidRDefault="00CE320D" w:rsidP="0082245D">
      <w:r>
        <w:t>The assumptions I am making for this is that similar trucks were tested for each fuel as indicated by the data labeling trucks 1 and 1b.</w:t>
      </w:r>
      <w:r w:rsidR="00AD2606">
        <w:t xml:space="preserve"> I will compare each particulate type to each other per fuel.</w:t>
      </w:r>
    </w:p>
    <w:p w14:paraId="5479CD41" w14:textId="77777777" w:rsidR="00AD2606" w:rsidRDefault="00AD2606" w:rsidP="00AD2606">
      <w:r>
        <w:t>To determine if H</w:t>
      </w:r>
      <w:r>
        <w:rPr>
          <w:vertAlign w:val="subscript"/>
        </w:rPr>
        <w:t>0</w:t>
      </w:r>
      <w:r>
        <w:t xml:space="preserve"> is not rejected, I will be using paired two-sample t-test with a confidence level of 95%. We get the following results</w:t>
      </w:r>
    </w:p>
    <w:p w14:paraId="1C152674" w14:textId="677A5AE6" w:rsidR="00AD2606" w:rsidRDefault="00AD2606" w:rsidP="00AD2606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D2606" w:rsidRPr="00AD2606" w14:paraId="015945A7" w14:textId="77777777" w:rsidTr="00AD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13799BD" w14:textId="58D1B6E9" w:rsidR="00AD2606" w:rsidRPr="00AD2606" w:rsidRDefault="00AD2606" w:rsidP="00AD2606">
            <w:r>
              <w:lastRenderedPageBreak/>
              <w:t>Column</w:t>
            </w:r>
          </w:p>
        </w:tc>
        <w:tc>
          <w:tcPr>
            <w:tcW w:w="3117" w:type="dxa"/>
          </w:tcPr>
          <w:p w14:paraId="0D11C403" w14:textId="0062FF09" w:rsidR="00AD2606" w:rsidRPr="00AD2606" w:rsidRDefault="00AD2606" w:rsidP="00AD2606">
            <w:r>
              <w:t>t-statistic</w:t>
            </w:r>
          </w:p>
        </w:tc>
        <w:tc>
          <w:tcPr>
            <w:tcW w:w="3117" w:type="dxa"/>
          </w:tcPr>
          <w:p w14:paraId="7D9968E0" w14:textId="70DEBAE8" w:rsidR="00AD2606" w:rsidRPr="00AD2606" w:rsidRDefault="00AD2606" w:rsidP="00AD2606">
            <w:r>
              <w:t>p-value</w:t>
            </w:r>
          </w:p>
        </w:tc>
      </w:tr>
      <w:tr w:rsidR="00AD2606" w:rsidRPr="00AD2606" w14:paraId="1D37428A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E83ABDC" w14:textId="6C006E43" w:rsidR="00AD2606" w:rsidRDefault="00AD2606" w:rsidP="00AD2606">
            <w:r>
              <w:t>Iron</w:t>
            </w:r>
          </w:p>
        </w:tc>
        <w:tc>
          <w:tcPr>
            <w:tcW w:w="3117" w:type="dxa"/>
          </w:tcPr>
          <w:p w14:paraId="0C64E779" w14:textId="67930124" w:rsidR="00AD2606" w:rsidRDefault="00AD2606" w:rsidP="00AD2606">
            <w:r>
              <w:t>0.3681</w:t>
            </w:r>
          </w:p>
        </w:tc>
        <w:tc>
          <w:tcPr>
            <w:tcW w:w="3117" w:type="dxa"/>
          </w:tcPr>
          <w:p w14:paraId="1610CA8D" w14:textId="0D9FA536" w:rsidR="00AD2606" w:rsidRDefault="00AD2606" w:rsidP="00AD2606">
            <w:r>
              <w:t>0.7135</w:t>
            </w:r>
          </w:p>
        </w:tc>
      </w:tr>
      <w:tr w:rsidR="00AD2606" w:rsidRPr="00AD2606" w14:paraId="3E60989B" w14:textId="77777777" w:rsidTr="00AD2606">
        <w:tc>
          <w:tcPr>
            <w:tcW w:w="3116" w:type="dxa"/>
          </w:tcPr>
          <w:p w14:paraId="041087D7" w14:textId="1ACB5751" w:rsidR="00AD2606" w:rsidRDefault="00AD2606" w:rsidP="00AD2606">
            <w:r>
              <w:t>Lead</w:t>
            </w:r>
          </w:p>
        </w:tc>
        <w:tc>
          <w:tcPr>
            <w:tcW w:w="3117" w:type="dxa"/>
          </w:tcPr>
          <w:p w14:paraId="0937EBCC" w14:textId="05E16C36" w:rsidR="00AD2606" w:rsidRDefault="00AD2606" w:rsidP="00AD2606">
            <w:r>
              <w:t>-3.4290</w:t>
            </w:r>
          </w:p>
        </w:tc>
        <w:tc>
          <w:tcPr>
            <w:tcW w:w="3117" w:type="dxa"/>
          </w:tcPr>
          <w:p w14:paraId="415D966D" w14:textId="3401066B" w:rsidR="00AD2606" w:rsidRDefault="00AD2606" w:rsidP="00AD2606">
            <w:r>
              <w:t>0.0011</w:t>
            </w:r>
          </w:p>
        </w:tc>
      </w:tr>
      <w:tr w:rsidR="00AD2606" w:rsidRPr="00AD2606" w14:paraId="5DE09697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551FBE9" w14:textId="0BFE0C2E" w:rsidR="00AD2606" w:rsidRDefault="00AD2606" w:rsidP="00AD2606">
            <w:r>
              <w:t>Copper</w:t>
            </w:r>
          </w:p>
        </w:tc>
        <w:tc>
          <w:tcPr>
            <w:tcW w:w="3117" w:type="dxa"/>
          </w:tcPr>
          <w:p w14:paraId="153A10B5" w14:textId="2C25F4B6" w:rsidR="00AD2606" w:rsidRDefault="00AD2606" w:rsidP="00AD2606">
            <w:r>
              <w:t>-0.4679</w:t>
            </w:r>
          </w:p>
        </w:tc>
        <w:tc>
          <w:tcPr>
            <w:tcW w:w="3117" w:type="dxa"/>
          </w:tcPr>
          <w:p w14:paraId="6F9FBB47" w14:textId="4729C634" w:rsidR="00AD2606" w:rsidRDefault="00AD2606" w:rsidP="00AD2606">
            <w:r>
              <w:t>0.6409</w:t>
            </w:r>
          </w:p>
        </w:tc>
      </w:tr>
      <w:tr w:rsidR="00AD2606" w:rsidRPr="00AD2606" w14:paraId="31808045" w14:textId="77777777" w:rsidTr="00AD2606">
        <w:tc>
          <w:tcPr>
            <w:tcW w:w="3116" w:type="dxa"/>
          </w:tcPr>
          <w:p w14:paraId="3F22426B" w14:textId="29C5A7B1" w:rsidR="00AD2606" w:rsidRDefault="00AD2606" w:rsidP="00AD2606">
            <w:r>
              <w:t>Chro</w:t>
            </w:r>
          </w:p>
        </w:tc>
        <w:tc>
          <w:tcPr>
            <w:tcW w:w="3117" w:type="dxa"/>
          </w:tcPr>
          <w:p w14:paraId="205AD585" w14:textId="1EBEF5DD" w:rsidR="00AD2606" w:rsidRDefault="00AD2606" w:rsidP="00AD2606">
            <w:r>
              <w:t>1.5122</w:t>
            </w:r>
          </w:p>
        </w:tc>
        <w:tc>
          <w:tcPr>
            <w:tcW w:w="3117" w:type="dxa"/>
          </w:tcPr>
          <w:p w14:paraId="57BE1034" w14:textId="1EEADA7B" w:rsidR="00AD2606" w:rsidRDefault="00AD2606" w:rsidP="00AD2606">
            <w:r>
              <w:t>0.1337</w:t>
            </w:r>
          </w:p>
        </w:tc>
      </w:tr>
      <w:tr w:rsidR="00AD2606" w:rsidRPr="00AD2606" w14:paraId="4F82565C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2CAE7FF" w14:textId="5637E24F" w:rsidR="00AD2606" w:rsidRDefault="00AD2606" w:rsidP="00AD2606">
            <w:r>
              <w:t>Aluminum</w:t>
            </w:r>
          </w:p>
        </w:tc>
        <w:tc>
          <w:tcPr>
            <w:tcW w:w="3117" w:type="dxa"/>
          </w:tcPr>
          <w:p w14:paraId="2D32EEAA" w14:textId="38F1D734" w:rsidR="00AD2606" w:rsidRDefault="00AD2606" w:rsidP="00AD2606">
            <w:r>
              <w:t>0.1579</w:t>
            </w:r>
          </w:p>
        </w:tc>
        <w:tc>
          <w:tcPr>
            <w:tcW w:w="3117" w:type="dxa"/>
          </w:tcPr>
          <w:p w14:paraId="15FABF1C" w14:textId="30D9ABF3" w:rsidR="00AD2606" w:rsidRDefault="00AD2606" w:rsidP="00AD2606">
            <w:r>
              <w:t>0.8748</w:t>
            </w:r>
          </w:p>
        </w:tc>
      </w:tr>
      <w:tr w:rsidR="00AD2606" w:rsidRPr="00AD2606" w14:paraId="71D6367F" w14:textId="77777777" w:rsidTr="00AD2606">
        <w:tc>
          <w:tcPr>
            <w:tcW w:w="3116" w:type="dxa"/>
          </w:tcPr>
          <w:p w14:paraId="6BDE191D" w14:textId="41F5A930" w:rsidR="00AD2606" w:rsidRDefault="00AD2606" w:rsidP="00AD2606">
            <w:r>
              <w:t>Silicon</w:t>
            </w:r>
          </w:p>
        </w:tc>
        <w:tc>
          <w:tcPr>
            <w:tcW w:w="3117" w:type="dxa"/>
          </w:tcPr>
          <w:p w14:paraId="427652C3" w14:textId="08686471" w:rsidR="00AD2606" w:rsidRDefault="00AD2606" w:rsidP="00AD2606">
            <w:r>
              <w:t>1.4654</w:t>
            </w:r>
          </w:p>
        </w:tc>
        <w:tc>
          <w:tcPr>
            <w:tcW w:w="3117" w:type="dxa"/>
          </w:tcPr>
          <w:p w14:paraId="5051EBF7" w14:textId="27E1F9E6" w:rsidR="00AD2606" w:rsidRDefault="00AD2606" w:rsidP="00AD2606">
            <w:r>
              <w:t>0.1479</w:t>
            </w:r>
          </w:p>
        </w:tc>
      </w:tr>
      <w:tr w:rsidR="00AD2606" w:rsidRPr="00AD2606" w14:paraId="0CCB2A18" w14:textId="77777777" w:rsidTr="00AD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03854B0" w14:textId="691A9336" w:rsidR="00AD2606" w:rsidRDefault="00AD2606" w:rsidP="00AD2606">
            <w:r>
              <w:t>Sodium</w:t>
            </w:r>
          </w:p>
        </w:tc>
        <w:tc>
          <w:tcPr>
            <w:tcW w:w="3117" w:type="dxa"/>
          </w:tcPr>
          <w:p w14:paraId="6C15CDA9" w14:textId="3B8E7D2C" w:rsidR="00AD2606" w:rsidRDefault="00AD2606" w:rsidP="00AD2606">
            <w:r>
              <w:t>1.7986</w:t>
            </w:r>
          </w:p>
        </w:tc>
        <w:tc>
          <w:tcPr>
            <w:tcW w:w="3117" w:type="dxa"/>
          </w:tcPr>
          <w:p w14:paraId="1B7FB18D" w14:textId="6464D2CE" w:rsidR="00AD2606" w:rsidRDefault="00AD2606" w:rsidP="00AD2606">
            <w:r>
              <w:t>0.0772</w:t>
            </w:r>
          </w:p>
        </w:tc>
      </w:tr>
      <w:tr w:rsidR="00AD2606" w:rsidRPr="00AD2606" w14:paraId="25D90C14" w14:textId="77777777" w:rsidTr="00AD2606">
        <w:tc>
          <w:tcPr>
            <w:tcW w:w="3116" w:type="dxa"/>
          </w:tcPr>
          <w:p w14:paraId="7CC59A35" w14:textId="12B13542" w:rsidR="00AD2606" w:rsidRDefault="00AD2606" w:rsidP="00AD2606">
            <w:r>
              <w:t>Potassium</w:t>
            </w:r>
          </w:p>
        </w:tc>
        <w:tc>
          <w:tcPr>
            <w:tcW w:w="3117" w:type="dxa"/>
          </w:tcPr>
          <w:p w14:paraId="43B9D117" w14:textId="3354DE39" w:rsidR="00AD2606" w:rsidRDefault="00AD2606" w:rsidP="00AD2606">
            <w:r>
              <w:t>1.9239</w:t>
            </w:r>
          </w:p>
        </w:tc>
        <w:tc>
          <w:tcPr>
            <w:tcW w:w="3117" w:type="dxa"/>
          </w:tcPr>
          <w:p w14:paraId="4A973500" w14:textId="59DE01DA" w:rsidR="00AD2606" w:rsidRDefault="00AD2606" w:rsidP="00D00917">
            <w:pPr>
              <w:keepNext/>
            </w:pPr>
            <w:r>
              <w:t>0.0584</w:t>
            </w:r>
          </w:p>
        </w:tc>
      </w:tr>
    </w:tbl>
    <w:p w14:paraId="0A1BCC54" w14:textId="326F9706" w:rsidR="00AD2606" w:rsidRDefault="00D00917" w:rsidP="00D0091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Independent two-sample t-test results for each particulate in the biofuel exhaust</w:t>
      </w:r>
    </w:p>
    <w:p w14:paraId="6E84D474" w14:textId="77777777" w:rsidR="00D00917" w:rsidRDefault="00D00917" w:rsidP="00D00917">
      <w:pPr>
        <w:keepNext/>
      </w:pPr>
      <w:r>
        <w:rPr>
          <w:noProof/>
        </w:rPr>
        <w:drawing>
          <wp:inline distT="0" distB="0" distL="0" distR="0" wp14:anchorId="0ACF3EBF" wp14:editId="42FD6C7C">
            <wp:extent cx="5957888" cy="3971925"/>
            <wp:effectExtent l="0" t="0" r="5080" b="0"/>
            <wp:docPr id="1354269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07" cy="397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975FE" w14:textId="0FF1FBE6" w:rsidR="00D00917" w:rsidRPr="00D00917" w:rsidRDefault="00D00917" w:rsidP="00D009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QQ Difference plots for each particulate to determine normality</w:t>
      </w:r>
    </w:p>
    <w:p w14:paraId="11287642" w14:textId="77777777" w:rsidR="00D00917" w:rsidRDefault="00D00917" w:rsidP="00D00917">
      <w:pPr>
        <w:keepNext/>
      </w:pPr>
      <w:r>
        <w:rPr>
          <w:noProof/>
        </w:rPr>
        <w:lastRenderedPageBreak/>
        <w:drawing>
          <wp:inline distT="0" distB="0" distL="0" distR="0" wp14:anchorId="30AC2CAA" wp14:editId="44EA016A">
            <wp:extent cx="6257925" cy="4171950"/>
            <wp:effectExtent l="0" t="0" r="9525" b="0"/>
            <wp:docPr id="920450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C762A" w14:textId="1F45745F" w:rsidR="00AD2606" w:rsidRDefault="00D00917" w:rsidP="00D009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Boxplot of Chromium concentration for both Biofuels.</w:t>
      </w:r>
    </w:p>
    <w:p w14:paraId="2D266C8D" w14:textId="7C1A7E5B" w:rsidR="00C5121A" w:rsidRDefault="00C5121A" w:rsidP="00C5121A">
      <w:r>
        <w:t>The p-value</w:t>
      </w:r>
      <w:r>
        <w:t>s</w:t>
      </w:r>
      <w:r>
        <w:t xml:space="preserve"> </w:t>
      </w:r>
      <w:r>
        <w:t>are</w:t>
      </w:r>
      <w:r>
        <w:t xml:space="preserve"> higher than .05</w:t>
      </w:r>
      <w:r>
        <w:t xml:space="preserve"> in all but Lead. All of them appear to be normally distributed except for Chromium. But, based on the Boxplot, you can see that their means are almost the same because a vast majority of the data is 0.</w:t>
      </w:r>
      <w:r>
        <w:t xml:space="preserve"> From this, we can </w:t>
      </w:r>
      <w:r>
        <w:t>say</w:t>
      </w:r>
      <w:r>
        <w:t xml:space="preserve"> that H</w:t>
      </w:r>
      <w:r>
        <w:rPr>
          <w:vertAlign w:val="subscript"/>
        </w:rPr>
        <w:t>0</w:t>
      </w:r>
      <w:r>
        <w:t xml:space="preserve"> is not rejected</w:t>
      </w:r>
      <w:r>
        <w:t xml:space="preserve"> for everything except Lead</w:t>
      </w:r>
      <w:r>
        <w:t xml:space="preserve">. This means there is no evidence that </w:t>
      </w:r>
      <w:r w:rsidR="00E40B1F">
        <w:t>suggests</w:t>
      </w:r>
      <w:r>
        <w:t xml:space="preserve"> a significant difference between the two</w:t>
      </w:r>
      <w:r>
        <w:t xml:space="preserve"> Particulates except for Lead concentrations which is Higher in B20</w:t>
      </w:r>
      <w:r>
        <w:t>.</w:t>
      </w:r>
    </w:p>
    <w:p w14:paraId="1F2E2A29" w14:textId="77777777" w:rsidR="00C5121A" w:rsidRPr="00C5121A" w:rsidRDefault="00C5121A" w:rsidP="00C5121A"/>
    <w:p w14:paraId="6953BA9C" w14:textId="283B6844" w:rsidR="0082245D" w:rsidRDefault="0082245D" w:rsidP="0082245D">
      <w:pPr>
        <w:rPr>
          <w:sz w:val="40"/>
          <w:szCs w:val="40"/>
        </w:rPr>
      </w:pPr>
    </w:p>
    <w:p w14:paraId="1C07C21B" w14:textId="77777777" w:rsidR="0082245D" w:rsidRPr="003B5D8B" w:rsidRDefault="0082245D" w:rsidP="0082245D">
      <w:pPr>
        <w:rPr>
          <w:sz w:val="40"/>
          <w:szCs w:val="40"/>
        </w:rPr>
      </w:pPr>
    </w:p>
    <w:p w14:paraId="6362F79E" w14:textId="77777777" w:rsidR="00674AC3" w:rsidRDefault="00674AC3"/>
    <w:sectPr w:rsidR="006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7"/>
    <w:rsid w:val="002A1659"/>
    <w:rsid w:val="00483081"/>
    <w:rsid w:val="00506DAE"/>
    <w:rsid w:val="0054119C"/>
    <w:rsid w:val="00674AC3"/>
    <w:rsid w:val="0074218D"/>
    <w:rsid w:val="00814602"/>
    <w:rsid w:val="0082245D"/>
    <w:rsid w:val="00AD2606"/>
    <w:rsid w:val="00BF0B55"/>
    <w:rsid w:val="00C40A77"/>
    <w:rsid w:val="00C5121A"/>
    <w:rsid w:val="00CE320D"/>
    <w:rsid w:val="00D00917"/>
    <w:rsid w:val="00E40B1F"/>
    <w:rsid w:val="00F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EE0F"/>
  <w15:chartTrackingRefBased/>
  <w15:docId w15:val="{E2031967-5A8D-4067-B5ED-8DFC144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5D"/>
  </w:style>
  <w:style w:type="paragraph" w:styleId="Heading1">
    <w:name w:val="heading 1"/>
    <w:basedOn w:val="Normal"/>
    <w:next w:val="Normal"/>
    <w:link w:val="Heading1Char"/>
    <w:uiPriority w:val="9"/>
    <w:qFormat/>
    <w:rsid w:val="00C4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46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D26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9A20-DC5A-4D48-A425-C379D08C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5</cp:revision>
  <dcterms:created xsi:type="dcterms:W3CDTF">2025-09-28T14:40:00Z</dcterms:created>
  <dcterms:modified xsi:type="dcterms:W3CDTF">2025-09-28T20:16:00Z</dcterms:modified>
</cp:coreProperties>
</file>