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8F135" w14:textId="2C2ED334" w:rsidR="0025238A" w:rsidRPr="0025238A" w:rsidRDefault="0025238A" w:rsidP="0025238A">
      <w:pPr>
        <w:jc w:val="center"/>
        <w:rPr>
          <w:rFonts w:ascii="Calibri" w:hAnsi="Calibri"/>
          <w:b/>
          <w:sz w:val="40"/>
          <w:szCs w:val="40"/>
          <w:lang w:val="en-US"/>
        </w:rPr>
      </w:pPr>
      <w:r w:rsidRPr="0025238A">
        <w:rPr>
          <w:rFonts w:ascii="Calibri" w:hAnsi="Calibri"/>
          <w:b/>
          <w:sz w:val="40"/>
          <w:szCs w:val="40"/>
          <w:lang w:val="en-US"/>
        </w:rPr>
        <w:t>HW</w:t>
      </w:r>
      <w:bookmarkStart w:id="0" w:name="_GoBack"/>
      <w:bookmarkEnd w:id="0"/>
      <w:r w:rsidRPr="0025238A">
        <w:rPr>
          <w:rFonts w:ascii="Calibri" w:hAnsi="Calibri"/>
          <w:b/>
          <w:sz w:val="40"/>
          <w:szCs w:val="40"/>
          <w:lang w:val="en-US"/>
        </w:rPr>
        <w:t>1</w:t>
      </w:r>
      <w:r>
        <w:rPr>
          <w:rFonts w:ascii="Calibri" w:hAnsi="Calibri"/>
          <w:b/>
          <w:sz w:val="40"/>
          <w:szCs w:val="40"/>
          <w:lang w:val="en-US"/>
        </w:rPr>
        <w:t xml:space="preserve"> (</w:t>
      </w:r>
      <w:r w:rsidRPr="0025238A">
        <w:rPr>
          <w:rFonts w:ascii="Calibri" w:hAnsi="Calibri" w:hint="eastAsia"/>
          <w:b/>
          <w:sz w:val="40"/>
          <w:szCs w:val="40"/>
          <w:lang w:val="en-US"/>
        </w:rPr>
        <w:t>G</w:t>
      </w:r>
      <w:r w:rsidRPr="0025238A">
        <w:rPr>
          <w:rFonts w:ascii="Calibri" w:hAnsi="Calibri"/>
          <w:b/>
          <w:sz w:val="40"/>
          <w:szCs w:val="40"/>
          <w:lang w:val="en-US"/>
        </w:rPr>
        <w:t>roup</w:t>
      </w:r>
      <w:r>
        <w:rPr>
          <w:rFonts w:ascii="Calibri" w:hAnsi="Calibri"/>
          <w:b/>
          <w:sz w:val="40"/>
          <w:szCs w:val="40"/>
          <w:lang w:val="en-US"/>
        </w:rPr>
        <w:t xml:space="preserve"> </w:t>
      </w:r>
      <w:r w:rsidRPr="0025238A">
        <w:rPr>
          <w:rFonts w:ascii="Calibri" w:hAnsi="Calibri"/>
          <w:b/>
          <w:sz w:val="40"/>
          <w:szCs w:val="40"/>
          <w:lang w:val="en-US"/>
        </w:rPr>
        <w:t>K</w:t>
      </w:r>
      <w:r>
        <w:rPr>
          <w:rFonts w:ascii="Calibri" w:hAnsi="Calibri"/>
          <w:b/>
          <w:sz w:val="40"/>
          <w:szCs w:val="40"/>
          <w:lang w:val="en-US"/>
        </w:rPr>
        <w:t>)</w:t>
      </w:r>
    </w:p>
    <w:p w14:paraId="4114CFB3" w14:textId="7DB0C602" w:rsidR="0025238A" w:rsidRDefault="0025238A" w:rsidP="0025238A">
      <w:pPr>
        <w:jc w:val="center"/>
        <w:rPr>
          <w:rFonts w:ascii="Calibri" w:eastAsiaTheme="minorEastAsia" w:hAnsi="Calibri"/>
          <w:b/>
          <w:sz w:val="28"/>
          <w:szCs w:val="28"/>
          <w:lang w:val="en-US" w:eastAsia="ko-KR"/>
        </w:rPr>
      </w:pPr>
      <w:r>
        <w:rPr>
          <w:rFonts w:ascii="Calibri" w:eastAsiaTheme="minorEastAsia" w:hAnsi="Calibri"/>
          <w:b/>
          <w:sz w:val="28"/>
          <w:szCs w:val="28"/>
          <w:lang w:val="en-US" w:eastAsia="ko-KR"/>
        </w:rPr>
        <w:t xml:space="preserve">Seongmin Lee </w:t>
      </w:r>
      <w:proofErr w:type="gramStart"/>
      <w:r>
        <w:rPr>
          <w:rFonts w:ascii="Calibri" w:eastAsiaTheme="minorEastAsia" w:hAnsi="Calibri"/>
          <w:b/>
          <w:sz w:val="28"/>
          <w:szCs w:val="28"/>
          <w:lang w:val="en-US" w:eastAsia="ko-KR"/>
        </w:rPr>
        <w:t>01247436,  Otto</w:t>
      </w:r>
      <w:proofErr w:type="gramEnd"/>
      <w:r>
        <w:rPr>
          <w:rFonts w:ascii="Calibri" w:eastAsiaTheme="minorEastAsia" w:hAnsi="Calibri"/>
          <w:b/>
          <w:sz w:val="28"/>
          <w:szCs w:val="28"/>
          <w:lang w:val="en-US" w:eastAsia="ko-KR"/>
        </w:rPr>
        <w:t xml:space="preserve"> Godwin: 01422474</w:t>
      </w:r>
      <w:r w:rsidR="007C0EDC">
        <w:rPr>
          <w:rFonts w:ascii="Calibri" w:eastAsiaTheme="minorEastAsia" w:hAnsi="Calibri"/>
          <w:b/>
          <w:sz w:val="28"/>
          <w:szCs w:val="28"/>
          <w:lang w:val="en-US" w:eastAsia="ko-KR"/>
        </w:rPr>
        <w:t>,</w:t>
      </w:r>
    </w:p>
    <w:p w14:paraId="6EC4D918" w14:textId="021B96DE" w:rsidR="0025238A" w:rsidRPr="0025238A" w:rsidRDefault="0025238A" w:rsidP="0025238A">
      <w:pPr>
        <w:jc w:val="center"/>
        <w:rPr>
          <w:rFonts w:ascii="Calibri" w:eastAsiaTheme="minorEastAsia" w:hAnsi="Calibri" w:hint="eastAsia"/>
          <w:b/>
          <w:sz w:val="28"/>
          <w:szCs w:val="28"/>
          <w:lang w:val="en-US" w:eastAsia="ko-KR"/>
        </w:rPr>
      </w:pPr>
      <w:proofErr w:type="spellStart"/>
      <w:r>
        <w:rPr>
          <w:rFonts w:ascii="Calibri" w:eastAsiaTheme="minorEastAsia" w:hAnsi="Calibri"/>
          <w:b/>
          <w:sz w:val="28"/>
          <w:szCs w:val="28"/>
          <w:lang w:val="en-US" w:eastAsia="ko-KR"/>
        </w:rPr>
        <w:t>Qiuyue</w:t>
      </w:r>
      <w:proofErr w:type="spellEnd"/>
      <w:r>
        <w:rPr>
          <w:rFonts w:ascii="Calibri" w:eastAsiaTheme="minorEastAsia" w:hAnsi="Calibri"/>
          <w:b/>
          <w:sz w:val="28"/>
          <w:szCs w:val="28"/>
          <w:lang w:val="en-US" w:eastAsia="ko-KR"/>
        </w:rPr>
        <w:t xml:space="preserve"> Zhang: </w:t>
      </w:r>
      <w:r w:rsidRPr="0025238A">
        <w:rPr>
          <w:rFonts w:ascii="Calibri" w:eastAsiaTheme="minorEastAsia" w:hAnsi="Calibri"/>
          <w:b/>
          <w:sz w:val="28"/>
          <w:szCs w:val="28"/>
          <w:lang w:val="en-US" w:eastAsia="ko-KR"/>
        </w:rPr>
        <w:t>01378527</w:t>
      </w:r>
      <w:r>
        <w:rPr>
          <w:rFonts w:ascii="Calibri" w:eastAsiaTheme="minorEastAsia" w:hAnsi="Calibri"/>
          <w:b/>
          <w:sz w:val="28"/>
          <w:szCs w:val="28"/>
          <w:lang w:val="en-US" w:eastAsia="ko-KR"/>
        </w:rPr>
        <w:t xml:space="preserve">, </w:t>
      </w:r>
      <w:r w:rsidRPr="0025238A">
        <w:rPr>
          <w:rFonts w:ascii="Calibri" w:eastAsiaTheme="minorEastAsia" w:hAnsi="Calibri"/>
          <w:b/>
          <w:sz w:val="28"/>
          <w:szCs w:val="28"/>
          <w:lang w:val="en-US" w:eastAsia="ko-KR"/>
        </w:rPr>
        <w:t>Samantha Tia</w:t>
      </w:r>
      <w:r>
        <w:rPr>
          <w:rFonts w:ascii="Calibri" w:eastAsiaTheme="minorEastAsia" w:hAnsi="Calibri"/>
          <w:b/>
          <w:sz w:val="28"/>
          <w:szCs w:val="28"/>
          <w:lang w:val="en-US" w:eastAsia="ko-KR"/>
        </w:rPr>
        <w:t>:</w:t>
      </w:r>
      <w:r w:rsidRPr="0025238A">
        <w:rPr>
          <w:rFonts w:ascii="Calibri" w:eastAsiaTheme="minorEastAsia" w:hAnsi="Calibri"/>
          <w:b/>
          <w:sz w:val="28"/>
          <w:szCs w:val="28"/>
          <w:lang w:val="en-US" w:eastAsia="ko-KR"/>
        </w:rPr>
        <w:t xml:space="preserve"> </w:t>
      </w:r>
      <w:r w:rsidRPr="0025238A">
        <w:rPr>
          <w:rFonts w:ascii="Calibri" w:eastAsiaTheme="minorEastAsia" w:hAnsi="Calibri"/>
          <w:b/>
          <w:sz w:val="28"/>
          <w:szCs w:val="28"/>
          <w:lang w:val="en-US" w:eastAsia="ko-KR"/>
        </w:rPr>
        <w:t>01405785</w:t>
      </w:r>
    </w:p>
    <w:p w14:paraId="1F705CE1" w14:textId="0B2BB199" w:rsidR="00FF1A64" w:rsidRPr="00025BBE" w:rsidRDefault="00FF1A64">
      <w:pPr>
        <w:rPr>
          <w:rFonts w:ascii="Calibri" w:hAnsi="Calibri"/>
          <w:b/>
          <w:sz w:val="28"/>
          <w:szCs w:val="28"/>
          <w:lang w:val="en-US"/>
        </w:rPr>
      </w:pPr>
      <w:r w:rsidRPr="00025BBE">
        <w:rPr>
          <w:rFonts w:ascii="Calibri" w:hAnsi="Calibri"/>
          <w:b/>
          <w:sz w:val="28"/>
          <w:szCs w:val="28"/>
          <w:lang w:val="en-US"/>
        </w:rPr>
        <w:t>Part A</w:t>
      </w:r>
    </w:p>
    <w:p w14:paraId="34A7EA8C" w14:textId="77777777" w:rsidR="00FF1A64" w:rsidRPr="00025BBE" w:rsidRDefault="00FF1A64">
      <w:pPr>
        <w:rPr>
          <w:rFonts w:ascii="Calibri" w:hAnsi="Calibri"/>
          <w:lang w:val="en-US"/>
        </w:rPr>
      </w:pPr>
    </w:p>
    <w:p w14:paraId="5B908DE5" w14:textId="728DA6D3" w:rsidR="005174BC" w:rsidRDefault="007B27CC" w:rsidP="007B27CC">
      <w:pPr>
        <w:rPr>
          <w:rFonts w:ascii="Calibri" w:hAnsi="Calibri"/>
          <w:lang w:val="en-US"/>
        </w:rPr>
      </w:pPr>
      <w:r w:rsidRPr="00025BBE">
        <w:rPr>
          <w:rFonts w:ascii="Calibri" w:hAnsi="Calibri"/>
          <w:lang w:val="en-US"/>
        </w:rPr>
        <w:t xml:space="preserve">We raised </w:t>
      </w:r>
      <w:r w:rsidRPr="00DF5555">
        <w:rPr>
          <w:rFonts w:ascii="Calibri" w:hAnsi="Calibri"/>
          <w:noProof/>
          <w:lang w:val="en-US"/>
        </w:rPr>
        <w:t>2</w:t>
      </w:r>
      <w:r w:rsidRPr="00025BBE">
        <w:rPr>
          <w:rFonts w:ascii="Calibri" w:hAnsi="Calibri"/>
          <w:lang w:val="en-US"/>
        </w:rPr>
        <w:t xml:space="preserve"> questions. We examined which channel had better response rates, </w:t>
      </w:r>
      <w:r w:rsidRPr="00DF5555">
        <w:rPr>
          <w:rFonts w:ascii="Calibri" w:hAnsi="Calibri"/>
          <w:noProof/>
          <w:lang w:val="en-US"/>
        </w:rPr>
        <w:t>catalog</w:t>
      </w:r>
      <w:r w:rsidR="00DF5555">
        <w:rPr>
          <w:rFonts w:ascii="Calibri" w:hAnsi="Calibri"/>
          <w:noProof/>
          <w:lang w:val="en-US"/>
        </w:rPr>
        <w:t>ue</w:t>
      </w:r>
      <w:r w:rsidRPr="00025BBE">
        <w:rPr>
          <w:rFonts w:ascii="Calibri" w:hAnsi="Calibri"/>
          <w:lang w:val="en-US"/>
        </w:rPr>
        <w:t xml:space="preserve"> mailing or email </w:t>
      </w:r>
      <w:r w:rsidRPr="00DF5555">
        <w:rPr>
          <w:rFonts w:ascii="Calibri" w:hAnsi="Calibri"/>
          <w:noProof/>
          <w:lang w:val="en-US"/>
        </w:rPr>
        <w:t>and</w:t>
      </w:r>
      <w:r w:rsidRPr="00025BBE">
        <w:rPr>
          <w:rFonts w:ascii="Calibri" w:hAnsi="Calibri"/>
          <w:lang w:val="en-US"/>
        </w:rPr>
        <w:t xml:space="preserve"> then we split it further by </w:t>
      </w:r>
      <w:r w:rsidRPr="00DF5555">
        <w:rPr>
          <w:rFonts w:ascii="Calibri" w:hAnsi="Calibri"/>
          <w:noProof/>
          <w:lang w:val="en-US"/>
        </w:rPr>
        <w:t>analy</w:t>
      </w:r>
      <w:r w:rsidR="00DF5555">
        <w:rPr>
          <w:rFonts w:ascii="Calibri" w:hAnsi="Calibri"/>
          <w:noProof/>
          <w:lang w:val="en-US"/>
        </w:rPr>
        <w:t>s</w:t>
      </w:r>
      <w:r w:rsidRPr="00DF5555">
        <w:rPr>
          <w:rFonts w:ascii="Calibri" w:hAnsi="Calibri"/>
          <w:noProof/>
          <w:lang w:val="en-US"/>
        </w:rPr>
        <w:t>ing</w:t>
      </w:r>
      <w:r w:rsidRPr="00025BBE">
        <w:rPr>
          <w:rFonts w:ascii="Calibri" w:hAnsi="Calibri"/>
          <w:lang w:val="en-US"/>
        </w:rPr>
        <w:t xml:space="preserve"> the data by month.</w:t>
      </w:r>
    </w:p>
    <w:p w14:paraId="585144DC" w14:textId="77777777" w:rsidR="009F439E" w:rsidRDefault="009F439E" w:rsidP="007B27CC">
      <w:pPr>
        <w:rPr>
          <w:rFonts w:ascii="Calibri" w:hAnsi="Calibri"/>
          <w:lang w:val="en-US"/>
        </w:rPr>
      </w:pPr>
    </w:p>
    <w:p w14:paraId="40CB88AF" w14:textId="4DAEC74A" w:rsidR="009F439E" w:rsidRPr="00025BBE" w:rsidRDefault="009F439E" w:rsidP="007B27CC">
      <w:pPr>
        <w:rPr>
          <w:rFonts w:ascii="Calibri" w:hAnsi="Calibri"/>
          <w:lang w:val="en-US"/>
        </w:rPr>
      </w:pPr>
      <w:r>
        <w:rPr>
          <w:rFonts w:ascii="Calibri" w:hAnsi="Calibri"/>
          <w:b/>
          <w:lang w:val="en-US"/>
        </w:rPr>
        <w:t>Better</w:t>
      </w:r>
      <w:r w:rsidRPr="009F439E">
        <w:rPr>
          <w:rFonts w:ascii="Calibri" w:hAnsi="Calibri"/>
          <w:b/>
          <w:lang w:val="en-US"/>
        </w:rPr>
        <w:t xml:space="preserve"> Response Rate </w:t>
      </w:r>
      <w:proofErr w:type="gramStart"/>
      <w:r w:rsidRPr="009F439E">
        <w:rPr>
          <w:rFonts w:ascii="Calibri" w:hAnsi="Calibri"/>
          <w:b/>
          <w:lang w:val="en-US"/>
        </w:rPr>
        <w:t>By</w:t>
      </w:r>
      <w:proofErr w:type="gramEnd"/>
      <w:r w:rsidRPr="009F439E">
        <w:rPr>
          <w:rFonts w:ascii="Calibri" w:hAnsi="Calibri"/>
          <w:b/>
          <w:lang w:val="en-US"/>
        </w:rPr>
        <w:t xml:space="preserve"> Channel</w:t>
      </w:r>
    </w:p>
    <w:p w14:paraId="42D42186" w14:textId="374AB3C5" w:rsidR="00136CB2" w:rsidRDefault="0039777E" w:rsidP="007B27CC">
      <w:pPr>
        <w:rPr>
          <w:rFonts w:ascii="Calibri" w:hAnsi="Calibri"/>
          <w:lang w:val="en-US"/>
        </w:rPr>
      </w:pPr>
      <w:r w:rsidRPr="0039777E">
        <w:rPr>
          <w:rFonts w:ascii="Calibri" w:hAnsi="Calibri" w:hint="eastAsia"/>
          <w:lang w:val="en-US"/>
        </w:rPr>
        <w:t>T</w:t>
      </w:r>
      <w:r w:rsidRPr="0039777E">
        <w:rPr>
          <w:rFonts w:ascii="Calibri" w:hAnsi="Calibri"/>
          <w:lang w:val="en-US"/>
        </w:rPr>
        <w:t>here are</w:t>
      </w:r>
      <w:r>
        <w:rPr>
          <w:rFonts w:ascii="Calibri" w:hAnsi="Calibri"/>
          <w:lang w:val="en-US"/>
        </w:rPr>
        <w:t xml:space="preserve"> two direct marketing methods</w:t>
      </w:r>
      <w:r w:rsidR="00413728">
        <w:rPr>
          <w:rFonts w:ascii="Calibri" w:hAnsi="Calibri"/>
          <w:lang w:val="en-US"/>
        </w:rPr>
        <w:t xml:space="preserve"> in the </w:t>
      </w:r>
      <w:r w:rsidR="00426EBD">
        <w:rPr>
          <w:rFonts w:ascii="Calibri" w:hAnsi="Calibri"/>
          <w:lang w:val="en-US"/>
        </w:rPr>
        <w:t>order tables</w:t>
      </w:r>
      <w:r>
        <w:rPr>
          <w:rFonts w:ascii="Calibri" w:hAnsi="Calibri"/>
          <w:lang w:val="en-US"/>
        </w:rPr>
        <w:t xml:space="preserve"> as email and </w:t>
      </w:r>
      <w:r w:rsidRPr="00DF5555">
        <w:rPr>
          <w:rFonts w:ascii="Calibri" w:hAnsi="Calibri"/>
          <w:noProof/>
          <w:lang w:val="en-US"/>
        </w:rPr>
        <w:t>catalog</w:t>
      </w:r>
      <w:r w:rsidR="00DF5555">
        <w:rPr>
          <w:rFonts w:ascii="Calibri" w:hAnsi="Calibri"/>
          <w:noProof/>
          <w:lang w:val="en-US"/>
        </w:rPr>
        <w:t>ue</w:t>
      </w:r>
      <w:r>
        <w:rPr>
          <w:rFonts w:ascii="Calibri" w:hAnsi="Calibri"/>
          <w:lang w:val="en-US"/>
        </w:rPr>
        <w:t xml:space="preserve">. </w:t>
      </w:r>
      <w:r w:rsidR="00426EBD">
        <w:rPr>
          <w:rFonts w:ascii="Calibri" w:hAnsi="Calibri"/>
          <w:lang w:val="en-US"/>
        </w:rPr>
        <w:t>Based on the below assumption that</w:t>
      </w:r>
    </w:p>
    <w:p w14:paraId="4709E7D6" w14:textId="615C2D64" w:rsidR="00426EBD" w:rsidRDefault="00426EBD" w:rsidP="00426EBD">
      <w:pPr>
        <w:pStyle w:val="a3"/>
        <w:numPr>
          <w:ilvl w:val="0"/>
          <w:numId w:val="5"/>
        </w:numPr>
        <w:rPr>
          <w:rFonts w:ascii="Calibri" w:eastAsiaTheme="minorEastAsia" w:hAnsi="Calibri"/>
          <w:lang w:val="en-US" w:eastAsia="ko-KR"/>
        </w:rPr>
      </w:pPr>
      <w:r>
        <w:rPr>
          <w:rFonts w:ascii="Calibri" w:eastAsiaTheme="minorEastAsia" w:hAnsi="Calibri" w:hint="eastAsia"/>
          <w:lang w:val="en-US" w:eastAsia="ko-KR"/>
        </w:rPr>
        <w:t>O</w:t>
      </w:r>
      <w:r>
        <w:rPr>
          <w:rFonts w:ascii="Calibri" w:eastAsiaTheme="minorEastAsia" w:hAnsi="Calibri"/>
          <w:lang w:val="en-US" w:eastAsia="ko-KR"/>
        </w:rPr>
        <w:t xml:space="preserve">ne </w:t>
      </w:r>
      <w:r w:rsidRPr="00DF5555">
        <w:rPr>
          <w:rFonts w:ascii="Calibri" w:eastAsiaTheme="minorEastAsia" w:hAnsi="Calibri"/>
          <w:noProof/>
          <w:lang w:val="en-US" w:eastAsia="ko-KR"/>
        </w:rPr>
        <w:t>catalog</w:t>
      </w:r>
      <w:r w:rsidR="00DF5555">
        <w:rPr>
          <w:rFonts w:ascii="Calibri" w:eastAsiaTheme="minorEastAsia" w:hAnsi="Calibri"/>
          <w:noProof/>
          <w:lang w:val="en-US" w:eastAsia="ko-KR"/>
        </w:rPr>
        <w:t>ue</w:t>
      </w:r>
      <w:r>
        <w:rPr>
          <w:rFonts w:ascii="Calibri" w:eastAsiaTheme="minorEastAsia" w:hAnsi="Calibri"/>
          <w:lang w:val="en-US" w:eastAsia="ko-KR"/>
        </w:rPr>
        <w:t>/email can affect the multiple orders</w:t>
      </w:r>
    </w:p>
    <w:p w14:paraId="3F82D23D" w14:textId="43D86BE4" w:rsidR="009F439E" w:rsidRDefault="00426EBD" w:rsidP="007B27CC">
      <w:pPr>
        <w:pStyle w:val="a3"/>
        <w:numPr>
          <w:ilvl w:val="0"/>
          <w:numId w:val="5"/>
        </w:numPr>
        <w:rPr>
          <w:rFonts w:ascii="Calibri" w:eastAsiaTheme="minorEastAsia" w:hAnsi="Calibri"/>
          <w:lang w:val="en-US" w:eastAsia="ko-KR"/>
        </w:rPr>
      </w:pPr>
      <w:r>
        <w:rPr>
          <w:rFonts w:ascii="Calibri" w:eastAsiaTheme="minorEastAsia" w:hAnsi="Calibri"/>
          <w:lang w:val="en-US" w:eastAsia="ko-KR"/>
        </w:rPr>
        <w:t xml:space="preserve">Multiple </w:t>
      </w:r>
      <w:r w:rsidRPr="00DF5555">
        <w:rPr>
          <w:rFonts w:ascii="Calibri" w:eastAsiaTheme="minorEastAsia" w:hAnsi="Calibri"/>
          <w:noProof/>
          <w:lang w:val="en-US" w:eastAsia="ko-KR"/>
        </w:rPr>
        <w:t>catalogs</w:t>
      </w:r>
      <w:r>
        <w:rPr>
          <w:rFonts w:ascii="Calibri" w:eastAsiaTheme="minorEastAsia" w:hAnsi="Calibri"/>
          <w:lang w:val="en-US" w:eastAsia="ko-KR"/>
        </w:rPr>
        <w:t xml:space="preserve"> on the same date </w:t>
      </w:r>
      <w:r w:rsidRPr="00DF5555">
        <w:rPr>
          <w:rFonts w:ascii="Calibri" w:eastAsiaTheme="minorEastAsia" w:hAnsi="Calibri"/>
          <w:noProof/>
          <w:lang w:val="en-US" w:eastAsia="ko-KR"/>
        </w:rPr>
        <w:t>are not regarded</w:t>
      </w:r>
      <w:r>
        <w:rPr>
          <w:rFonts w:ascii="Calibri" w:eastAsiaTheme="minorEastAsia" w:hAnsi="Calibri"/>
          <w:lang w:val="en-US" w:eastAsia="ko-KR"/>
        </w:rPr>
        <w:t xml:space="preserve"> as a single </w:t>
      </w:r>
      <w:r w:rsidRPr="00DF5555">
        <w:rPr>
          <w:rFonts w:ascii="Calibri" w:eastAsiaTheme="minorEastAsia" w:hAnsi="Calibri"/>
          <w:noProof/>
          <w:lang w:val="en-US" w:eastAsia="ko-KR"/>
        </w:rPr>
        <w:t>catalog</w:t>
      </w:r>
      <w:r w:rsidR="00DF5555">
        <w:rPr>
          <w:rFonts w:ascii="Calibri" w:eastAsiaTheme="minorEastAsia" w:hAnsi="Calibri"/>
          <w:noProof/>
          <w:lang w:val="en-US" w:eastAsia="ko-KR"/>
        </w:rPr>
        <w:t>ue</w:t>
      </w:r>
    </w:p>
    <w:p w14:paraId="5E348BB6" w14:textId="56EF72FB" w:rsidR="00426EBD" w:rsidRDefault="00426EBD" w:rsidP="00426EBD">
      <w:pPr>
        <w:rPr>
          <w:rFonts w:ascii="Calibri" w:eastAsiaTheme="minorEastAsia" w:hAnsi="Calibri"/>
          <w:lang w:val="en-US" w:eastAsia="ko-KR"/>
        </w:rPr>
      </w:pPr>
      <w:r>
        <w:rPr>
          <w:rFonts w:ascii="Calibri" w:eastAsiaTheme="minorEastAsia" w:hAnsi="Calibri"/>
          <w:lang w:val="en-US" w:eastAsia="ko-KR"/>
        </w:rPr>
        <w:t xml:space="preserve">we could also consider the maximum duration </w:t>
      </w:r>
      <w:r w:rsidR="002C2352">
        <w:rPr>
          <w:rFonts w:ascii="Calibri" w:eastAsiaTheme="minorEastAsia" w:hAnsi="Calibri"/>
          <w:lang w:val="en-US" w:eastAsia="ko-KR"/>
        </w:rPr>
        <w:t>influenced by</w:t>
      </w:r>
      <w:r>
        <w:rPr>
          <w:rFonts w:ascii="Calibri" w:eastAsiaTheme="minorEastAsia" w:hAnsi="Calibri"/>
          <w:lang w:val="en-US" w:eastAsia="ko-KR"/>
        </w:rPr>
        <w:t xml:space="preserve"> </w:t>
      </w:r>
      <w:r w:rsidRPr="00DF5555">
        <w:rPr>
          <w:rFonts w:ascii="Calibri" w:eastAsiaTheme="minorEastAsia" w:hAnsi="Calibri"/>
          <w:noProof/>
          <w:lang w:val="en-US" w:eastAsia="ko-KR"/>
        </w:rPr>
        <w:t>direct</w:t>
      </w:r>
      <w:r>
        <w:rPr>
          <w:rFonts w:ascii="Calibri" w:eastAsiaTheme="minorEastAsia" w:hAnsi="Calibri"/>
          <w:lang w:val="en-US" w:eastAsia="ko-KR"/>
        </w:rPr>
        <w:t xml:space="preserve"> marketing. </w:t>
      </w:r>
      <w:r w:rsidR="002C2352">
        <w:rPr>
          <w:rFonts w:ascii="Calibri" w:eastAsiaTheme="minorEastAsia" w:hAnsi="Calibri"/>
          <w:lang w:val="en-US" w:eastAsia="ko-KR"/>
        </w:rPr>
        <w:t>Hence, the date differences are divided into 7, 10, 14 days</w:t>
      </w:r>
      <w:r>
        <w:rPr>
          <w:rFonts w:ascii="Calibri" w:eastAsiaTheme="minorEastAsia" w:hAnsi="Calibri"/>
          <w:lang w:val="en-US" w:eastAsia="ko-KR"/>
        </w:rPr>
        <w:t xml:space="preserve"> because </w:t>
      </w:r>
      <w:r w:rsidR="002A3CA3">
        <w:rPr>
          <w:rFonts w:ascii="Calibri" w:eastAsiaTheme="minorEastAsia" w:hAnsi="Calibri"/>
          <w:lang w:val="en-US" w:eastAsia="ko-KR"/>
        </w:rPr>
        <w:t xml:space="preserve">most of </w:t>
      </w:r>
      <w:r w:rsidR="00DF5555">
        <w:rPr>
          <w:rFonts w:ascii="Calibri" w:eastAsiaTheme="minorEastAsia" w:hAnsi="Calibri"/>
          <w:lang w:val="en-US" w:eastAsia="ko-KR"/>
        </w:rPr>
        <w:t xml:space="preserve">the </w:t>
      </w:r>
      <w:r w:rsidR="002A3CA3" w:rsidRPr="00DF5555">
        <w:rPr>
          <w:rFonts w:ascii="Calibri" w:eastAsiaTheme="minorEastAsia" w:hAnsi="Calibri"/>
          <w:noProof/>
          <w:lang w:val="en-US" w:eastAsia="ko-KR"/>
        </w:rPr>
        <w:t>food</w:t>
      </w:r>
      <w:r w:rsidR="002A3CA3">
        <w:rPr>
          <w:rFonts w:ascii="Calibri" w:eastAsiaTheme="minorEastAsia" w:hAnsi="Calibri"/>
          <w:lang w:val="en-US" w:eastAsia="ko-KR"/>
        </w:rPr>
        <w:t xml:space="preserve"> products </w:t>
      </w:r>
      <w:r w:rsidR="002C2352">
        <w:rPr>
          <w:rFonts w:ascii="Calibri" w:eastAsiaTheme="minorEastAsia" w:hAnsi="Calibri"/>
          <w:lang w:val="en-US" w:eastAsia="ko-KR"/>
        </w:rPr>
        <w:t xml:space="preserve">are re-purchased in at least a week. If an order </w:t>
      </w:r>
      <w:r w:rsidR="002C2352" w:rsidRPr="00DF5555">
        <w:rPr>
          <w:rFonts w:ascii="Calibri" w:eastAsiaTheme="minorEastAsia" w:hAnsi="Calibri"/>
          <w:noProof/>
          <w:lang w:val="en-US" w:eastAsia="ko-KR"/>
        </w:rPr>
        <w:t>is made</w:t>
      </w:r>
      <w:r w:rsidR="002C2352">
        <w:rPr>
          <w:rFonts w:ascii="Calibri" w:eastAsiaTheme="minorEastAsia" w:hAnsi="Calibri"/>
          <w:lang w:val="en-US" w:eastAsia="ko-KR"/>
        </w:rPr>
        <w:t xml:space="preserve"> for a gift, then the duration could be longer than </w:t>
      </w:r>
      <w:r w:rsidR="002C2352" w:rsidRPr="00DF5555">
        <w:rPr>
          <w:rFonts w:ascii="Calibri" w:eastAsiaTheme="minorEastAsia" w:hAnsi="Calibri"/>
          <w:noProof/>
          <w:lang w:val="en-US" w:eastAsia="ko-KR"/>
        </w:rPr>
        <w:t>7</w:t>
      </w:r>
      <w:r w:rsidR="002C2352">
        <w:rPr>
          <w:rFonts w:ascii="Calibri" w:eastAsiaTheme="minorEastAsia" w:hAnsi="Calibri"/>
          <w:lang w:val="en-US" w:eastAsia="ko-KR"/>
        </w:rPr>
        <w:t xml:space="preserve"> days. However, after 14 days, it is hard to linger on the </w:t>
      </w:r>
      <w:r w:rsidR="002C2352" w:rsidRPr="00DF5555">
        <w:rPr>
          <w:rFonts w:ascii="Calibri" w:eastAsiaTheme="minorEastAsia" w:hAnsi="Calibri"/>
          <w:noProof/>
          <w:lang w:val="en-US" w:eastAsia="ko-KR"/>
        </w:rPr>
        <w:t>consumer</w:t>
      </w:r>
      <w:r w:rsidR="00DF5555">
        <w:rPr>
          <w:rFonts w:ascii="Calibri" w:eastAsiaTheme="minorEastAsia" w:hAnsi="Calibri"/>
          <w:noProof/>
          <w:lang w:val="en-US" w:eastAsia="ko-KR"/>
        </w:rPr>
        <w:t>'</w:t>
      </w:r>
      <w:r w:rsidR="002C2352" w:rsidRPr="00DF5555">
        <w:rPr>
          <w:rFonts w:ascii="Calibri" w:eastAsiaTheme="minorEastAsia" w:hAnsi="Calibri"/>
          <w:noProof/>
          <w:lang w:val="en-US" w:eastAsia="ko-KR"/>
        </w:rPr>
        <w:t>s</w:t>
      </w:r>
      <w:r w:rsidR="002C2352">
        <w:rPr>
          <w:rFonts w:ascii="Calibri" w:eastAsiaTheme="minorEastAsia" w:hAnsi="Calibri"/>
          <w:lang w:val="en-US" w:eastAsia="ko-KR"/>
        </w:rPr>
        <w:t xml:space="preserve"> memory. </w:t>
      </w:r>
    </w:p>
    <w:p w14:paraId="15029D36" w14:textId="2055D9DD" w:rsidR="002C2352" w:rsidRDefault="002C2352" w:rsidP="00426EBD">
      <w:pPr>
        <w:rPr>
          <w:rFonts w:ascii="Calibri" w:eastAsiaTheme="minorEastAsia" w:hAnsi="Calibri"/>
          <w:lang w:val="en-US" w:eastAsia="ko-KR"/>
        </w:rPr>
      </w:pPr>
    </w:p>
    <w:p w14:paraId="1893C46F" w14:textId="0A37B9AA" w:rsidR="002C2352" w:rsidRDefault="002C2352" w:rsidP="00426EBD">
      <w:pPr>
        <w:rPr>
          <w:rFonts w:ascii="Calibri" w:eastAsiaTheme="minorEastAsia" w:hAnsi="Calibri"/>
          <w:lang w:val="en-US" w:eastAsia="ko-KR"/>
        </w:rPr>
      </w:pPr>
      <w:r>
        <w:rPr>
          <w:rFonts w:ascii="Calibri" w:eastAsiaTheme="minorEastAsia" w:hAnsi="Calibri"/>
          <w:lang w:val="en-US" w:eastAsia="ko-KR"/>
        </w:rPr>
        <w:t xml:space="preserve">The response rate for email is slightly better if the date difference between </w:t>
      </w:r>
      <w:r w:rsidRPr="00DF5555">
        <w:rPr>
          <w:rFonts w:ascii="Calibri" w:eastAsiaTheme="minorEastAsia" w:hAnsi="Calibri"/>
          <w:noProof/>
          <w:lang w:val="en-US" w:eastAsia="ko-KR"/>
        </w:rPr>
        <w:t>order</w:t>
      </w:r>
      <w:r>
        <w:rPr>
          <w:rFonts w:ascii="Calibri" w:eastAsiaTheme="minorEastAsia" w:hAnsi="Calibri"/>
          <w:lang w:val="en-US" w:eastAsia="ko-KR"/>
        </w:rPr>
        <w:t xml:space="preserve"> date and contact date is within </w:t>
      </w:r>
      <w:r w:rsidRPr="00DF5555">
        <w:rPr>
          <w:rFonts w:ascii="Calibri" w:eastAsiaTheme="minorEastAsia" w:hAnsi="Calibri"/>
          <w:noProof/>
          <w:lang w:val="en-US" w:eastAsia="ko-KR"/>
        </w:rPr>
        <w:t>7</w:t>
      </w:r>
      <w:r>
        <w:rPr>
          <w:rFonts w:ascii="Calibri" w:eastAsiaTheme="minorEastAsia" w:hAnsi="Calibri"/>
          <w:lang w:val="en-US" w:eastAsia="ko-KR"/>
        </w:rPr>
        <w:t xml:space="preserve"> days. </w:t>
      </w:r>
      <w:r w:rsidRPr="00DF5555">
        <w:rPr>
          <w:rFonts w:ascii="Calibri" w:eastAsiaTheme="minorEastAsia" w:hAnsi="Calibri"/>
          <w:noProof/>
          <w:lang w:val="en-US" w:eastAsia="ko-KR"/>
        </w:rPr>
        <w:t>This</w:t>
      </w:r>
      <w:r>
        <w:rPr>
          <w:rFonts w:ascii="Calibri" w:eastAsiaTheme="minorEastAsia" w:hAnsi="Calibri"/>
          <w:lang w:val="en-US" w:eastAsia="ko-KR"/>
        </w:rPr>
        <w:t xml:space="preserve"> could </w:t>
      </w:r>
      <w:r w:rsidRPr="00DF5555">
        <w:rPr>
          <w:rFonts w:ascii="Calibri" w:eastAsiaTheme="minorEastAsia" w:hAnsi="Calibri"/>
          <w:noProof/>
          <w:lang w:val="en-US" w:eastAsia="ko-KR"/>
        </w:rPr>
        <w:t>be caused</w:t>
      </w:r>
      <w:r>
        <w:rPr>
          <w:rFonts w:ascii="Calibri" w:eastAsiaTheme="minorEastAsia" w:hAnsi="Calibri"/>
          <w:lang w:val="en-US" w:eastAsia="ko-KR"/>
        </w:rPr>
        <w:t xml:space="preserve"> by the fact that </w:t>
      </w:r>
      <w:r w:rsidRPr="00DF5555">
        <w:rPr>
          <w:rFonts w:ascii="Calibri" w:eastAsiaTheme="minorEastAsia" w:hAnsi="Calibri"/>
          <w:noProof/>
          <w:lang w:val="en-US" w:eastAsia="ko-KR"/>
        </w:rPr>
        <w:t>catalog</w:t>
      </w:r>
      <w:r w:rsidR="00DF5555">
        <w:rPr>
          <w:rFonts w:ascii="Calibri" w:eastAsiaTheme="minorEastAsia" w:hAnsi="Calibri"/>
          <w:noProof/>
          <w:lang w:val="en-US" w:eastAsia="ko-KR"/>
        </w:rPr>
        <w:t>ue</w:t>
      </w:r>
      <w:r w:rsidRPr="00DF5555">
        <w:rPr>
          <w:rFonts w:ascii="Calibri" w:eastAsiaTheme="minorEastAsia" w:hAnsi="Calibri"/>
          <w:noProof/>
          <w:lang w:val="en-US" w:eastAsia="ko-KR"/>
        </w:rPr>
        <w:t>s</w:t>
      </w:r>
      <w:r>
        <w:rPr>
          <w:rFonts w:ascii="Calibri" w:eastAsiaTheme="minorEastAsia" w:hAnsi="Calibri"/>
          <w:lang w:val="en-US" w:eastAsia="ko-KR"/>
        </w:rPr>
        <w:t xml:space="preserve"> ha</w:t>
      </w:r>
      <w:r w:rsidR="00D07ED6">
        <w:rPr>
          <w:rFonts w:ascii="Calibri" w:eastAsiaTheme="minorEastAsia" w:hAnsi="Calibri"/>
          <w:lang w:val="en-US" w:eastAsia="ko-KR"/>
        </w:rPr>
        <w:t xml:space="preserve">ve longer delivery lead time than </w:t>
      </w:r>
      <w:commentRangeStart w:id="1"/>
      <w:r w:rsidR="00D07ED6">
        <w:rPr>
          <w:rFonts w:ascii="Calibri" w:eastAsiaTheme="minorEastAsia" w:hAnsi="Calibri"/>
          <w:lang w:val="en-US" w:eastAsia="ko-KR"/>
        </w:rPr>
        <w:t>emails</w:t>
      </w:r>
      <w:commentRangeEnd w:id="1"/>
      <w:r w:rsidR="00D432DE">
        <w:rPr>
          <w:rStyle w:val="a7"/>
        </w:rPr>
        <w:commentReference w:id="1"/>
      </w:r>
      <w:r w:rsidR="008F5D94">
        <w:rPr>
          <w:rFonts w:hint="eastAsia"/>
        </w:rPr>
        <w:t>, and that catalogues are real objects that play a role of reminder while emails are virtual and can be deleted or buried by other new emails</w:t>
      </w:r>
      <w:r w:rsidR="00D07ED6">
        <w:rPr>
          <w:rFonts w:ascii="Calibri" w:eastAsiaTheme="minorEastAsia" w:hAnsi="Calibri"/>
          <w:lang w:val="en-US" w:eastAsia="ko-KR"/>
        </w:rPr>
        <w:t xml:space="preserve">. However, when we set the date differences as 10 or 14 days, the response rate by </w:t>
      </w:r>
      <w:r w:rsidR="00D07ED6" w:rsidRPr="00DF5555">
        <w:rPr>
          <w:rFonts w:ascii="Calibri" w:eastAsiaTheme="minorEastAsia" w:hAnsi="Calibri"/>
          <w:noProof/>
          <w:lang w:val="en-US" w:eastAsia="ko-KR"/>
        </w:rPr>
        <w:t>catalog</w:t>
      </w:r>
      <w:r w:rsidR="00DF5555">
        <w:rPr>
          <w:rFonts w:ascii="Calibri" w:eastAsiaTheme="minorEastAsia" w:hAnsi="Calibri"/>
          <w:noProof/>
          <w:lang w:val="en-US" w:eastAsia="ko-KR"/>
        </w:rPr>
        <w:t>ue</w:t>
      </w:r>
      <w:r w:rsidR="00D07ED6" w:rsidRPr="00DF5555">
        <w:rPr>
          <w:rFonts w:ascii="Calibri" w:eastAsiaTheme="minorEastAsia" w:hAnsi="Calibri"/>
          <w:noProof/>
          <w:lang w:val="en-US" w:eastAsia="ko-KR"/>
        </w:rPr>
        <w:t>s</w:t>
      </w:r>
      <w:r w:rsidR="00D07ED6">
        <w:rPr>
          <w:rFonts w:ascii="Calibri" w:eastAsiaTheme="minorEastAsia" w:hAnsi="Calibri"/>
          <w:lang w:val="en-US" w:eastAsia="ko-KR"/>
        </w:rPr>
        <w:t xml:space="preserve"> is a bit higher than the email. </w:t>
      </w:r>
    </w:p>
    <w:p w14:paraId="4B0AD147" w14:textId="77777777" w:rsidR="00D07ED6" w:rsidRPr="00426EBD" w:rsidRDefault="00D07ED6" w:rsidP="00426EBD">
      <w:pPr>
        <w:rPr>
          <w:rFonts w:ascii="Calibri" w:eastAsiaTheme="minorEastAsia" w:hAnsi="Calibri"/>
          <w:lang w:val="en-US" w:eastAsia="ko-KR"/>
        </w:rPr>
      </w:pPr>
    </w:p>
    <w:p w14:paraId="024470C4" w14:textId="3FC2E941" w:rsidR="00413728" w:rsidRPr="00025BBE" w:rsidRDefault="00413728" w:rsidP="00413728">
      <w:pPr>
        <w:rPr>
          <w:rFonts w:ascii="Calibri" w:hAnsi="Calibri"/>
          <w:b/>
          <w:lang w:val="en-US"/>
        </w:rPr>
      </w:pPr>
      <w:r>
        <w:rPr>
          <w:rFonts w:ascii="Calibri" w:hAnsi="Calibri"/>
          <w:b/>
          <w:lang w:val="en-US"/>
        </w:rPr>
        <w:t>Catalog Response</w:t>
      </w:r>
    </w:p>
    <w:tbl>
      <w:tblPr>
        <w:tblW w:w="8952" w:type="dxa"/>
        <w:tblLayout w:type="fixed"/>
        <w:tblLook w:val="04A0" w:firstRow="1" w:lastRow="0" w:firstColumn="1" w:lastColumn="0" w:noHBand="0" w:noVBand="1"/>
      </w:tblPr>
      <w:tblGrid>
        <w:gridCol w:w="2238"/>
        <w:gridCol w:w="2238"/>
        <w:gridCol w:w="2238"/>
        <w:gridCol w:w="2238"/>
      </w:tblGrid>
      <w:tr w:rsidR="00413728" w:rsidRPr="00025BBE" w14:paraId="5DE3064F" w14:textId="77777777" w:rsidTr="00413728">
        <w:trPr>
          <w:trHeight w:val="380"/>
        </w:trPr>
        <w:tc>
          <w:tcPr>
            <w:tcW w:w="2238" w:type="dxa"/>
            <w:tcBorders>
              <w:top w:val="single" w:sz="4" w:space="0" w:color="auto"/>
              <w:left w:val="single" w:sz="4" w:space="0" w:color="auto"/>
              <w:bottom w:val="single" w:sz="4" w:space="0" w:color="auto"/>
              <w:right w:val="single" w:sz="4" w:space="0" w:color="auto"/>
            </w:tcBorders>
            <w:shd w:val="clear" w:color="000000" w:fill="B4C6E7"/>
            <w:noWrap/>
            <w:vAlign w:val="center"/>
          </w:tcPr>
          <w:p w14:paraId="16A6C382" w14:textId="6A9D812C" w:rsidR="00413728" w:rsidRPr="00413728" w:rsidRDefault="00413728" w:rsidP="00413728">
            <w:pPr>
              <w:jc w:val="center"/>
              <w:rPr>
                <w:rFonts w:ascii="Calibri" w:eastAsiaTheme="minorEastAsia" w:hAnsi="Calibri"/>
                <w:b/>
                <w:bCs/>
                <w:color w:val="000000"/>
                <w:lang w:eastAsia="ko-KR"/>
              </w:rPr>
            </w:pPr>
            <w:r>
              <w:rPr>
                <w:rFonts w:ascii="Calibri" w:eastAsiaTheme="minorEastAsia" w:hAnsi="Calibri" w:hint="eastAsia"/>
                <w:b/>
                <w:bCs/>
                <w:color w:val="000000"/>
                <w:lang w:eastAsia="ko-KR"/>
              </w:rPr>
              <w:t>D</w:t>
            </w:r>
            <w:r>
              <w:rPr>
                <w:rFonts w:ascii="Calibri" w:eastAsiaTheme="minorEastAsia" w:hAnsi="Calibri"/>
                <w:b/>
                <w:bCs/>
                <w:color w:val="000000"/>
                <w:lang w:eastAsia="ko-KR"/>
              </w:rPr>
              <w:t>ate difference</w:t>
            </w:r>
          </w:p>
        </w:tc>
        <w:tc>
          <w:tcPr>
            <w:tcW w:w="2238" w:type="dxa"/>
            <w:tcBorders>
              <w:top w:val="single" w:sz="4" w:space="0" w:color="auto"/>
              <w:left w:val="nil"/>
              <w:bottom w:val="single" w:sz="4" w:space="0" w:color="auto"/>
              <w:right w:val="single" w:sz="4" w:space="0" w:color="auto"/>
            </w:tcBorders>
            <w:shd w:val="clear" w:color="000000" w:fill="B4C6E7"/>
            <w:noWrap/>
            <w:vAlign w:val="center"/>
          </w:tcPr>
          <w:p w14:paraId="16A6FD77" w14:textId="6594DB18" w:rsidR="00413728" w:rsidRPr="00413728" w:rsidRDefault="00413728" w:rsidP="00413728">
            <w:pPr>
              <w:jc w:val="center"/>
              <w:rPr>
                <w:rFonts w:ascii="Calibri" w:eastAsiaTheme="minorEastAsia" w:hAnsi="Calibri"/>
                <w:b/>
                <w:bCs/>
                <w:color w:val="000000"/>
                <w:lang w:eastAsia="ko-KR"/>
              </w:rPr>
            </w:pPr>
            <w:r>
              <w:rPr>
                <w:rFonts w:ascii="Calibri" w:eastAsiaTheme="minorEastAsia" w:hAnsi="Calibri"/>
                <w:b/>
                <w:bCs/>
                <w:color w:val="000000"/>
                <w:lang w:eastAsia="ko-KR"/>
              </w:rPr>
              <w:t xml:space="preserve">Total </w:t>
            </w:r>
            <w:proofErr w:type="spellStart"/>
            <w:r>
              <w:rPr>
                <w:rFonts w:ascii="Calibri" w:eastAsiaTheme="minorEastAsia" w:hAnsi="Calibri"/>
                <w:b/>
                <w:bCs/>
                <w:color w:val="000000"/>
                <w:lang w:eastAsia="ko-KR"/>
              </w:rPr>
              <w:t>Catalog</w:t>
            </w:r>
            <w:proofErr w:type="spellEnd"/>
          </w:p>
        </w:tc>
        <w:tc>
          <w:tcPr>
            <w:tcW w:w="2238" w:type="dxa"/>
            <w:tcBorders>
              <w:top w:val="single" w:sz="4" w:space="0" w:color="auto"/>
              <w:left w:val="nil"/>
              <w:bottom w:val="single" w:sz="4" w:space="0" w:color="auto"/>
              <w:right w:val="single" w:sz="4" w:space="0" w:color="auto"/>
            </w:tcBorders>
            <w:shd w:val="clear" w:color="000000" w:fill="B4C6E7"/>
            <w:noWrap/>
            <w:vAlign w:val="center"/>
          </w:tcPr>
          <w:p w14:paraId="1F56814B" w14:textId="323AC914" w:rsidR="00413728" w:rsidRPr="00413728" w:rsidRDefault="00413728" w:rsidP="00413728">
            <w:pPr>
              <w:jc w:val="center"/>
              <w:rPr>
                <w:rFonts w:ascii="Calibri" w:eastAsiaTheme="minorEastAsia" w:hAnsi="Calibri"/>
                <w:b/>
                <w:bCs/>
                <w:color w:val="000000"/>
                <w:lang w:eastAsia="ko-KR"/>
              </w:rPr>
            </w:pPr>
            <w:r>
              <w:rPr>
                <w:rFonts w:ascii="Calibri" w:eastAsiaTheme="minorEastAsia" w:hAnsi="Calibri" w:hint="eastAsia"/>
                <w:b/>
                <w:bCs/>
                <w:color w:val="000000"/>
                <w:lang w:eastAsia="ko-KR"/>
              </w:rPr>
              <w:t>R</w:t>
            </w:r>
            <w:r>
              <w:rPr>
                <w:rFonts w:ascii="Calibri" w:eastAsiaTheme="minorEastAsia" w:hAnsi="Calibri"/>
                <w:b/>
                <w:bCs/>
                <w:color w:val="000000"/>
                <w:lang w:eastAsia="ko-KR"/>
              </w:rPr>
              <w:t xml:space="preserve">esponded </w:t>
            </w:r>
            <w:proofErr w:type="spellStart"/>
            <w:r>
              <w:rPr>
                <w:rFonts w:ascii="Calibri" w:eastAsiaTheme="minorEastAsia" w:hAnsi="Calibri"/>
                <w:b/>
                <w:bCs/>
                <w:color w:val="000000"/>
                <w:lang w:eastAsia="ko-KR"/>
              </w:rPr>
              <w:t>Catalog</w:t>
            </w:r>
            <w:proofErr w:type="spellEnd"/>
          </w:p>
        </w:tc>
        <w:tc>
          <w:tcPr>
            <w:tcW w:w="2238" w:type="dxa"/>
            <w:tcBorders>
              <w:top w:val="single" w:sz="4" w:space="0" w:color="auto"/>
              <w:left w:val="nil"/>
              <w:bottom w:val="single" w:sz="4" w:space="0" w:color="auto"/>
              <w:right w:val="single" w:sz="4" w:space="0" w:color="auto"/>
            </w:tcBorders>
            <w:shd w:val="clear" w:color="000000" w:fill="B4C6E7"/>
            <w:noWrap/>
            <w:vAlign w:val="center"/>
          </w:tcPr>
          <w:p w14:paraId="54AAE386" w14:textId="4A865DE1" w:rsidR="00413728" w:rsidRPr="00413728" w:rsidRDefault="00413728" w:rsidP="00413728">
            <w:pPr>
              <w:jc w:val="center"/>
              <w:rPr>
                <w:rFonts w:ascii="Calibri" w:eastAsiaTheme="minorEastAsia" w:hAnsi="Calibri"/>
                <w:b/>
                <w:bCs/>
                <w:color w:val="000000"/>
                <w:lang w:eastAsia="ko-KR"/>
              </w:rPr>
            </w:pPr>
            <w:r>
              <w:rPr>
                <w:rFonts w:ascii="Calibri" w:eastAsiaTheme="minorEastAsia" w:hAnsi="Calibri" w:hint="eastAsia"/>
                <w:b/>
                <w:bCs/>
                <w:color w:val="000000"/>
                <w:lang w:eastAsia="ko-KR"/>
              </w:rPr>
              <w:t>R</w:t>
            </w:r>
            <w:r>
              <w:rPr>
                <w:rFonts w:ascii="Calibri" w:eastAsiaTheme="minorEastAsia" w:hAnsi="Calibri"/>
                <w:b/>
                <w:bCs/>
                <w:color w:val="000000"/>
                <w:lang w:eastAsia="ko-KR"/>
              </w:rPr>
              <w:t>esponse Rate</w:t>
            </w:r>
          </w:p>
        </w:tc>
      </w:tr>
      <w:tr w:rsidR="00413728" w:rsidRPr="00025BBE" w14:paraId="573ADED4" w14:textId="77777777" w:rsidTr="00A26BFF">
        <w:trPr>
          <w:trHeight w:val="380"/>
        </w:trPr>
        <w:tc>
          <w:tcPr>
            <w:tcW w:w="2238" w:type="dxa"/>
            <w:tcBorders>
              <w:top w:val="nil"/>
              <w:left w:val="single" w:sz="4" w:space="0" w:color="auto"/>
              <w:bottom w:val="single" w:sz="4" w:space="0" w:color="auto"/>
              <w:right w:val="single" w:sz="4" w:space="0" w:color="auto"/>
            </w:tcBorders>
            <w:shd w:val="clear" w:color="auto" w:fill="auto"/>
            <w:noWrap/>
            <w:vAlign w:val="center"/>
          </w:tcPr>
          <w:p w14:paraId="6975F337" w14:textId="07E6966E" w:rsidR="00413728" w:rsidRPr="00413728" w:rsidRDefault="00413728" w:rsidP="00413728">
            <w:pPr>
              <w:jc w:val="center"/>
              <w:rPr>
                <w:rFonts w:ascii="Calibri" w:eastAsiaTheme="minorEastAsia" w:hAnsi="Calibri"/>
                <w:color w:val="000000"/>
                <w:lang w:eastAsia="ko-KR"/>
              </w:rPr>
            </w:pPr>
            <w:r>
              <w:rPr>
                <w:rFonts w:ascii="Calibri" w:eastAsiaTheme="minorEastAsia" w:hAnsi="Calibri" w:hint="eastAsia"/>
                <w:color w:val="000000"/>
                <w:lang w:eastAsia="ko-KR"/>
              </w:rPr>
              <w:t>7</w:t>
            </w:r>
            <w:r>
              <w:rPr>
                <w:rFonts w:ascii="Calibri" w:eastAsiaTheme="minorEastAsia" w:hAnsi="Calibri"/>
                <w:color w:val="000000"/>
                <w:lang w:eastAsia="ko-KR"/>
              </w:rPr>
              <w:t xml:space="preserve"> days</w:t>
            </w:r>
          </w:p>
        </w:tc>
        <w:tc>
          <w:tcPr>
            <w:tcW w:w="2238" w:type="dxa"/>
            <w:vMerge w:val="restart"/>
            <w:tcBorders>
              <w:top w:val="nil"/>
              <w:left w:val="nil"/>
              <w:right w:val="single" w:sz="4" w:space="0" w:color="auto"/>
            </w:tcBorders>
            <w:shd w:val="clear" w:color="auto" w:fill="auto"/>
            <w:noWrap/>
            <w:vAlign w:val="center"/>
          </w:tcPr>
          <w:p w14:paraId="6D00821C" w14:textId="4C561F31" w:rsidR="00413728" w:rsidRPr="00413728" w:rsidRDefault="00413728" w:rsidP="00413728">
            <w:pPr>
              <w:jc w:val="center"/>
              <w:rPr>
                <w:rFonts w:ascii="Calibri" w:eastAsiaTheme="minorEastAsia" w:hAnsi="Calibri"/>
                <w:color w:val="000000"/>
                <w:lang w:eastAsia="ko-KR"/>
              </w:rPr>
            </w:pPr>
            <w:r w:rsidRPr="00413728">
              <w:rPr>
                <w:rFonts w:ascii="Calibri" w:eastAsiaTheme="minorEastAsia" w:hAnsi="Calibri"/>
                <w:color w:val="000000"/>
                <w:lang w:eastAsia="ko-KR"/>
              </w:rPr>
              <w:t>1</w:t>
            </w:r>
            <w:r>
              <w:rPr>
                <w:rFonts w:ascii="Calibri" w:eastAsiaTheme="minorEastAsia" w:hAnsi="Calibri"/>
                <w:color w:val="000000"/>
                <w:lang w:eastAsia="ko-KR"/>
              </w:rPr>
              <w:t>,</w:t>
            </w:r>
            <w:r w:rsidRPr="00413728">
              <w:rPr>
                <w:rFonts w:ascii="Calibri" w:eastAsiaTheme="minorEastAsia" w:hAnsi="Calibri"/>
                <w:color w:val="000000"/>
                <w:lang w:eastAsia="ko-KR"/>
              </w:rPr>
              <w:t>021</w:t>
            </w:r>
            <w:r>
              <w:rPr>
                <w:rFonts w:ascii="Calibri" w:eastAsiaTheme="minorEastAsia" w:hAnsi="Calibri"/>
                <w:color w:val="000000"/>
                <w:lang w:eastAsia="ko-KR"/>
              </w:rPr>
              <w:t>,</w:t>
            </w:r>
            <w:r w:rsidRPr="00413728">
              <w:rPr>
                <w:rFonts w:ascii="Calibri" w:eastAsiaTheme="minorEastAsia" w:hAnsi="Calibri"/>
                <w:color w:val="000000"/>
                <w:lang w:eastAsia="ko-KR"/>
              </w:rPr>
              <w:t>014</w:t>
            </w:r>
          </w:p>
        </w:tc>
        <w:tc>
          <w:tcPr>
            <w:tcW w:w="2238" w:type="dxa"/>
            <w:tcBorders>
              <w:top w:val="nil"/>
              <w:left w:val="nil"/>
              <w:bottom w:val="single" w:sz="4" w:space="0" w:color="auto"/>
              <w:right w:val="single" w:sz="4" w:space="0" w:color="auto"/>
            </w:tcBorders>
            <w:shd w:val="clear" w:color="auto" w:fill="auto"/>
            <w:noWrap/>
            <w:vAlign w:val="center"/>
          </w:tcPr>
          <w:p w14:paraId="478C530C" w14:textId="1EF77F48" w:rsidR="00413728" w:rsidRPr="00413728" w:rsidRDefault="00413728" w:rsidP="00413728">
            <w:pPr>
              <w:jc w:val="center"/>
              <w:rPr>
                <w:rFonts w:ascii="Calibri" w:eastAsiaTheme="minorEastAsia" w:hAnsi="Calibri"/>
                <w:color w:val="000000"/>
                <w:lang w:eastAsia="ko-KR"/>
              </w:rPr>
            </w:pPr>
            <w:r w:rsidRPr="00413728">
              <w:rPr>
                <w:rFonts w:ascii="Calibri" w:eastAsiaTheme="minorEastAsia" w:hAnsi="Calibri"/>
                <w:color w:val="000000"/>
                <w:lang w:eastAsia="ko-KR"/>
              </w:rPr>
              <w:t>19</w:t>
            </w:r>
            <w:r>
              <w:rPr>
                <w:rFonts w:ascii="Calibri" w:eastAsiaTheme="minorEastAsia" w:hAnsi="Calibri"/>
                <w:color w:val="000000"/>
                <w:lang w:eastAsia="ko-KR"/>
              </w:rPr>
              <w:t>,</w:t>
            </w:r>
            <w:r w:rsidRPr="00413728">
              <w:rPr>
                <w:rFonts w:ascii="Calibri" w:eastAsiaTheme="minorEastAsia" w:hAnsi="Calibri"/>
                <w:color w:val="000000"/>
                <w:lang w:eastAsia="ko-KR"/>
              </w:rPr>
              <w:t>744</w:t>
            </w:r>
          </w:p>
        </w:tc>
        <w:tc>
          <w:tcPr>
            <w:tcW w:w="2238" w:type="dxa"/>
            <w:tcBorders>
              <w:top w:val="nil"/>
              <w:left w:val="nil"/>
              <w:bottom w:val="single" w:sz="4" w:space="0" w:color="auto"/>
              <w:right w:val="single" w:sz="4" w:space="0" w:color="auto"/>
            </w:tcBorders>
            <w:shd w:val="clear" w:color="auto" w:fill="auto"/>
            <w:noWrap/>
            <w:vAlign w:val="center"/>
          </w:tcPr>
          <w:p w14:paraId="6D5ADC55" w14:textId="14D9F276" w:rsidR="00413728" w:rsidRPr="00426EBD" w:rsidRDefault="00413728" w:rsidP="00413728">
            <w:pPr>
              <w:jc w:val="center"/>
              <w:rPr>
                <w:rFonts w:ascii="Calibri" w:eastAsiaTheme="minorEastAsia" w:hAnsi="Calibri"/>
                <w:b/>
                <w:color w:val="000000"/>
                <w:lang w:eastAsia="ko-KR"/>
              </w:rPr>
            </w:pPr>
            <w:r w:rsidRPr="00426EBD">
              <w:rPr>
                <w:rFonts w:ascii="Calibri" w:eastAsiaTheme="minorEastAsia" w:hAnsi="Calibri" w:hint="eastAsia"/>
                <w:b/>
                <w:color w:val="000000"/>
                <w:lang w:eastAsia="ko-KR"/>
              </w:rPr>
              <w:t>1</w:t>
            </w:r>
            <w:r w:rsidRPr="00426EBD">
              <w:rPr>
                <w:rFonts w:ascii="Calibri" w:eastAsiaTheme="minorEastAsia" w:hAnsi="Calibri"/>
                <w:b/>
                <w:color w:val="000000"/>
                <w:lang w:eastAsia="ko-KR"/>
              </w:rPr>
              <w:t>.93%</w:t>
            </w:r>
          </w:p>
        </w:tc>
      </w:tr>
      <w:tr w:rsidR="00413728" w:rsidRPr="00025BBE" w14:paraId="0E512CD0" w14:textId="77777777" w:rsidTr="00A26BFF">
        <w:trPr>
          <w:trHeight w:val="380"/>
        </w:trPr>
        <w:tc>
          <w:tcPr>
            <w:tcW w:w="2238" w:type="dxa"/>
            <w:tcBorders>
              <w:top w:val="nil"/>
              <w:left w:val="single" w:sz="4" w:space="0" w:color="auto"/>
              <w:bottom w:val="single" w:sz="4" w:space="0" w:color="auto"/>
              <w:right w:val="single" w:sz="4" w:space="0" w:color="auto"/>
            </w:tcBorders>
            <w:shd w:val="clear" w:color="auto" w:fill="auto"/>
            <w:noWrap/>
            <w:vAlign w:val="center"/>
          </w:tcPr>
          <w:p w14:paraId="08835E8F" w14:textId="3286149B" w:rsidR="00413728" w:rsidRPr="00413728" w:rsidRDefault="00413728" w:rsidP="00413728">
            <w:pPr>
              <w:jc w:val="center"/>
              <w:rPr>
                <w:rFonts w:ascii="Calibri" w:eastAsiaTheme="minorEastAsia" w:hAnsi="Calibri"/>
                <w:color w:val="000000"/>
                <w:lang w:eastAsia="ko-KR"/>
              </w:rPr>
            </w:pPr>
            <w:r w:rsidRPr="00DF5555">
              <w:rPr>
                <w:rFonts w:ascii="Calibri" w:eastAsiaTheme="minorEastAsia" w:hAnsi="Calibri" w:hint="eastAsia"/>
                <w:noProof/>
                <w:color w:val="000000"/>
                <w:lang w:eastAsia="ko-KR"/>
              </w:rPr>
              <w:t>1</w:t>
            </w:r>
            <w:r w:rsidRPr="00DF5555">
              <w:rPr>
                <w:rFonts w:ascii="Calibri" w:eastAsiaTheme="minorEastAsia" w:hAnsi="Calibri"/>
                <w:noProof/>
                <w:color w:val="000000"/>
                <w:lang w:eastAsia="ko-KR"/>
              </w:rPr>
              <w:t>0</w:t>
            </w:r>
            <w:r>
              <w:rPr>
                <w:rFonts w:ascii="Calibri" w:eastAsiaTheme="minorEastAsia" w:hAnsi="Calibri"/>
                <w:color w:val="000000"/>
                <w:lang w:eastAsia="ko-KR"/>
              </w:rPr>
              <w:t xml:space="preserve"> days</w:t>
            </w:r>
          </w:p>
        </w:tc>
        <w:tc>
          <w:tcPr>
            <w:tcW w:w="2238" w:type="dxa"/>
            <w:vMerge/>
            <w:tcBorders>
              <w:left w:val="nil"/>
              <w:right w:val="single" w:sz="4" w:space="0" w:color="auto"/>
            </w:tcBorders>
            <w:shd w:val="clear" w:color="auto" w:fill="auto"/>
            <w:noWrap/>
            <w:vAlign w:val="center"/>
          </w:tcPr>
          <w:p w14:paraId="32CF4ADF" w14:textId="0CD55B6E" w:rsidR="00413728" w:rsidRPr="00413728" w:rsidRDefault="00413728" w:rsidP="00413728">
            <w:pPr>
              <w:jc w:val="center"/>
              <w:rPr>
                <w:rFonts w:ascii="Calibri" w:eastAsiaTheme="minorEastAsia" w:hAnsi="Calibri"/>
                <w:color w:val="000000"/>
                <w:lang w:eastAsia="ko-KR"/>
              </w:rPr>
            </w:pPr>
          </w:p>
        </w:tc>
        <w:tc>
          <w:tcPr>
            <w:tcW w:w="2238" w:type="dxa"/>
            <w:tcBorders>
              <w:top w:val="nil"/>
              <w:left w:val="nil"/>
              <w:bottom w:val="single" w:sz="4" w:space="0" w:color="auto"/>
              <w:right w:val="single" w:sz="4" w:space="0" w:color="auto"/>
            </w:tcBorders>
            <w:shd w:val="clear" w:color="auto" w:fill="auto"/>
            <w:noWrap/>
            <w:vAlign w:val="center"/>
          </w:tcPr>
          <w:p w14:paraId="55782C52" w14:textId="6EE47D91" w:rsidR="00413728" w:rsidRPr="00413728" w:rsidRDefault="00413728" w:rsidP="00413728">
            <w:pPr>
              <w:jc w:val="center"/>
              <w:rPr>
                <w:rFonts w:ascii="Calibri" w:eastAsiaTheme="minorEastAsia" w:hAnsi="Calibri"/>
                <w:color w:val="000000"/>
                <w:lang w:eastAsia="ko-KR"/>
              </w:rPr>
            </w:pPr>
            <w:r>
              <w:rPr>
                <w:rFonts w:ascii="Calibri" w:eastAsiaTheme="minorEastAsia" w:hAnsi="Calibri"/>
                <w:color w:val="000000"/>
                <w:lang w:eastAsia="ko-KR"/>
              </w:rPr>
              <w:t>27,153</w:t>
            </w:r>
          </w:p>
        </w:tc>
        <w:tc>
          <w:tcPr>
            <w:tcW w:w="2238" w:type="dxa"/>
            <w:tcBorders>
              <w:top w:val="nil"/>
              <w:left w:val="nil"/>
              <w:bottom w:val="single" w:sz="4" w:space="0" w:color="auto"/>
              <w:right w:val="single" w:sz="4" w:space="0" w:color="auto"/>
            </w:tcBorders>
            <w:shd w:val="clear" w:color="auto" w:fill="auto"/>
            <w:noWrap/>
            <w:vAlign w:val="center"/>
          </w:tcPr>
          <w:p w14:paraId="7E49216C" w14:textId="032A8A66" w:rsidR="00413728" w:rsidRPr="00426EBD" w:rsidRDefault="00413728" w:rsidP="00413728">
            <w:pPr>
              <w:jc w:val="center"/>
              <w:rPr>
                <w:rFonts w:ascii="Calibri" w:eastAsiaTheme="minorEastAsia" w:hAnsi="Calibri"/>
                <w:b/>
                <w:color w:val="000000"/>
                <w:lang w:eastAsia="ko-KR"/>
              </w:rPr>
            </w:pPr>
            <w:r w:rsidRPr="00426EBD">
              <w:rPr>
                <w:rFonts w:ascii="Calibri" w:eastAsiaTheme="minorEastAsia" w:hAnsi="Calibri" w:hint="eastAsia"/>
                <w:b/>
                <w:color w:val="000000"/>
                <w:lang w:eastAsia="ko-KR"/>
              </w:rPr>
              <w:t>2</w:t>
            </w:r>
            <w:r w:rsidRPr="00426EBD">
              <w:rPr>
                <w:rFonts w:ascii="Calibri" w:eastAsiaTheme="minorEastAsia" w:hAnsi="Calibri"/>
                <w:b/>
                <w:color w:val="000000"/>
                <w:lang w:eastAsia="ko-KR"/>
              </w:rPr>
              <w:t>.66%</w:t>
            </w:r>
          </w:p>
        </w:tc>
      </w:tr>
      <w:tr w:rsidR="00413728" w:rsidRPr="00025BBE" w14:paraId="498F8C22" w14:textId="77777777" w:rsidTr="00A26BFF">
        <w:trPr>
          <w:trHeight w:val="380"/>
        </w:trPr>
        <w:tc>
          <w:tcPr>
            <w:tcW w:w="2238" w:type="dxa"/>
            <w:tcBorders>
              <w:top w:val="nil"/>
              <w:left w:val="single" w:sz="4" w:space="0" w:color="auto"/>
              <w:bottom w:val="single" w:sz="4" w:space="0" w:color="auto"/>
              <w:right w:val="single" w:sz="4" w:space="0" w:color="auto"/>
            </w:tcBorders>
            <w:shd w:val="clear" w:color="auto" w:fill="auto"/>
            <w:noWrap/>
            <w:vAlign w:val="center"/>
          </w:tcPr>
          <w:p w14:paraId="5B30E65A" w14:textId="479BB179" w:rsidR="00413728" w:rsidRPr="00413728" w:rsidRDefault="00413728" w:rsidP="00413728">
            <w:pPr>
              <w:jc w:val="center"/>
              <w:rPr>
                <w:rFonts w:ascii="Calibri" w:eastAsiaTheme="minorEastAsia" w:hAnsi="Calibri"/>
                <w:color w:val="000000"/>
                <w:lang w:eastAsia="ko-KR"/>
              </w:rPr>
            </w:pPr>
            <w:r>
              <w:rPr>
                <w:rFonts w:ascii="Calibri" w:eastAsiaTheme="minorEastAsia" w:hAnsi="Calibri" w:hint="eastAsia"/>
                <w:color w:val="000000"/>
                <w:lang w:eastAsia="ko-KR"/>
              </w:rPr>
              <w:t>1</w:t>
            </w:r>
            <w:r>
              <w:rPr>
                <w:rFonts w:ascii="Calibri" w:eastAsiaTheme="minorEastAsia" w:hAnsi="Calibri"/>
                <w:color w:val="000000"/>
                <w:lang w:eastAsia="ko-KR"/>
              </w:rPr>
              <w:t>4 days</w:t>
            </w:r>
          </w:p>
        </w:tc>
        <w:tc>
          <w:tcPr>
            <w:tcW w:w="2238" w:type="dxa"/>
            <w:vMerge/>
            <w:tcBorders>
              <w:left w:val="nil"/>
              <w:bottom w:val="single" w:sz="4" w:space="0" w:color="auto"/>
              <w:right w:val="single" w:sz="4" w:space="0" w:color="auto"/>
            </w:tcBorders>
            <w:shd w:val="clear" w:color="auto" w:fill="auto"/>
            <w:noWrap/>
            <w:vAlign w:val="center"/>
          </w:tcPr>
          <w:p w14:paraId="7E01ECC6" w14:textId="4EAA38D2" w:rsidR="00413728" w:rsidRPr="00413728" w:rsidRDefault="00413728" w:rsidP="00413728">
            <w:pPr>
              <w:jc w:val="center"/>
              <w:rPr>
                <w:rFonts w:ascii="Calibri" w:eastAsiaTheme="minorEastAsia" w:hAnsi="Calibri"/>
                <w:color w:val="000000"/>
                <w:lang w:eastAsia="ko-KR"/>
              </w:rPr>
            </w:pPr>
          </w:p>
        </w:tc>
        <w:tc>
          <w:tcPr>
            <w:tcW w:w="2238" w:type="dxa"/>
            <w:tcBorders>
              <w:top w:val="nil"/>
              <w:left w:val="nil"/>
              <w:bottom w:val="single" w:sz="4" w:space="0" w:color="auto"/>
              <w:right w:val="single" w:sz="4" w:space="0" w:color="auto"/>
            </w:tcBorders>
            <w:shd w:val="clear" w:color="auto" w:fill="auto"/>
            <w:noWrap/>
            <w:vAlign w:val="center"/>
          </w:tcPr>
          <w:p w14:paraId="2AE55F38" w14:textId="4EB20D66" w:rsidR="00413728" w:rsidRPr="00413728" w:rsidRDefault="00413728" w:rsidP="00413728">
            <w:pPr>
              <w:jc w:val="center"/>
              <w:rPr>
                <w:rFonts w:ascii="Calibri" w:eastAsiaTheme="minorEastAsia" w:hAnsi="Calibri"/>
                <w:color w:val="000000"/>
                <w:lang w:eastAsia="ko-KR"/>
              </w:rPr>
            </w:pPr>
            <w:r>
              <w:rPr>
                <w:rFonts w:ascii="Calibri" w:eastAsiaTheme="minorEastAsia" w:hAnsi="Calibri" w:hint="eastAsia"/>
                <w:color w:val="000000"/>
                <w:lang w:eastAsia="ko-KR"/>
              </w:rPr>
              <w:t>3</w:t>
            </w:r>
            <w:r>
              <w:rPr>
                <w:rFonts w:ascii="Calibri" w:eastAsiaTheme="minorEastAsia" w:hAnsi="Calibri"/>
                <w:color w:val="000000"/>
                <w:lang w:eastAsia="ko-KR"/>
              </w:rPr>
              <w:t>8,080</w:t>
            </w:r>
          </w:p>
        </w:tc>
        <w:tc>
          <w:tcPr>
            <w:tcW w:w="2238" w:type="dxa"/>
            <w:tcBorders>
              <w:top w:val="nil"/>
              <w:left w:val="nil"/>
              <w:bottom w:val="single" w:sz="4" w:space="0" w:color="auto"/>
              <w:right w:val="single" w:sz="4" w:space="0" w:color="auto"/>
            </w:tcBorders>
            <w:shd w:val="clear" w:color="auto" w:fill="auto"/>
            <w:noWrap/>
            <w:vAlign w:val="center"/>
          </w:tcPr>
          <w:p w14:paraId="3C82A16A" w14:textId="73E7AAA6" w:rsidR="00413728" w:rsidRPr="00426EBD" w:rsidRDefault="00413728" w:rsidP="00413728">
            <w:pPr>
              <w:jc w:val="center"/>
              <w:rPr>
                <w:rFonts w:ascii="Calibri" w:eastAsiaTheme="minorEastAsia" w:hAnsi="Calibri"/>
                <w:b/>
                <w:color w:val="000000"/>
                <w:lang w:eastAsia="ko-KR"/>
              </w:rPr>
            </w:pPr>
            <w:r w:rsidRPr="00426EBD">
              <w:rPr>
                <w:rFonts w:ascii="Calibri" w:eastAsiaTheme="minorEastAsia" w:hAnsi="Calibri" w:hint="eastAsia"/>
                <w:b/>
                <w:color w:val="000000"/>
                <w:lang w:eastAsia="ko-KR"/>
              </w:rPr>
              <w:t>3</w:t>
            </w:r>
            <w:r w:rsidRPr="00426EBD">
              <w:rPr>
                <w:rFonts w:ascii="Calibri" w:eastAsiaTheme="minorEastAsia" w:hAnsi="Calibri"/>
                <w:b/>
                <w:color w:val="000000"/>
                <w:lang w:eastAsia="ko-KR"/>
              </w:rPr>
              <w:t>.73%</w:t>
            </w:r>
          </w:p>
        </w:tc>
      </w:tr>
    </w:tbl>
    <w:p w14:paraId="22FFE39F" w14:textId="77777777" w:rsidR="00413728" w:rsidRPr="00025BBE" w:rsidRDefault="00413728" w:rsidP="00413728">
      <w:pPr>
        <w:rPr>
          <w:rFonts w:ascii="Calibri" w:hAnsi="Calibri"/>
          <w:lang w:val="en-US"/>
        </w:rPr>
      </w:pPr>
    </w:p>
    <w:p w14:paraId="48912CF4" w14:textId="3856D3DE" w:rsidR="00413728" w:rsidRPr="00025BBE" w:rsidRDefault="00413728" w:rsidP="00413728">
      <w:pPr>
        <w:rPr>
          <w:rFonts w:ascii="Calibri" w:hAnsi="Calibri"/>
          <w:b/>
          <w:lang w:val="en-US"/>
        </w:rPr>
      </w:pPr>
      <w:r>
        <w:rPr>
          <w:rFonts w:ascii="Calibri" w:hAnsi="Calibri"/>
          <w:b/>
          <w:lang w:val="en-US"/>
        </w:rPr>
        <w:t>Email Response</w:t>
      </w:r>
    </w:p>
    <w:tbl>
      <w:tblPr>
        <w:tblW w:w="8952" w:type="dxa"/>
        <w:tblLayout w:type="fixed"/>
        <w:tblLook w:val="04A0" w:firstRow="1" w:lastRow="0" w:firstColumn="1" w:lastColumn="0" w:noHBand="0" w:noVBand="1"/>
      </w:tblPr>
      <w:tblGrid>
        <w:gridCol w:w="2238"/>
        <w:gridCol w:w="2238"/>
        <w:gridCol w:w="2238"/>
        <w:gridCol w:w="2238"/>
      </w:tblGrid>
      <w:tr w:rsidR="00413728" w:rsidRPr="00025BBE" w14:paraId="5076C024" w14:textId="77777777" w:rsidTr="009171B8">
        <w:trPr>
          <w:trHeight w:val="380"/>
        </w:trPr>
        <w:tc>
          <w:tcPr>
            <w:tcW w:w="2238" w:type="dxa"/>
            <w:tcBorders>
              <w:top w:val="single" w:sz="4" w:space="0" w:color="auto"/>
              <w:left w:val="single" w:sz="4" w:space="0" w:color="auto"/>
              <w:bottom w:val="single" w:sz="4" w:space="0" w:color="auto"/>
              <w:right w:val="single" w:sz="4" w:space="0" w:color="auto"/>
            </w:tcBorders>
            <w:shd w:val="clear" w:color="000000" w:fill="B4C6E7"/>
            <w:noWrap/>
            <w:vAlign w:val="center"/>
          </w:tcPr>
          <w:p w14:paraId="04767758" w14:textId="77777777" w:rsidR="00413728" w:rsidRPr="00413728" w:rsidRDefault="00413728" w:rsidP="009171B8">
            <w:pPr>
              <w:jc w:val="center"/>
              <w:rPr>
                <w:rFonts w:ascii="Calibri" w:eastAsiaTheme="minorEastAsia" w:hAnsi="Calibri"/>
                <w:b/>
                <w:bCs/>
                <w:color w:val="000000"/>
                <w:lang w:eastAsia="ko-KR"/>
              </w:rPr>
            </w:pPr>
            <w:r>
              <w:rPr>
                <w:rFonts w:ascii="Calibri" w:eastAsiaTheme="minorEastAsia" w:hAnsi="Calibri" w:hint="eastAsia"/>
                <w:b/>
                <w:bCs/>
                <w:color w:val="000000"/>
                <w:lang w:eastAsia="ko-KR"/>
              </w:rPr>
              <w:t>D</w:t>
            </w:r>
            <w:r>
              <w:rPr>
                <w:rFonts w:ascii="Calibri" w:eastAsiaTheme="minorEastAsia" w:hAnsi="Calibri"/>
                <w:b/>
                <w:bCs/>
                <w:color w:val="000000"/>
                <w:lang w:eastAsia="ko-KR"/>
              </w:rPr>
              <w:t>ate difference</w:t>
            </w:r>
          </w:p>
        </w:tc>
        <w:tc>
          <w:tcPr>
            <w:tcW w:w="2238" w:type="dxa"/>
            <w:tcBorders>
              <w:top w:val="single" w:sz="4" w:space="0" w:color="auto"/>
              <w:left w:val="nil"/>
              <w:bottom w:val="single" w:sz="4" w:space="0" w:color="auto"/>
              <w:right w:val="single" w:sz="4" w:space="0" w:color="auto"/>
            </w:tcBorders>
            <w:shd w:val="clear" w:color="000000" w:fill="B4C6E7"/>
            <w:noWrap/>
            <w:vAlign w:val="center"/>
          </w:tcPr>
          <w:p w14:paraId="4FCD1142" w14:textId="07AA29AB" w:rsidR="00413728" w:rsidRPr="00413728" w:rsidRDefault="00413728" w:rsidP="009171B8">
            <w:pPr>
              <w:jc w:val="center"/>
              <w:rPr>
                <w:rFonts w:ascii="Calibri" w:eastAsiaTheme="minorEastAsia" w:hAnsi="Calibri"/>
                <w:b/>
                <w:bCs/>
                <w:color w:val="000000"/>
                <w:lang w:eastAsia="ko-KR"/>
              </w:rPr>
            </w:pPr>
            <w:r>
              <w:rPr>
                <w:rFonts w:ascii="Calibri" w:eastAsiaTheme="minorEastAsia" w:hAnsi="Calibri"/>
                <w:b/>
                <w:bCs/>
                <w:color w:val="000000"/>
                <w:lang w:eastAsia="ko-KR"/>
              </w:rPr>
              <w:t xml:space="preserve">Total </w:t>
            </w:r>
            <w:r w:rsidR="00426EBD">
              <w:rPr>
                <w:rFonts w:ascii="Calibri" w:eastAsiaTheme="minorEastAsia" w:hAnsi="Calibri"/>
                <w:b/>
                <w:bCs/>
                <w:color w:val="000000"/>
                <w:lang w:eastAsia="ko-KR"/>
              </w:rPr>
              <w:t>Email</w:t>
            </w:r>
          </w:p>
        </w:tc>
        <w:tc>
          <w:tcPr>
            <w:tcW w:w="2238" w:type="dxa"/>
            <w:tcBorders>
              <w:top w:val="single" w:sz="4" w:space="0" w:color="auto"/>
              <w:left w:val="nil"/>
              <w:bottom w:val="single" w:sz="4" w:space="0" w:color="auto"/>
              <w:right w:val="single" w:sz="4" w:space="0" w:color="auto"/>
            </w:tcBorders>
            <w:shd w:val="clear" w:color="000000" w:fill="B4C6E7"/>
            <w:noWrap/>
            <w:vAlign w:val="center"/>
          </w:tcPr>
          <w:p w14:paraId="091BE3DA" w14:textId="686AC36B" w:rsidR="00413728" w:rsidRPr="00413728" w:rsidRDefault="00413728" w:rsidP="009171B8">
            <w:pPr>
              <w:jc w:val="center"/>
              <w:rPr>
                <w:rFonts w:ascii="Calibri" w:eastAsiaTheme="minorEastAsia" w:hAnsi="Calibri"/>
                <w:b/>
                <w:bCs/>
                <w:color w:val="000000"/>
                <w:lang w:eastAsia="ko-KR"/>
              </w:rPr>
            </w:pPr>
            <w:r>
              <w:rPr>
                <w:rFonts w:ascii="Calibri" w:eastAsiaTheme="minorEastAsia" w:hAnsi="Calibri" w:hint="eastAsia"/>
                <w:b/>
                <w:bCs/>
                <w:color w:val="000000"/>
                <w:lang w:eastAsia="ko-KR"/>
              </w:rPr>
              <w:t>R</w:t>
            </w:r>
            <w:r>
              <w:rPr>
                <w:rFonts w:ascii="Calibri" w:eastAsiaTheme="minorEastAsia" w:hAnsi="Calibri"/>
                <w:b/>
                <w:bCs/>
                <w:color w:val="000000"/>
                <w:lang w:eastAsia="ko-KR"/>
              </w:rPr>
              <w:t xml:space="preserve">esponded </w:t>
            </w:r>
            <w:r w:rsidR="00426EBD">
              <w:rPr>
                <w:rFonts w:ascii="Calibri" w:eastAsiaTheme="minorEastAsia" w:hAnsi="Calibri"/>
                <w:b/>
                <w:bCs/>
                <w:color w:val="000000"/>
                <w:lang w:eastAsia="ko-KR"/>
              </w:rPr>
              <w:t>Email</w:t>
            </w:r>
          </w:p>
        </w:tc>
        <w:tc>
          <w:tcPr>
            <w:tcW w:w="2238" w:type="dxa"/>
            <w:tcBorders>
              <w:top w:val="single" w:sz="4" w:space="0" w:color="auto"/>
              <w:left w:val="nil"/>
              <w:bottom w:val="single" w:sz="4" w:space="0" w:color="auto"/>
              <w:right w:val="single" w:sz="4" w:space="0" w:color="auto"/>
            </w:tcBorders>
            <w:shd w:val="clear" w:color="000000" w:fill="B4C6E7"/>
            <w:noWrap/>
            <w:vAlign w:val="center"/>
          </w:tcPr>
          <w:p w14:paraId="0E00D1A1" w14:textId="77777777" w:rsidR="00413728" w:rsidRPr="00413728" w:rsidRDefault="00413728" w:rsidP="009171B8">
            <w:pPr>
              <w:jc w:val="center"/>
              <w:rPr>
                <w:rFonts w:ascii="Calibri" w:eastAsiaTheme="minorEastAsia" w:hAnsi="Calibri"/>
                <w:b/>
                <w:bCs/>
                <w:color w:val="000000"/>
                <w:lang w:eastAsia="ko-KR"/>
              </w:rPr>
            </w:pPr>
            <w:r>
              <w:rPr>
                <w:rFonts w:ascii="Calibri" w:eastAsiaTheme="minorEastAsia" w:hAnsi="Calibri" w:hint="eastAsia"/>
                <w:b/>
                <w:bCs/>
                <w:color w:val="000000"/>
                <w:lang w:eastAsia="ko-KR"/>
              </w:rPr>
              <w:t>R</w:t>
            </w:r>
            <w:r>
              <w:rPr>
                <w:rFonts w:ascii="Calibri" w:eastAsiaTheme="minorEastAsia" w:hAnsi="Calibri"/>
                <w:b/>
                <w:bCs/>
                <w:color w:val="000000"/>
                <w:lang w:eastAsia="ko-KR"/>
              </w:rPr>
              <w:t>esponse Rate</w:t>
            </w:r>
          </w:p>
        </w:tc>
      </w:tr>
      <w:tr w:rsidR="00413728" w:rsidRPr="00025BBE" w14:paraId="300BF17C" w14:textId="77777777" w:rsidTr="0025317A">
        <w:trPr>
          <w:trHeight w:val="380"/>
        </w:trPr>
        <w:tc>
          <w:tcPr>
            <w:tcW w:w="2238" w:type="dxa"/>
            <w:tcBorders>
              <w:top w:val="nil"/>
              <w:left w:val="single" w:sz="4" w:space="0" w:color="auto"/>
              <w:bottom w:val="single" w:sz="4" w:space="0" w:color="auto"/>
              <w:right w:val="single" w:sz="4" w:space="0" w:color="auto"/>
            </w:tcBorders>
            <w:shd w:val="clear" w:color="auto" w:fill="auto"/>
            <w:noWrap/>
            <w:vAlign w:val="center"/>
          </w:tcPr>
          <w:p w14:paraId="76B5F6D2" w14:textId="77777777" w:rsidR="00413728" w:rsidRPr="00413728" w:rsidRDefault="00413728" w:rsidP="009171B8">
            <w:pPr>
              <w:jc w:val="center"/>
              <w:rPr>
                <w:rFonts w:ascii="Calibri" w:eastAsiaTheme="minorEastAsia" w:hAnsi="Calibri"/>
                <w:color w:val="000000"/>
                <w:lang w:eastAsia="ko-KR"/>
              </w:rPr>
            </w:pPr>
            <w:r>
              <w:rPr>
                <w:rFonts w:ascii="Calibri" w:eastAsiaTheme="minorEastAsia" w:hAnsi="Calibri" w:hint="eastAsia"/>
                <w:color w:val="000000"/>
                <w:lang w:eastAsia="ko-KR"/>
              </w:rPr>
              <w:t>7</w:t>
            </w:r>
            <w:r>
              <w:rPr>
                <w:rFonts w:ascii="Calibri" w:eastAsiaTheme="minorEastAsia" w:hAnsi="Calibri"/>
                <w:color w:val="000000"/>
                <w:lang w:eastAsia="ko-KR"/>
              </w:rPr>
              <w:t xml:space="preserve"> days</w:t>
            </w:r>
          </w:p>
        </w:tc>
        <w:tc>
          <w:tcPr>
            <w:tcW w:w="2238" w:type="dxa"/>
            <w:vMerge w:val="restart"/>
            <w:tcBorders>
              <w:top w:val="nil"/>
              <w:left w:val="nil"/>
              <w:right w:val="single" w:sz="4" w:space="0" w:color="auto"/>
            </w:tcBorders>
            <w:shd w:val="clear" w:color="auto" w:fill="auto"/>
            <w:noWrap/>
            <w:vAlign w:val="center"/>
          </w:tcPr>
          <w:p w14:paraId="3DCADD03" w14:textId="098366B7" w:rsidR="00413728" w:rsidRPr="00413728" w:rsidRDefault="00413728" w:rsidP="009171B8">
            <w:pPr>
              <w:jc w:val="center"/>
              <w:rPr>
                <w:rFonts w:ascii="Calibri" w:eastAsiaTheme="minorEastAsia" w:hAnsi="Calibri"/>
                <w:color w:val="000000"/>
                <w:lang w:eastAsia="ko-KR"/>
              </w:rPr>
            </w:pPr>
            <w:r>
              <w:rPr>
                <w:rFonts w:ascii="Calibri" w:eastAsiaTheme="minorEastAsia" w:hAnsi="Calibri"/>
                <w:color w:val="000000"/>
                <w:lang w:eastAsia="ko-KR"/>
              </w:rPr>
              <w:t>2</w:t>
            </w:r>
            <w:r w:rsidR="00426EBD">
              <w:rPr>
                <w:rFonts w:ascii="Calibri" w:eastAsiaTheme="minorEastAsia" w:hAnsi="Calibri"/>
                <w:color w:val="000000"/>
                <w:lang w:eastAsia="ko-KR"/>
              </w:rPr>
              <w:t>,</w:t>
            </w:r>
            <w:r>
              <w:rPr>
                <w:rFonts w:ascii="Calibri" w:eastAsiaTheme="minorEastAsia" w:hAnsi="Calibri"/>
                <w:color w:val="000000"/>
                <w:lang w:eastAsia="ko-KR"/>
              </w:rPr>
              <w:t>368</w:t>
            </w:r>
            <w:r w:rsidR="00426EBD">
              <w:rPr>
                <w:rFonts w:ascii="Calibri" w:eastAsiaTheme="minorEastAsia" w:hAnsi="Calibri"/>
                <w:color w:val="000000"/>
                <w:lang w:eastAsia="ko-KR"/>
              </w:rPr>
              <w:t>,</w:t>
            </w:r>
            <w:r>
              <w:rPr>
                <w:rFonts w:ascii="Calibri" w:eastAsiaTheme="minorEastAsia" w:hAnsi="Calibri"/>
                <w:color w:val="000000"/>
                <w:lang w:eastAsia="ko-KR"/>
              </w:rPr>
              <w:t>315</w:t>
            </w:r>
          </w:p>
        </w:tc>
        <w:tc>
          <w:tcPr>
            <w:tcW w:w="2238" w:type="dxa"/>
            <w:tcBorders>
              <w:top w:val="nil"/>
              <w:left w:val="nil"/>
              <w:bottom w:val="single" w:sz="4" w:space="0" w:color="auto"/>
              <w:right w:val="single" w:sz="4" w:space="0" w:color="auto"/>
            </w:tcBorders>
            <w:shd w:val="clear" w:color="auto" w:fill="auto"/>
            <w:noWrap/>
            <w:vAlign w:val="center"/>
          </w:tcPr>
          <w:p w14:paraId="2A8D8658" w14:textId="77FF4EC2" w:rsidR="00413728" w:rsidRPr="00413728" w:rsidRDefault="00413728" w:rsidP="009171B8">
            <w:pPr>
              <w:jc w:val="center"/>
              <w:rPr>
                <w:rFonts w:ascii="Calibri" w:eastAsiaTheme="minorEastAsia" w:hAnsi="Calibri"/>
                <w:color w:val="000000"/>
                <w:lang w:eastAsia="ko-KR"/>
              </w:rPr>
            </w:pPr>
            <w:r>
              <w:rPr>
                <w:rFonts w:ascii="Calibri" w:eastAsiaTheme="minorEastAsia" w:hAnsi="Calibri" w:hint="eastAsia"/>
                <w:color w:val="000000"/>
                <w:lang w:eastAsia="ko-KR"/>
              </w:rPr>
              <w:t>4</w:t>
            </w:r>
            <w:r w:rsidR="00426EBD">
              <w:rPr>
                <w:rFonts w:ascii="Calibri" w:eastAsiaTheme="minorEastAsia" w:hAnsi="Calibri"/>
                <w:color w:val="000000"/>
                <w:lang w:eastAsia="ko-KR"/>
              </w:rPr>
              <w:t>6,142</w:t>
            </w:r>
          </w:p>
        </w:tc>
        <w:tc>
          <w:tcPr>
            <w:tcW w:w="2238" w:type="dxa"/>
            <w:tcBorders>
              <w:top w:val="nil"/>
              <w:left w:val="nil"/>
              <w:bottom w:val="single" w:sz="4" w:space="0" w:color="auto"/>
              <w:right w:val="single" w:sz="4" w:space="0" w:color="auto"/>
            </w:tcBorders>
            <w:shd w:val="clear" w:color="auto" w:fill="auto"/>
            <w:noWrap/>
            <w:vAlign w:val="center"/>
          </w:tcPr>
          <w:p w14:paraId="1267B809" w14:textId="31E5087E" w:rsidR="00413728" w:rsidRPr="00426EBD" w:rsidRDefault="00426EBD" w:rsidP="009171B8">
            <w:pPr>
              <w:jc w:val="center"/>
              <w:rPr>
                <w:rFonts w:ascii="Calibri" w:eastAsiaTheme="minorEastAsia" w:hAnsi="Calibri"/>
                <w:b/>
                <w:color w:val="000000"/>
                <w:lang w:eastAsia="ko-KR"/>
              </w:rPr>
            </w:pPr>
            <w:r w:rsidRPr="00426EBD">
              <w:rPr>
                <w:rFonts w:ascii="Calibri" w:eastAsiaTheme="minorEastAsia" w:hAnsi="Calibri" w:hint="eastAsia"/>
                <w:b/>
                <w:color w:val="000000"/>
                <w:lang w:eastAsia="ko-KR"/>
              </w:rPr>
              <w:t>1</w:t>
            </w:r>
            <w:r w:rsidRPr="00426EBD">
              <w:rPr>
                <w:rFonts w:ascii="Calibri" w:eastAsiaTheme="minorEastAsia" w:hAnsi="Calibri"/>
                <w:b/>
                <w:color w:val="000000"/>
                <w:lang w:eastAsia="ko-KR"/>
              </w:rPr>
              <w:t>.95%</w:t>
            </w:r>
          </w:p>
        </w:tc>
      </w:tr>
      <w:tr w:rsidR="00413728" w:rsidRPr="00025BBE" w14:paraId="211B2BAB" w14:textId="77777777" w:rsidTr="0025317A">
        <w:trPr>
          <w:trHeight w:val="380"/>
        </w:trPr>
        <w:tc>
          <w:tcPr>
            <w:tcW w:w="2238" w:type="dxa"/>
            <w:tcBorders>
              <w:top w:val="nil"/>
              <w:left w:val="single" w:sz="4" w:space="0" w:color="auto"/>
              <w:bottom w:val="single" w:sz="4" w:space="0" w:color="auto"/>
              <w:right w:val="single" w:sz="4" w:space="0" w:color="auto"/>
            </w:tcBorders>
            <w:shd w:val="clear" w:color="auto" w:fill="auto"/>
            <w:noWrap/>
            <w:vAlign w:val="center"/>
          </w:tcPr>
          <w:p w14:paraId="553BEF12" w14:textId="77777777" w:rsidR="00413728" w:rsidRPr="00413728" w:rsidRDefault="00413728" w:rsidP="009171B8">
            <w:pPr>
              <w:jc w:val="center"/>
              <w:rPr>
                <w:rFonts w:ascii="Calibri" w:eastAsiaTheme="minorEastAsia" w:hAnsi="Calibri"/>
                <w:color w:val="000000"/>
                <w:lang w:eastAsia="ko-KR"/>
              </w:rPr>
            </w:pPr>
            <w:r w:rsidRPr="00DF5555">
              <w:rPr>
                <w:rFonts w:ascii="Calibri" w:eastAsiaTheme="minorEastAsia" w:hAnsi="Calibri" w:hint="eastAsia"/>
                <w:noProof/>
                <w:color w:val="000000"/>
                <w:lang w:eastAsia="ko-KR"/>
              </w:rPr>
              <w:t>1</w:t>
            </w:r>
            <w:r w:rsidRPr="00DF5555">
              <w:rPr>
                <w:rFonts w:ascii="Calibri" w:eastAsiaTheme="minorEastAsia" w:hAnsi="Calibri"/>
                <w:noProof/>
                <w:color w:val="000000"/>
                <w:lang w:eastAsia="ko-KR"/>
              </w:rPr>
              <w:t>0</w:t>
            </w:r>
            <w:r>
              <w:rPr>
                <w:rFonts w:ascii="Calibri" w:eastAsiaTheme="minorEastAsia" w:hAnsi="Calibri"/>
                <w:color w:val="000000"/>
                <w:lang w:eastAsia="ko-KR"/>
              </w:rPr>
              <w:t xml:space="preserve"> days</w:t>
            </w:r>
          </w:p>
        </w:tc>
        <w:tc>
          <w:tcPr>
            <w:tcW w:w="2238" w:type="dxa"/>
            <w:vMerge/>
            <w:tcBorders>
              <w:left w:val="nil"/>
              <w:right w:val="single" w:sz="4" w:space="0" w:color="auto"/>
            </w:tcBorders>
            <w:shd w:val="clear" w:color="auto" w:fill="auto"/>
            <w:noWrap/>
            <w:vAlign w:val="center"/>
          </w:tcPr>
          <w:p w14:paraId="774F7B40" w14:textId="77777777" w:rsidR="00413728" w:rsidRPr="007A0BE6" w:rsidRDefault="00413728" w:rsidP="009171B8">
            <w:pPr>
              <w:jc w:val="center"/>
              <w:rPr>
                <w:rFonts w:ascii="Calibri" w:eastAsia="Times New Roman" w:hAnsi="Calibri"/>
                <w:color w:val="000000"/>
              </w:rPr>
            </w:pPr>
          </w:p>
        </w:tc>
        <w:tc>
          <w:tcPr>
            <w:tcW w:w="2238" w:type="dxa"/>
            <w:tcBorders>
              <w:top w:val="nil"/>
              <w:left w:val="nil"/>
              <w:bottom w:val="single" w:sz="4" w:space="0" w:color="auto"/>
              <w:right w:val="single" w:sz="4" w:space="0" w:color="auto"/>
            </w:tcBorders>
            <w:shd w:val="clear" w:color="auto" w:fill="auto"/>
            <w:noWrap/>
            <w:vAlign w:val="center"/>
          </w:tcPr>
          <w:p w14:paraId="3F382DCD" w14:textId="187D6E14" w:rsidR="00413728" w:rsidRPr="00426EBD" w:rsidRDefault="00426EBD" w:rsidP="009171B8">
            <w:pPr>
              <w:jc w:val="center"/>
              <w:rPr>
                <w:rFonts w:ascii="Calibri" w:eastAsiaTheme="minorEastAsia" w:hAnsi="Calibri"/>
                <w:color w:val="000000"/>
                <w:lang w:eastAsia="ko-KR"/>
              </w:rPr>
            </w:pPr>
            <w:r>
              <w:rPr>
                <w:rFonts w:ascii="Calibri" w:eastAsiaTheme="minorEastAsia" w:hAnsi="Calibri" w:hint="eastAsia"/>
                <w:color w:val="000000"/>
                <w:lang w:eastAsia="ko-KR"/>
              </w:rPr>
              <w:t>6</w:t>
            </w:r>
            <w:r>
              <w:rPr>
                <w:rFonts w:ascii="Calibri" w:eastAsiaTheme="minorEastAsia" w:hAnsi="Calibri"/>
                <w:color w:val="000000"/>
                <w:lang w:eastAsia="ko-KR"/>
              </w:rPr>
              <w:t>1,145</w:t>
            </w:r>
          </w:p>
        </w:tc>
        <w:tc>
          <w:tcPr>
            <w:tcW w:w="2238" w:type="dxa"/>
            <w:tcBorders>
              <w:top w:val="nil"/>
              <w:left w:val="nil"/>
              <w:bottom w:val="single" w:sz="4" w:space="0" w:color="auto"/>
              <w:right w:val="single" w:sz="4" w:space="0" w:color="auto"/>
            </w:tcBorders>
            <w:shd w:val="clear" w:color="auto" w:fill="auto"/>
            <w:noWrap/>
            <w:vAlign w:val="center"/>
          </w:tcPr>
          <w:p w14:paraId="6941EC82" w14:textId="67CF4834" w:rsidR="00413728" w:rsidRPr="00426EBD" w:rsidRDefault="00426EBD" w:rsidP="009171B8">
            <w:pPr>
              <w:jc w:val="center"/>
              <w:rPr>
                <w:rFonts w:ascii="Calibri" w:eastAsiaTheme="minorEastAsia" w:hAnsi="Calibri"/>
                <w:b/>
                <w:color w:val="000000"/>
                <w:lang w:eastAsia="ko-KR"/>
              </w:rPr>
            </w:pPr>
            <w:r w:rsidRPr="00426EBD">
              <w:rPr>
                <w:rFonts w:ascii="Calibri" w:eastAsiaTheme="minorEastAsia" w:hAnsi="Calibri" w:hint="eastAsia"/>
                <w:b/>
                <w:color w:val="000000"/>
                <w:lang w:eastAsia="ko-KR"/>
              </w:rPr>
              <w:t>2</w:t>
            </w:r>
            <w:r w:rsidRPr="00426EBD">
              <w:rPr>
                <w:rFonts w:ascii="Calibri" w:eastAsiaTheme="minorEastAsia" w:hAnsi="Calibri"/>
                <w:b/>
                <w:color w:val="000000"/>
                <w:lang w:eastAsia="ko-KR"/>
              </w:rPr>
              <w:t>.58%</w:t>
            </w:r>
          </w:p>
        </w:tc>
      </w:tr>
      <w:tr w:rsidR="00413728" w:rsidRPr="00025BBE" w14:paraId="34500588" w14:textId="77777777" w:rsidTr="0025317A">
        <w:trPr>
          <w:trHeight w:val="380"/>
        </w:trPr>
        <w:tc>
          <w:tcPr>
            <w:tcW w:w="2238" w:type="dxa"/>
            <w:tcBorders>
              <w:top w:val="nil"/>
              <w:left w:val="single" w:sz="4" w:space="0" w:color="auto"/>
              <w:bottom w:val="single" w:sz="4" w:space="0" w:color="auto"/>
              <w:right w:val="single" w:sz="4" w:space="0" w:color="auto"/>
            </w:tcBorders>
            <w:shd w:val="clear" w:color="auto" w:fill="auto"/>
            <w:noWrap/>
            <w:vAlign w:val="center"/>
          </w:tcPr>
          <w:p w14:paraId="2A66FCF0" w14:textId="77777777" w:rsidR="00413728" w:rsidRPr="00413728" w:rsidRDefault="00413728" w:rsidP="009171B8">
            <w:pPr>
              <w:jc w:val="center"/>
              <w:rPr>
                <w:rFonts w:ascii="Calibri" w:eastAsiaTheme="minorEastAsia" w:hAnsi="Calibri"/>
                <w:color w:val="000000"/>
                <w:lang w:eastAsia="ko-KR"/>
              </w:rPr>
            </w:pPr>
            <w:r>
              <w:rPr>
                <w:rFonts w:ascii="Calibri" w:eastAsiaTheme="minorEastAsia" w:hAnsi="Calibri" w:hint="eastAsia"/>
                <w:color w:val="000000"/>
                <w:lang w:eastAsia="ko-KR"/>
              </w:rPr>
              <w:t>1</w:t>
            </w:r>
            <w:r>
              <w:rPr>
                <w:rFonts w:ascii="Calibri" w:eastAsiaTheme="minorEastAsia" w:hAnsi="Calibri"/>
                <w:color w:val="000000"/>
                <w:lang w:eastAsia="ko-KR"/>
              </w:rPr>
              <w:t>4 days</w:t>
            </w:r>
          </w:p>
        </w:tc>
        <w:tc>
          <w:tcPr>
            <w:tcW w:w="2238" w:type="dxa"/>
            <w:vMerge/>
            <w:tcBorders>
              <w:left w:val="nil"/>
              <w:bottom w:val="single" w:sz="4" w:space="0" w:color="auto"/>
              <w:right w:val="single" w:sz="4" w:space="0" w:color="auto"/>
            </w:tcBorders>
            <w:shd w:val="clear" w:color="auto" w:fill="auto"/>
            <w:noWrap/>
            <w:vAlign w:val="center"/>
          </w:tcPr>
          <w:p w14:paraId="4C025768" w14:textId="77777777" w:rsidR="00413728" w:rsidRPr="007A0BE6" w:rsidRDefault="00413728" w:rsidP="009171B8">
            <w:pPr>
              <w:jc w:val="center"/>
              <w:rPr>
                <w:rFonts w:ascii="Calibri" w:eastAsia="Times New Roman" w:hAnsi="Calibri"/>
                <w:color w:val="000000"/>
              </w:rPr>
            </w:pPr>
          </w:p>
        </w:tc>
        <w:tc>
          <w:tcPr>
            <w:tcW w:w="2238" w:type="dxa"/>
            <w:tcBorders>
              <w:top w:val="nil"/>
              <w:left w:val="nil"/>
              <w:bottom w:val="single" w:sz="4" w:space="0" w:color="auto"/>
              <w:right w:val="single" w:sz="4" w:space="0" w:color="auto"/>
            </w:tcBorders>
            <w:shd w:val="clear" w:color="auto" w:fill="auto"/>
            <w:noWrap/>
            <w:vAlign w:val="center"/>
          </w:tcPr>
          <w:p w14:paraId="10E010EB" w14:textId="1EF4A3A6" w:rsidR="00413728" w:rsidRPr="00426EBD" w:rsidRDefault="00426EBD" w:rsidP="009171B8">
            <w:pPr>
              <w:jc w:val="center"/>
              <w:rPr>
                <w:rFonts w:ascii="Calibri" w:eastAsiaTheme="minorEastAsia" w:hAnsi="Calibri"/>
                <w:color w:val="000000"/>
                <w:lang w:eastAsia="ko-KR"/>
              </w:rPr>
            </w:pPr>
            <w:r>
              <w:rPr>
                <w:rFonts w:ascii="Calibri" w:eastAsiaTheme="minorEastAsia" w:hAnsi="Calibri" w:hint="eastAsia"/>
                <w:color w:val="000000"/>
                <w:lang w:eastAsia="ko-KR"/>
              </w:rPr>
              <w:t>8</w:t>
            </w:r>
            <w:r>
              <w:rPr>
                <w:rFonts w:ascii="Calibri" w:eastAsiaTheme="minorEastAsia" w:hAnsi="Calibri"/>
                <w:color w:val="000000"/>
                <w:lang w:eastAsia="ko-KR"/>
              </w:rPr>
              <w:t>0,293</w:t>
            </w:r>
          </w:p>
        </w:tc>
        <w:tc>
          <w:tcPr>
            <w:tcW w:w="2238" w:type="dxa"/>
            <w:tcBorders>
              <w:top w:val="nil"/>
              <w:left w:val="nil"/>
              <w:bottom w:val="single" w:sz="4" w:space="0" w:color="auto"/>
              <w:right w:val="single" w:sz="4" w:space="0" w:color="auto"/>
            </w:tcBorders>
            <w:shd w:val="clear" w:color="auto" w:fill="auto"/>
            <w:noWrap/>
            <w:vAlign w:val="center"/>
          </w:tcPr>
          <w:p w14:paraId="7EF5BC91" w14:textId="1611E9CE" w:rsidR="00413728" w:rsidRPr="00426EBD" w:rsidRDefault="00426EBD" w:rsidP="009171B8">
            <w:pPr>
              <w:jc w:val="center"/>
              <w:rPr>
                <w:rFonts w:ascii="Calibri" w:eastAsiaTheme="minorEastAsia" w:hAnsi="Calibri"/>
                <w:b/>
                <w:color w:val="000000"/>
                <w:lang w:eastAsia="ko-KR"/>
              </w:rPr>
            </w:pPr>
            <w:r w:rsidRPr="00426EBD">
              <w:rPr>
                <w:rFonts w:ascii="Calibri" w:eastAsiaTheme="minorEastAsia" w:hAnsi="Calibri" w:hint="eastAsia"/>
                <w:b/>
                <w:color w:val="000000"/>
                <w:lang w:eastAsia="ko-KR"/>
              </w:rPr>
              <w:t>3</w:t>
            </w:r>
            <w:r w:rsidRPr="00426EBD">
              <w:rPr>
                <w:rFonts w:ascii="Calibri" w:eastAsiaTheme="minorEastAsia" w:hAnsi="Calibri"/>
                <w:b/>
                <w:color w:val="000000"/>
                <w:lang w:eastAsia="ko-KR"/>
              </w:rPr>
              <w:t>.39%</w:t>
            </w:r>
          </w:p>
        </w:tc>
      </w:tr>
    </w:tbl>
    <w:p w14:paraId="3799E279" w14:textId="77777777" w:rsidR="00413728" w:rsidRDefault="00413728" w:rsidP="007B27CC">
      <w:pPr>
        <w:rPr>
          <w:rFonts w:ascii="Calibri" w:hAnsi="Calibri"/>
          <w:lang w:val="en-US"/>
        </w:rPr>
      </w:pPr>
    </w:p>
    <w:p w14:paraId="6C583631" w14:textId="77777777" w:rsidR="00A02BD1" w:rsidRPr="009F439E" w:rsidRDefault="00A02BD1" w:rsidP="00A02BD1">
      <w:pPr>
        <w:rPr>
          <w:rFonts w:ascii="Calibri" w:hAnsi="Calibri"/>
          <w:lang w:val="en-US"/>
        </w:rPr>
      </w:pPr>
      <w:r>
        <w:rPr>
          <w:rFonts w:ascii="Calibri" w:hAnsi="Calibri"/>
          <w:b/>
          <w:lang w:val="en-US"/>
        </w:rPr>
        <w:t xml:space="preserve">Analysis of </w:t>
      </w:r>
      <w:r w:rsidRPr="009F439E">
        <w:rPr>
          <w:rFonts w:ascii="Calibri" w:hAnsi="Calibri"/>
          <w:b/>
          <w:lang w:val="en-US"/>
        </w:rPr>
        <w:t xml:space="preserve">Response Rate </w:t>
      </w:r>
      <w:proofErr w:type="gramStart"/>
      <w:r w:rsidRPr="009F439E">
        <w:rPr>
          <w:rFonts w:ascii="Calibri" w:hAnsi="Calibri"/>
          <w:b/>
          <w:lang w:val="en-US"/>
        </w:rPr>
        <w:t>By</w:t>
      </w:r>
      <w:proofErr w:type="gramEnd"/>
      <w:r w:rsidRPr="009F439E">
        <w:rPr>
          <w:rFonts w:ascii="Calibri" w:hAnsi="Calibri"/>
          <w:b/>
          <w:lang w:val="en-US"/>
        </w:rPr>
        <w:t xml:space="preserve"> Channel</w:t>
      </w:r>
      <w:r>
        <w:rPr>
          <w:rFonts w:ascii="Calibri" w:hAnsi="Calibri"/>
          <w:lang w:val="en-US"/>
        </w:rPr>
        <w:t xml:space="preserve"> </w:t>
      </w:r>
      <w:r w:rsidRPr="009F439E">
        <w:rPr>
          <w:rFonts w:ascii="Calibri" w:hAnsi="Calibri"/>
          <w:b/>
          <w:lang w:val="en-US"/>
        </w:rPr>
        <w:t xml:space="preserve">when </w:t>
      </w:r>
      <w:r>
        <w:rPr>
          <w:rFonts w:ascii="Calibri" w:hAnsi="Calibri"/>
          <w:b/>
          <w:lang w:val="en-US"/>
        </w:rPr>
        <w:t>split b</w:t>
      </w:r>
      <w:r w:rsidRPr="009F439E">
        <w:rPr>
          <w:rFonts w:ascii="Calibri" w:hAnsi="Calibri"/>
          <w:b/>
          <w:lang w:val="en-US"/>
        </w:rPr>
        <w:t>y Month</w:t>
      </w:r>
    </w:p>
    <w:p w14:paraId="0F23F64E" w14:textId="77777777" w:rsidR="00A02BD1" w:rsidRPr="00025BBE" w:rsidRDefault="00A02BD1" w:rsidP="00A02BD1">
      <w:pPr>
        <w:rPr>
          <w:rFonts w:ascii="Calibri" w:hAnsi="Calibri"/>
          <w:lang w:val="en-US"/>
        </w:rPr>
      </w:pPr>
      <w:r w:rsidRPr="00DF5555">
        <w:rPr>
          <w:rFonts w:ascii="Calibri" w:hAnsi="Calibri"/>
          <w:noProof/>
          <w:lang w:val="en-US"/>
        </w:rPr>
        <w:t>During the process, we ranked by customer ID, contact date and order number and then considered only rows with rank 1 to remove cases where multiple catalogs were sent to the same customer in 1 day (Example: Customer ID 40193406 was sent two catalogs on 24</w:t>
      </w:r>
      <w:r w:rsidRPr="00DF5555">
        <w:rPr>
          <w:rFonts w:ascii="Calibri" w:hAnsi="Calibri"/>
          <w:noProof/>
          <w:vertAlign w:val="superscript"/>
          <w:lang w:val="en-US"/>
        </w:rPr>
        <w:t>th</w:t>
      </w:r>
      <w:r w:rsidRPr="00DF5555">
        <w:rPr>
          <w:rFonts w:ascii="Calibri" w:hAnsi="Calibri"/>
          <w:noProof/>
          <w:lang w:val="en-US"/>
        </w:rPr>
        <w:t xml:space="preserve"> November 2005 and we take that as sending one catalog).</w:t>
      </w:r>
      <w:r w:rsidRPr="00025BBE">
        <w:rPr>
          <w:rFonts w:ascii="Calibri" w:hAnsi="Calibri"/>
          <w:lang w:val="en-US"/>
        </w:rPr>
        <w:t xml:space="preserve"> The reason for this is because we assume that </w:t>
      </w:r>
      <w:r w:rsidRPr="00DF5555">
        <w:rPr>
          <w:rFonts w:ascii="Calibri" w:hAnsi="Calibri"/>
          <w:noProof/>
          <w:lang w:val="en-US"/>
        </w:rPr>
        <w:t>catalogs</w:t>
      </w:r>
      <w:r w:rsidRPr="00025BBE">
        <w:rPr>
          <w:rFonts w:ascii="Calibri" w:hAnsi="Calibri"/>
          <w:lang w:val="en-US"/>
        </w:rPr>
        <w:t xml:space="preserve"> sent on the same day would be the same </w:t>
      </w:r>
      <w:r w:rsidRPr="00DF5555">
        <w:rPr>
          <w:rFonts w:ascii="Calibri" w:hAnsi="Calibri"/>
          <w:noProof/>
          <w:lang w:val="en-US"/>
        </w:rPr>
        <w:t>catalog</w:t>
      </w:r>
      <w:r w:rsidRPr="00025BBE">
        <w:rPr>
          <w:rFonts w:ascii="Calibri" w:hAnsi="Calibri"/>
          <w:lang w:val="en-US"/>
        </w:rPr>
        <w:t xml:space="preserve"> and so we only </w:t>
      </w:r>
      <w:r w:rsidRPr="00025BBE">
        <w:rPr>
          <w:rFonts w:ascii="Calibri" w:hAnsi="Calibri"/>
          <w:lang w:val="en-US"/>
        </w:rPr>
        <w:lastRenderedPageBreak/>
        <w:t xml:space="preserve">considered this as one catalog sent. We would apply the same argument when </w:t>
      </w:r>
      <w:r w:rsidRPr="00DF5555">
        <w:rPr>
          <w:rFonts w:ascii="Calibri" w:hAnsi="Calibri"/>
          <w:noProof/>
          <w:lang w:val="en-US"/>
        </w:rPr>
        <w:t>analyzing</w:t>
      </w:r>
      <w:r w:rsidRPr="00025BBE">
        <w:rPr>
          <w:rFonts w:ascii="Calibri" w:hAnsi="Calibri"/>
          <w:lang w:val="en-US"/>
        </w:rPr>
        <w:t xml:space="preserve"> emails. We considered any order made within </w:t>
      </w:r>
      <w:r w:rsidRPr="00DF5555">
        <w:rPr>
          <w:rFonts w:ascii="Calibri" w:hAnsi="Calibri"/>
          <w:noProof/>
          <w:lang w:val="en-US"/>
        </w:rPr>
        <w:t>10</w:t>
      </w:r>
      <w:r w:rsidRPr="00025BBE">
        <w:rPr>
          <w:rFonts w:ascii="Calibri" w:hAnsi="Calibri"/>
          <w:lang w:val="en-US"/>
        </w:rPr>
        <w:t xml:space="preserve"> days of getting a </w:t>
      </w:r>
      <w:r w:rsidRPr="00DF5555">
        <w:rPr>
          <w:rFonts w:ascii="Calibri" w:hAnsi="Calibri"/>
          <w:noProof/>
          <w:lang w:val="en-US"/>
        </w:rPr>
        <w:t>contact</w:t>
      </w:r>
      <w:r w:rsidRPr="00025BBE">
        <w:rPr>
          <w:rFonts w:ascii="Calibri" w:hAnsi="Calibri"/>
          <w:lang w:val="en-US"/>
        </w:rPr>
        <w:t xml:space="preserve"> as a response. </w:t>
      </w:r>
      <w:r w:rsidRPr="00DF5555">
        <w:rPr>
          <w:rFonts w:ascii="Calibri" w:hAnsi="Calibri"/>
          <w:noProof/>
          <w:lang w:val="en-US"/>
        </w:rPr>
        <w:t>This</w:t>
      </w:r>
      <w:r w:rsidRPr="00025BBE">
        <w:rPr>
          <w:rFonts w:ascii="Calibri" w:hAnsi="Calibri"/>
          <w:lang w:val="en-US"/>
        </w:rPr>
        <w:t xml:space="preserve"> is as we assume that it takes </w:t>
      </w:r>
      <w:r w:rsidRPr="00DF5555">
        <w:rPr>
          <w:rFonts w:ascii="Calibri" w:hAnsi="Calibri"/>
          <w:noProof/>
          <w:lang w:val="en-US"/>
        </w:rPr>
        <w:t>3</w:t>
      </w:r>
      <w:r w:rsidRPr="00025BBE">
        <w:rPr>
          <w:rFonts w:ascii="Calibri" w:hAnsi="Calibri"/>
          <w:lang w:val="en-US"/>
        </w:rPr>
        <w:t xml:space="preserve"> days to send a </w:t>
      </w:r>
      <w:r w:rsidRPr="00DF5555">
        <w:rPr>
          <w:rFonts w:ascii="Calibri" w:hAnsi="Calibri"/>
          <w:noProof/>
          <w:lang w:val="en-US"/>
        </w:rPr>
        <w:t>catalog</w:t>
      </w:r>
      <w:r w:rsidRPr="00025BBE">
        <w:rPr>
          <w:rFonts w:ascii="Calibri" w:hAnsi="Calibri"/>
          <w:lang w:val="en-US"/>
        </w:rPr>
        <w:t xml:space="preserve"> and then gave customers a week to respond to it.</w:t>
      </w:r>
    </w:p>
    <w:p w14:paraId="71ACD597" w14:textId="77777777" w:rsidR="00A02BD1" w:rsidRPr="00025BBE" w:rsidRDefault="00A02BD1" w:rsidP="00A02BD1">
      <w:pPr>
        <w:rPr>
          <w:rFonts w:ascii="Calibri" w:hAnsi="Calibri"/>
          <w:lang w:val="en-US"/>
        </w:rPr>
      </w:pPr>
    </w:p>
    <w:p w14:paraId="0E8AF818" w14:textId="77777777" w:rsidR="00A02BD1" w:rsidRPr="00025BBE" w:rsidRDefault="00A02BD1" w:rsidP="00A02BD1">
      <w:pPr>
        <w:rPr>
          <w:rFonts w:ascii="Calibri" w:hAnsi="Calibri"/>
          <w:lang w:val="en-US"/>
        </w:rPr>
      </w:pPr>
      <w:r w:rsidRPr="00025BBE">
        <w:rPr>
          <w:rFonts w:ascii="Calibri" w:hAnsi="Calibri"/>
          <w:lang w:val="en-US"/>
        </w:rPr>
        <w:t xml:space="preserve">For response rate, we did three types of calculations based on different assumptions. </w:t>
      </w:r>
    </w:p>
    <w:p w14:paraId="045C7C7A" w14:textId="77777777" w:rsidR="00A02BD1" w:rsidRPr="00025BBE" w:rsidRDefault="00A02BD1" w:rsidP="00A02BD1">
      <w:pPr>
        <w:pStyle w:val="a3"/>
        <w:numPr>
          <w:ilvl w:val="0"/>
          <w:numId w:val="4"/>
        </w:numPr>
        <w:rPr>
          <w:rFonts w:ascii="Calibri" w:hAnsi="Calibri"/>
          <w:lang w:val="en-US" w:eastAsia="zh-CN"/>
        </w:rPr>
      </w:pPr>
      <w:r w:rsidRPr="00025BBE">
        <w:rPr>
          <w:rFonts w:ascii="Calibri" w:hAnsi="Calibri"/>
          <w:lang w:val="en-US" w:eastAsia="zh-CN"/>
        </w:rPr>
        <w:t>Multiple catalogs can contribute to one order and all are weighted as 1</w:t>
      </w:r>
    </w:p>
    <w:p w14:paraId="6B1FF9EF" w14:textId="77777777" w:rsidR="00A02BD1" w:rsidRPr="00025BBE" w:rsidRDefault="00A02BD1" w:rsidP="00A02BD1">
      <w:pPr>
        <w:pStyle w:val="a3"/>
        <w:numPr>
          <w:ilvl w:val="0"/>
          <w:numId w:val="4"/>
        </w:numPr>
        <w:rPr>
          <w:rFonts w:ascii="Calibri" w:hAnsi="Calibri"/>
          <w:lang w:val="en-US" w:eastAsia="zh-CN"/>
        </w:rPr>
      </w:pPr>
      <w:r w:rsidRPr="00025BBE">
        <w:rPr>
          <w:rFonts w:ascii="Calibri" w:hAnsi="Calibri"/>
          <w:lang w:val="en-US" w:eastAsia="zh-CN"/>
        </w:rPr>
        <w:t xml:space="preserve">Multiple catalogs can contribute to one </w:t>
      </w:r>
      <w:proofErr w:type="gramStart"/>
      <w:r w:rsidRPr="00025BBE">
        <w:rPr>
          <w:rFonts w:ascii="Calibri" w:hAnsi="Calibri"/>
          <w:lang w:val="en-US" w:eastAsia="zh-CN"/>
        </w:rPr>
        <w:t>order</w:t>
      </w:r>
      <w:proofErr w:type="gramEnd"/>
      <w:r w:rsidRPr="00025BBE">
        <w:rPr>
          <w:rFonts w:ascii="Calibri" w:hAnsi="Calibri"/>
          <w:lang w:val="en-US" w:eastAsia="zh-CN"/>
        </w:rPr>
        <w:t xml:space="preserve"> but we weighted each order as the inverse of the difference between the order and catalog date</w:t>
      </w:r>
    </w:p>
    <w:p w14:paraId="44C426B5" w14:textId="77777777" w:rsidR="00A02BD1" w:rsidRPr="00025BBE" w:rsidRDefault="00A02BD1" w:rsidP="00A02BD1">
      <w:pPr>
        <w:pStyle w:val="a3"/>
        <w:numPr>
          <w:ilvl w:val="0"/>
          <w:numId w:val="4"/>
        </w:numPr>
        <w:rPr>
          <w:rFonts w:ascii="Calibri" w:hAnsi="Calibri"/>
          <w:lang w:val="en-US" w:eastAsia="zh-CN"/>
        </w:rPr>
      </w:pPr>
      <w:r w:rsidRPr="00025BBE">
        <w:rPr>
          <w:rFonts w:ascii="Calibri" w:hAnsi="Calibri"/>
          <w:lang w:val="en-US" w:eastAsia="zh-CN"/>
        </w:rPr>
        <w:t>Only one catalog can contribute to one order and we took the most recent catalog sent as the effective one (</w:t>
      </w:r>
      <w:r w:rsidRPr="00025BBE">
        <w:rPr>
          <w:rFonts w:ascii="Calibri" w:hAnsi="Calibri"/>
          <w:lang w:val="en-US"/>
        </w:rPr>
        <w:t xml:space="preserve">Prevent counting an order number </w:t>
      </w:r>
      <w:proofErr w:type="gramStart"/>
      <w:r w:rsidRPr="00025BBE">
        <w:rPr>
          <w:rFonts w:ascii="Calibri" w:hAnsi="Calibri"/>
          <w:lang w:val="en-US"/>
        </w:rPr>
        <w:t>multiple times</w:t>
      </w:r>
      <w:proofErr w:type="gramEnd"/>
      <w:r w:rsidRPr="00025BBE">
        <w:rPr>
          <w:rFonts w:ascii="Calibri" w:hAnsi="Calibri"/>
          <w:lang w:val="en-US"/>
        </w:rPr>
        <w:t xml:space="preserve"> as responses)</w:t>
      </w:r>
    </w:p>
    <w:p w14:paraId="340DC259" w14:textId="77777777" w:rsidR="00A02BD1" w:rsidRPr="00025BBE" w:rsidRDefault="00A02BD1" w:rsidP="00A02BD1">
      <w:pPr>
        <w:rPr>
          <w:rFonts w:ascii="Calibri" w:hAnsi="Calibri"/>
          <w:lang w:val="en-US"/>
        </w:rPr>
      </w:pPr>
    </w:p>
    <w:p w14:paraId="0EE5ACF2" w14:textId="77777777" w:rsidR="00A02BD1" w:rsidRPr="00025BBE" w:rsidRDefault="00A02BD1" w:rsidP="00A02BD1">
      <w:pPr>
        <w:rPr>
          <w:rFonts w:ascii="Calibri" w:hAnsi="Calibri"/>
          <w:lang w:val="en-US"/>
        </w:rPr>
      </w:pPr>
      <w:r w:rsidRPr="00025BBE">
        <w:rPr>
          <w:rFonts w:ascii="Calibri" w:hAnsi="Calibri"/>
          <w:lang w:val="en-US"/>
        </w:rPr>
        <w:t xml:space="preserve">Overall, for all three ways of calculating, the performance of both catalogs and emails response rates has been </w:t>
      </w:r>
      <w:proofErr w:type="gramStart"/>
      <w:r w:rsidRPr="00025BBE">
        <w:rPr>
          <w:rFonts w:ascii="Calibri" w:hAnsi="Calibri"/>
          <w:lang w:val="en-US"/>
        </w:rPr>
        <w:t>pretty dismal</w:t>
      </w:r>
      <w:proofErr w:type="gramEnd"/>
      <w:r w:rsidRPr="00025BBE">
        <w:rPr>
          <w:rFonts w:ascii="Calibri" w:hAnsi="Calibri"/>
          <w:lang w:val="en-US"/>
        </w:rPr>
        <w:t xml:space="preserve"> with all response rates being less than 2% if we exclude months November and December. </w:t>
      </w:r>
    </w:p>
    <w:p w14:paraId="1C2886E0" w14:textId="77777777" w:rsidR="00A02BD1" w:rsidRPr="00025BBE" w:rsidRDefault="00A02BD1" w:rsidP="00A02BD1">
      <w:pPr>
        <w:rPr>
          <w:rFonts w:ascii="Calibri" w:hAnsi="Calibri"/>
          <w:lang w:val="en-US"/>
        </w:rPr>
      </w:pPr>
    </w:p>
    <w:p w14:paraId="59CAF360" w14:textId="77777777" w:rsidR="00A02BD1" w:rsidRPr="00025BBE" w:rsidRDefault="00A02BD1" w:rsidP="00A02BD1">
      <w:pPr>
        <w:rPr>
          <w:rFonts w:ascii="Calibri" w:hAnsi="Calibri"/>
          <w:lang w:val="en-US"/>
        </w:rPr>
      </w:pPr>
      <w:r w:rsidRPr="00025BBE">
        <w:rPr>
          <w:rFonts w:ascii="Calibri" w:hAnsi="Calibri"/>
          <w:lang w:val="en-US"/>
        </w:rPr>
        <w:t xml:space="preserve">The number of orders made in the top 2 months, November and December, is 32926 and 82443 respectively. The response rate of these two months </w:t>
      </w:r>
      <w:proofErr w:type="gramStart"/>
      <w:r w:rsidRPr="00025BBE">
        <w:rPr>
          <w:rFonts w:ascii="Calibri" w:hAnsi="Calibri"/>
          <w:lang w:val="en-US"/>
        </w:rPr>
        <w:t>are</w:t>
      </w:r>
      <w:proofErr w:type="gramEnd"/>
      <w:r w:rsidRPr="00025BBE">
        <w:rPr>
          <w:rFonts w:ascii="Calibri" w:hAnsi="Calibri"/>
          <w:lang w:val="en-US"/>
        </w:rPr>
        <w:t xml:space="preserve"> also usually the highest for both catalog and emails. Using the lines table, we found that 76.8% of the items were bought as gifts. This can be attributed to the fact that people would buy food gifts for the Christmas season. This result is backed by Packaged Facts (2016) who found that “almost 50% of people who buy food gifts for others have done so for the winter holidays, while 32% of those who have purchased food gifts for themselves have done so for these holidays”. This is also why the number of catalogs and emails sent by the firm is also very high during this </w:t>
      </w:r>
      <w:proofErr w:type="gramStart"/>
      <w:r w:rsidRPr="00025BBE">
        <w:rPr>
          <w:rFonts w:ascii="Calibri" w:hAnsi="Calibri"/>
          <w:lang w:val="en-US"/>
        </w:rPr>
        <w:t>time period</w:t>
      </w:r>
      <w:proofErr w:type="gramEnd"/>
      <w:r w:rsidRPr="00025BBE">
        <w:rPr>
          <w:rFonts w:ascii="Calibri" w:hAnsi="Calibri"/>
          <w:lang w:val="en-US"/>
        </w:rPr>
        <w:t xml:space="preserve">. However, this means that we are unable to gauge whether the higher response rate for the month of November and December is due to effectiveness of the catalogs and emails sent or whether it is because customers would usually buy during this </w:t>
      </w:r>
      <w:proofErr w:type="gramStart"/>
      <w:r w:rsidRPr="00025BBE">
        <w:rPr>
          <w:rFonts w:ascii="Calibri" w:hAnsi="Calibri"/>
          <w:lang w:val="en-US"/>
        </w:rPr>
        <w:t>time period</w:t>
      </w:r>
      <w:proofErr w:type="gramEnd"/>
      <w:r w:rsidRPr="00025BBE">
        <w:rPr>
          <w:rFonts w:ascii="Calibri" w:hAnsi="Calibri"/>
          <w:lang w:val="en-US"/>
        </w:rPr>
        <w:t>.</w:t>
      </w:r>
    </w:p>
    <w:p w14:paraId="59E785F6" w14:textId="77777777" w:rsidR="00A02BD1" w:rsidRPr="00025BBE" w:rsidRDefault="00A02BD1" w:rsidP="00A02BD1">
      <w:pPr>
        <w:rPr>
          <w:rFonts w:ascii="Calibri" w:hAnsi="Calibri"/>
          <w:lang w:val="en-US"/>
        </w:rPr>
      </w:pPr>
    </w:p>
    <w:p w14:paraId="220B1146" w14:textId="77777777" w:rsidR="00A02BD1" w:rsidRPr="00025BBE" w:rsidRDefault="00A02BD1" w:rsidP="00A02BD1">
      <w:pPr>
        <w:rPr>
          <w:rFonts w:ascii="Calibri" w:hAnsi="Calibri"/>
          <w:lang w:val="en-US"/>
        </w:rPr>
      </w:pPr>
      <w:r w:rsidRPr="00025BBE">
        <w:rPr>
          <w:rFonts w:ascii="Calibri" w:hAnsi="Calibri"/>
          <w:lang w:val="en-US"/>
        </w:rPr>
        <w:t>In another study by Packaged Facts (2018) found that 81% of adults celebrated Easter in 2017 and this number is almost eight times as many as those who had purchased an Easter food gift for someone. This indicates that Easter is a huge market untapped. The number of orders made in the month of April (13131) is only slightly higher than the average of that when we remove months November and December for the firm. If we could improve the effectiveness of the marketing campaigns for Easter, more profits could be made.</w:t>
      </w:r>
    </w:p>
    <w:p w14:paraId="1DA27B48" w14:textId="77777777" w:rsidR="00A02BD1" w:rsidRPr="00025BBE" w:rsidRDefault="00A02BD1" w:rsidP="00A02BD1">
      <w:pPr>
        <w:rPr>
          <w:rFonts w:ascii="Calibri" w:hAnsi="Calibri"/>
          <w:lang w:val="en-US"/>
        </w:rPr>
      </w:pPr>
    </w:p>
    <w:p w14:paraId="7D602C41" w14:textId="77777777" w:rsidR="00A02BD1" w:rsidRPr="00025BBE" w:rsidRDefault="00A02BD1" w:rsidP="00A02BD1">
      <w:pPr>
        <w:rPr>
          <w:rFonts w:ascii="Calibri" w:hAnsi="Calibri"/>
          <w:lang w:val="en-US"/>
        </w:rPr>
      </w:pPr>
      <w:r w:rsidRPr="00025BBE">
        <w:rPr>
          <w:rFonts w:ascii="Calibri" w:hAnsi="Calibri"/>
          <w:lang w:val="en-US"/>
        </w:rPr>
        <w:t xml:space="preserve">We also calculated transition probabilities and average purchase basket size by purchase occasion. We did not set a time frame where a customer is considered churned because food gifts tend to be bought during holidays, which would result in a range of time periods. With this, we see that the probability that a customer would buy a second time is 45.11% and the transition probability increases thereafter. This indicates a lack of brand loyalty. We should focus our efforts on retaining customers who have just bought our products. </w:t>
      </w:r>
    </w:p>
    <w:p w14:paraId="6D8EB52B" w14:textId="77777777" w:rsidR="00A02BD1" w:rsidRPr="00025BBE" w:rsidRDefault="00A02BD1" w:rsidP="00A02BD1">
      <w:pPr>
        <w:rPr>
          <w:rFonts w:ascii="Calibri" w:hAnsi="Calibri"/>
          <w:lang w:val="en-US"/>
        </w:rPr>
      </w:pPr>
    </w:p>
    <w:p w14:paraId="16C920B2" w14:textId="77777777" w:rsidR="00A02BD1" w:rsidRPr="00025BBE" w:rsidRDefault="00A02BD1" w:rsidP="00A02BD1">
      <w:pPr>
        <w:rPr>
          <w:rFonts w:ascii="Calibri" w:hAnsi="Calibri"/>
          <w:b/>
          <w:sz w:val="28"/>
          <w:szCs w:val="28"/>
          <w:lang w:val="en-US"/>
        </w:rPr>
      </w:pPr>
      <w:r w:rsidRPr="00025BBE">
        <w:rPr>
          <w:rFonts w:ascii="Calibri" w:hAnsi="Calibri"/>
          <w:b/>
          <w:sz w:val="28"/>
          <w:szCs w:val="28"/>
          <w:lang w:val="en-US"/>
        </w:rPr>
        <w:t>Part B</w:t>
      </w:r>
    </w:p>
    <w:p w14:paraId="3CF7F9B2" w14:textId="77777777" w:rsidR="00A02BD1" w:rsidRPr="00025BBE" w:rsidRDefault="00A02BD1" w:rsidP="00A02BD1">
      <w:pPr>
        <w:rPr>
          <w:rFonts w:ascii="Calibri" w:hAnsi="Calibri"/>
          <w:lang w:val="en-US"/>
        </w:rPr>
      </w:pPr>
      <w:r w:rsidRPr="00025BBE">
        <w:rPr>
          <w:rFonts w:ascii="Calibri" w:hAnsi="Calibri"/>
          <w:lang w:val="en-US"/>
        </w:rPr>
        <w:t>We split the train and test set as those before 1</w:t>
      </w:r>
      <w:r w:rsidRPr="00025BBE">
        <w:rPr>
          <w:rFonts w:ascii="Calibri" w:hAnsi="Calibri"/>
          <w:vertAlign w:val="superscript"/>
          <w:lang w:val="en-US"/>
        </w:rPr>
        <w:t>st</w:t>
      </w:r>
      <w:r w:rsidRPr="00025BBE">
        <w:rPr>
          <w:rFonts w:ascii="Calibri" w:hAnsi="Calibri"/>
          <w:lang w:val="en-US"/>
        </w:rPr>
        <w:t xml:space="preserve"> Jan 2017 and those after respectively. The RFM values were calculated using the orders table with data before 1</w:t>
      </w:r>
      <w:r w:rsidRPr="00025BBE">
        <w:rPr>
          <w:rFonts w:ascii="Calibri" w:hAnsi="Calibri"/>
          <w:vertAlign w:val="superscript"/>
          <w:lang w:val="en-US"/>
        </w:rPr>
        <w:t>st</w:t>
      </w:r>
      <w:r w:rsidRPr="00025BBE">
        <w:rPr>
          <w:rFonts w:ascii="Calibri" w:hAnsi="Calibri"/>
          <w:lang w:val="en-US"/>
        </w:rPr>
        <w:t xml:space="preserve"> Jan 2017. We took </w:t>
      </w:r>
      <w:r w:rsidRPr="00025BBE">
        <w:rPr>
          <w:rFonts w:ascii="Calibri" w:hAnsi="Calibri"/>
          <w:lang w:val="en-US"/>
        </w:rPr>
        <w:lastRenderedPageBreak/>
        <w:t>the contacts data and filtered those where contact was made via catalog as mailing catalogs would cost money and not email.</w:t>
      </w:r>
    </w:p>
    <w:p w14:paraId="103301E0" w14:textId="77777777" w:rsidR="00A02BD1" w:rsidRPr="00025BBE" w:rsidRDefault="00A02BD1" w:rsidP="00A02BD1">
      <w:pPr>
        <w:rPr>
          <w:rFonts w:ascii="Calibri" w:hAnsi="Calibri"/>
          <w:lang w:val="en-US"/>
        </w:rPr>
      </w:pPr>
    </w:p>
    <w:p w14:paraId="0FDBAA8C" w14:textId="77777777" w:rsidR="00A02BD1" w:rsidRPr="00025BBE" w:rsidRDefault="00A02BD1" w:rsidP="00A02BD1">
      <w:pPr>
        <w:rPr>
          <w:rFonts w:ascii="Calibri" w:hAnsi="Calibri"/>
          <w:b/>
          <w:lang w:val="en-US"/>
        </w:rPr>
      </w:pPr>
      <w:r w:rsidRPr="00025BBE">
        <w:rPr>
          <w:rFonts w:ascii="Calibri" w:hAnsi="Calibri"/>
          <w:lang w:val="en-US"/>
        </w:rPr>
        <w:t>Again, as in part A, we calculated based on assumptions 1 and 3.</w:t>
      </w:r>
    </w:p>
    <w:p w14:paraId="792A6ADD" w14:textId="77777777" w:rsidR="00A02BD1" w:rsidRPr="00025BBE" w:rsidRDefault="00A02BD1" w:rsidP="00A02BD1">
      <w:pPr>
        <w:rPr>
          <w:rFonts w:ascii="Calibri" w:hAnsi="Calibri"/>
          <w:lang w:val="en-US"/>
        </w:rPr>
      </w:pPr>
    </w:p>
    <w:p w14:paraId="6B528E5A" w14:textId="77777777" w:rsidR="00A02BD1" w:rsidRPr="00025BBE" w:rsidRDefault="00A02BD1" w:rsidP="00A02BD1">
      <w:pPr>
        <w:rPr>
          <w:rFonts w:ascii="Calibri" w:hAnsi="Calibri"/>
          <w:lang w:val="en-US"/>
        </w:rPr>
      </w:pPr>
      <w:r w:rsidRPr="00025BBE">
        <w:rPr>
          <w:rFonts w:ascii="Calibri" w:hAnsi="Calibri"/>
          <w:lang w:val="en-US"/>
        </w:rPr>
        <w:t xml:space="preserve">With that, we get the following table sorted by decreasing response rates. We then </w:t>
      </w:r>
      <w:proofErr w:type="gramStart"/>
      <w:r w:rsidRPr="00025BBE">
        <w:rPr>
          <w:rFonts w:ascii="Calibri" w:hAnsi="Calibri"/>
          <w:lang w:val="en-US"/>
        </w:rPr>
        <w:t>made a decision</w:t>
      </w:r>
      <w:proofErr w:type="gramEnd"/>
      <w:r w:rsidRPr="00025BBE">
        <w:rPr>
          <w:rFonts w:ascii="Calibri" w:hAnsi="Calibri"/>
          <w:lang w:val="en-US"/>
        </w:rPr>
        <w:t xml:space="preserve"> to mail to all the respondents that were identified in the groups that had a response rate of more than 6%, 7%, and 8% respectively and mailed catalogs to them from 1</w:t>
      </w:r>
      <w:r w:rsidRPr="00025BBE">
        <w:rPr>
          <w:rFonts w:ascii="Calibri" w:hAnsi="Calibri"/>
          <w:vertAlign w:val="superscript"/>
          <w:lang w:val="en-US"/>
        </w:rPr>
        <w:t>st</w:t>
      </w:r>
      <w:r w:rsidRPr="00025BBE">
        <w:rPr>
          <w:rFonts w:ascii="Calibri" w:hAnsi="Calibri"/>
          <w:lang w:val="en-US"/>
        </w:rPr>
        <w:t xml:space="preserve"> Jan 2017 onwards. </w:t>
      </w:r>
    </w:p>
    <w:p w14:paraId="592C0C74" w14:textId="77777777" w:rsidR="00A02BD1" w:rsidRPr="00025BBE" w:rsidRDefault="00A02BD1" w:rsidP="00A02BD1">
      <w:pPr>
        <w:rPr>
          <w:rFonts w:ascii="Calibri" w:hAnsi="Calibri"/>
          <w:lang w:val="en-US"/>
        </w:rPr>
      </w:pPr>
    </w:p>
    <w:p w14:paraId="09E69E6D" w14:textId="77777777" w:rsidR="00A02BD1" w:rsidRPr="00025BBE" w:rsidRDefault="00A02BD1" w:rsidP="00A02BD1">
      <w:pPr>
        <w:rPr>
          <w:rFonts w:ascii="Calibri" w:hAnsi="Calibri"/>
          <w:b/>
          <w:lang w:val="en-US"/>
        </w:rPr>
      </w:pPr>
      <w:r w:rsidRPr="00025BBE">
        <w:rPr>
          <w:rFonts w:ascii="Calibri" w:hAnsi="Calibri"/>
          <w:b/>
          <w:lang w:val="en-US"/>
        </w:rPr>
        <w:t>Using Assumption 1</w:t>
      </w:r>
    </w:p>
    <w:tbl>
      <w:tblPr>
        <w:tblW w:w="9095" w:type="dxa"/>
        <w:tblLook w:val="04A0" w:firstRow="1" w:lastRow="0" w:firstColumn="1" w:lastColumn="0" w:noHBand="0" w:noVBand="1"/>
      </w:tblPr>
      <w:tblGrid>
        <w:gridCol w:w="2580"/>
        <w:gridCol w:w="2216"/>
        <w:gridCol w:w="2127"/>
        <w:gridCol w:w="872"/>
        <w:gridCol w:w="1300"/>
      </w:tblGrid>
      <w:tr w:rsidR="00A02BD1" w:rsidRPr="00025BBE" w14:paraId="547FAD3E" w14:textId="77777777" w:rsidTr="00C278B5">
        <w:trPr>
          <w:trHeight w:val="320"/>
        </w:trPr>
        <w:tc>
          <w:tcPr>
            <w:tcW w:w="25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F587EBB"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Response Rate</w:t>
            </w:r>
            <w:r w:rsidRPr="00025BBE">
              <w:rPr>
                <w:rFonts w:ascii="Calibri" w:eastAsia="Times New Roman" w:hAnsi="Calibri"/>
                <w:b/>
                <w:bCs/>
                <w:color w:val="000000"/>
              </w:rPr>
              <w:t xml:space="preserve"> Groups</w:t>
            </w:r>
          </w:p>
        </w:tc>
        <w:tc>
          <w:tcPr>
            <w:tcW w:w="2216" w:type="dxa"/>
            <w:tcBorders>
              <w:top w:val="single" w:sz="4" w:space="0" w:color="auto"/>
              <w:left w:val="nil"/>
              <w:bottom w:val="single" w:sz="4" w:space="0" w:color="auto"/>
              <w:right w:val="single" w:sz="4" w:space="0" w:color="auto"/>
            </w:tcBorders>
            <w:shd w:val="clear" w:color="000000" w:fill="B4C6E7"/>
            <w:noWrap/>
            <w:vAlign w:val="bottom"/>
            <w:hideMark/>
          </w:tcPr>
          <w:p w14:paraId="3102C28C"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Number of Contacts</w:t>
            </w:r>
          </w:p>
        </w:tc>
        <w:tc>
          <w:tcPr>
            <w:tcW w:w="2127" w:type="dxa"/>
            <w:tcBorders>
              <w:top w:val="single" w:sz="4" w:space="0" w:color="auto"/>
              <w:left w:val="nil"/>
              <w:bottom w:val="single" w:sz="4" w:space="0" w:color="auto"/>
              <w:right w:val="single" w:sz="4" w:space="0" w:color="auto"/>
            </w:tcBorders>
            <w:shd w:val="clear" w:color="000000" w:fill="B4C6E7"/>
            <w:noWrap/>
            <w:vAlign w:val="bottom"/>
            <w:hideMark/>
          </w:tcPr>
          <w:p w14:paraId="51EE3D04"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Number of Orders</w:t>
            </w:r>
          </w:p>
        </w:tc>
        <w:tc>
          <w:tcPr>
            <w:tcW w:w="872" w:type="dxa"/>
            <w:tcBorders>
              <w:top w:val="single" w:sz="4" w:space="0" w:color="auto"/>
              <w:left w:val="nil"/>
              <w:bottom w:val="single" w:sz="4" w:space="0" w:color="auto"/>
              <w:right w:val="single" w:sz="4" w:space="0" w:color="auto"/>
            </w:tcBorders>
            <w:shd w:val="clear" w:color="000000" w:fill="B4C6E7"/>
            <w:noWrap/>
            <w:vAlign w:val="bottom"/>
            <w:hideMark/>
          </w:tcPr>
          <w:p w14:paraId="3BA79938"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Profits</w:t>
            </w:r>
          </w:p>
        </w:tc>
        <w:tc>
          <w:tcPr>
            <w:tcW w:w="1300" w:type="dxa"/>
            <w:tcBorders>
              <w:top w:val="single" w:sz="4" w:space="0" w:color="auto"/>
              <w:left w:val="nil"/>
              <w:bottom w:val="single" w:sz="4" w:space="0" w:color="auto"/>
              <w:right w:val="single" w:sz="4" w:space="0" w:color="auto"/>
            </w:tcBorders>
            <w:shd w:val="clear" w:color="000000" w:fill="B4C6E7"/>
            <w:noWrap/>
            <w:vAlign w:val="bottom"/>
            <w:hideMark/>
          </w:tcPr>
          <w:p w14:paraId="27ADE039"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ROI</w:t>
            </w:r>
          </w:p>
        </w:tc>
      </w:tr>
      <w:tr w:rsidR="00A02BD1" w:rsidRPr="00025BBE" w14:paraId="50CBF3C5" w14:textId="77777777" w:rsidTr="00C278B5">
        <w:trPr>
          <w:trHeight w:val="32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12608C0"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8%</w:t>
            </w:r>
          </w:p>
        </w:tc>
        <w:tc>
          <w:tcPr>
            <w:tcW w:w="2216" w:type="dxa"/>
            <w:tcBorders>
              <w:top w:val="nil"/>
              <w:left w:val="nil"/>
              <w:bottom w:val="single" w:sz="4" w:space="0" w:color="auto"/>
              <w:right w:val="single" w:sz="4" w:space="0" w:color="auto"/>
            </w:tcBorders>
            <w:shd w:val="clear" w:color="auto" w:fill="auto"/>
            <w:noWrap/>
            <w:vAlign w:val="bottom"/>
            <w:hideMark/>
          </w:tcPr>
          <w:p w14:paraId="6B2A96CC"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59558</w:t>
            </w:r>
          </w:p>
        </w:tc>
        <w:tc>
          <w:tcPr>
            <w:tcW w:w="2127" w:type="dxa"/>
            <w:tcBorders>
              <w:top w:val="nil"/>
              <w:left w:val="nil"/>
              <w:bottom w:val="single" w:sz="4" w:space="0" w:color="auto"/>
              <w:right w:val="single" w:sz="4" w:space="0" w:color="auto"/>
            </w:tcBorders>
            <w:shd w:val="clear" w:color="auto" w:fill="auto"/>
            <w:noWrap/>
            <w:vAlign w:val="bottom"/>
            <w:hideMark/>
          </w:tcPr>
          <w:p w14:paraId="5BE80346"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2721</w:t>
            </w:r>
          </w:p>
        </w:tc>
        <w:tc>
          <w:tcPr>
            <w:tcW w:w="872" w:type="dxa"/>
            <w:tcBorders>
              <w:top w:val="nil"/>
              <w:left w:val="nil"/>
              <w:bottom w:val="single" w:sz="4" w:space="0" w:color="auto"/>
              <w:right w:val="single" w:sz="4" w:space="0" w:color="auto"/>
            </w:tcBorders>
            <w:shd w:val="clear" w:color="auto" w:fill="auto"/>
            <w:noWrap/>
            <w:vAlign w:val="bottom"/>
            <w:hideMark/>
          </w:tcPr>
          <w:p w14:paraId="6ED2754F"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22072</w:t>
            </w:r>
          </w:p>
        </w:tc>
        <w:tc>
          <w:tcPr>
            <w:tcW w:w="1300" w:type="dxa"/>
            <w:tcBorders>
              <w:top w:val="nil"/>
              <w:left w:val="nil"/>
              <w:bottom w:val="single" w:sz="4" w:space="0" w:color="auto"/>
              <w:right w:val="single" w:sz="4" w:space="0" w:color="auto"/>
            </w:tcBorders>
            <w:shd w:val="clear" w:color="auto" w:fill="auto"/>
            <w:noWrap/>
            <w:vAlign w:val="bottom"/>
            <w:hideMark/>
          </w:tcPr>
          <w:p w14:paraId="1AEB5296"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37.06%</w:t>
            </w:r>
          </w:p>
        </w:tc>
      </w:tr>
      <w:tr w:rsidR="00A02BD1" w:rsidRPr="00025BBE" w14:paraId="5085B6F7" w14:textId="77777777" w:rsidTr="00C278B5">
        <w:trPr>
          <w:trHeight w:val="32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B53BE02"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7%</w:t>
            </w:r>
          </w:p>
        </w:tc>
        <w:tc>
          <w:tcPr>
            <w:tcW w:w="2216" w:type="dxa"/>
            <w:tcBorders>
              <w:top w:val="nil"/>
              <w:left w:val="nil"/>
              <w:bottom w:val="single" w:sz="4" w:space="0" w:color="auto"/>
              <w:right w:val="single" w:sz="4" w:space="0" w:color="auto"/>
            </w:tcBorders>
            <w:shd w:val="clear" w:color="auto" w:fill="auto"/>
            <w:noWrap/>
            <w:vAlign w:val="bottom"/>
            <w:hideMark/>
          </w:tcPr>
          <w:p w14:paraId="16AD2CB8"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63936</w:t>
            </w:r>
          </w:p>
        </w:tc>
        <w:tc>
          <w:tcPr>
            <w:tcW w:w="2127" w:type="dxa"/>
            <w:tcBorders>
              <w:top w:val="nil"/>
              <w:left w:val="nil"/>
              <w:bottom w:val="single" w:sz="4" w:space="0" w:color="auto"/>
              <w:right w:val="single" w:sz="4" w:space="0" w:color="auto"/>
            </w:tcBorders>
            <w:shd w:val="clear" w:color="auto" w:fill="auto"/>
            <w:noWrap/>
            <w:vAlign w:val="bottom"/>
            <w:hideMark/>
          </w:tcPr>
          <w:p w14:paraId="0C994818"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2853</w:t>
            </w:r>
          </w:p>
        </w:tc>
        <w:tc>
          <w:tcPr>
            <w:tcW w:w="872" w:type="dxa"/>
            <w:tcBorders>
              <w:top w:val="nil"/>
              <w:left w:val="nil"/>
              <w:bottom w:val="single" w:sz="4" w:space="0" w:color="auto"/>
              <w:right w:val="single" w:sz="4" w:space="0" w:color="auto"/>
            </w:tcBorders>
            <w:shd w:val="clear" w:color="auto" w:fill="auto"/>
            <w:noWrap/>
            <w:vAlign w:val="bottom"/>
            <w:hideMark/>
          </w:tcPr>
          <w:p w14:paraId="6F6F6B80"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21654</w:t>
            </w:r>
          </w:p>
        </w:tc>
        <w:tc>
          <w:tcPr>
            <w:tcW w:w="1300" w:type="dxa"/>
            <w:tcBorders>
              <w:top w:val="nil"/>
              <w:left w:val="nil"/>
              <w:bottom w:val="single" w:sz="4" w:space="0" w:color="auto"/>
              <w:right w:val="single" w:sz="4" w:space="0" w:color="auto"/>
            </w:tcBorders>
            <w:shd w:val="clear" w:color="auto" w:fill="auto"/>
            <w:noWrap/>
            <w:vAlign w:val="bottom"/>
            <w:hideMark/>
          </w:tcPr>
          <w:p w14:paraId="207C02D7"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33.87%</w:t>
            </w:r>
          </w:p>
        </w:tc>
      </w:tr>
      <w:tr w:rsidR="00A02BD1" w:rsidRPr="00025BBE" w14:paraId="6CA067A1" w14:textId="77777777" w:rsidTr="00C278B5">
        <w:trPr>
          <w:trHeight w:val="32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4C8F8CC"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6%</w:t>
            </w:r>
          </w:p>
        </w:tc>
        <w:tc>
          <w:tcPr>
            <w:tcW w:w="2216" w:type="dxa"/>
            <w:tcBorders>
              <w:top w:val="nil"/>
              <w:left w:val="nil"/>
              <w:bottom w:val="single" w:sz="4" w:space="0" w:color="auto"/>
              <w:right w:val="single" w:sz="4" w:space="0" w:color="auto"/>
            </w:tcBorders>
            <w:shd w:val="clear" w:color="auto" w:fill="auto"/>
            <w:noWrap/>
            <w:vAlign w:val="bottom"/>
            <w:hideMark/>
          </w:tcPr>
          <w:p w14:paraId="1CFD8680"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76684</w:t>
            </w:r>
          </w:p>
        </w:tc>
        <w:tc>
          <w:tcPr>
            <w:tcW w:w="2127" w:type="dxa"/>
            <w:tcBorders>
              <w:top w:val="nil"/>
              <w:left w:val="nil"/>
              <w:bottom w:val="single" w:sz="4" w:space="0" w:color="auto"/>
              <w:right w:val="single" w:sz="4" w:space="0" w:color="auto"/>
            </w:tcBorders>
            <w:shd w:val="clear" w:color="auto" w:fill="auto"/>
            <w:noWrap/>
            <w:vAlign w:val="bottom"/>
            <w:hideMark/>
          </w:tcPr>
          <w:p w14:paraId="451D8E8D"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3203</w:t>
            </w:r>
          </w:p>
        </w:tc>
        <w:tc>
          <w:tcPr>
            <w:tcW w:w="872" w:type="dxa"/>
            <w:tcBorders>
              <w:top w:val="nil"/>
              <w:left w:val="nil"/>
              <w:bottom w:val="single" w:sz="4" w:space="0" w:color="auto"/>
              <w:right w:val="single" w:sz="4" w:space="0" w:color="auto"/>
            </w:tcBorders>
            <w:shd w:val="clear" w:color="auto" w:fill="auto"/>
            <w:noWrap/>
            <w:vAlign w:val="bottom"/>
            <w:hideMark/>
          </w:tcPr>
          <w:p w14:paraId="19F29DF4"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19406</w:t>
            </w:r>
          </w:p>
        </w:tc>
        <w:tc>
          <w:tcPr>
            <w:tcW w:w="1300" w:type="dxa"/>
            <w:tcBorders>
              <w:top w:val="nil"/>
              <w:left w:val="nil"/>
              <w:bottom w:val="single" w:sz="4" w:space="0" w:color="auto"/>
              <w:right w:val="single" w:sz="4" w:space="0" w:color="auto"/>
            </w:tcBorders>
            <w:shd w:val="clear" w:color="auto" w:fill="auto"/>
            <w:noWrap/>
            <w:vAlign w:val="bottom"/>
            <w:hideMark/>
          </w:tcPr>
          <w:p w14:paraId="0BA24E3E"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25.31%</w:t>
            </w:r>
          </w:p>
        </w:tc>
      </w:tr>
    </w:tbl>
    <w:p w14:paraId="60B473C9" w14:textId="77777777" w:rsidR="00A02BD1" w:rsidRPr="00025BBE" w:rsidRDefault="00A02BD1" w:rsidP="00A02BD1">
      <w:pPr>
        <w:rPr>
          <w:rFonts w:ascii="Calibri" w:hAnsi="Calibri"/>
          <w:lang w:val="en-US"/>
        </w:rPr>
      </w:pPr>
    </w:p>
    <w:p w14:paraId="05CAE03B" w14:textId="77777777" w:rsidR="00A02BD1" w:rsidRPr="00025BBE" w:rsidRDefault="00A02BD1" w:rsidP="00A02BD1">
      <w:pPr>
        <w:rPr>
          <w:rFonts w:ascii="Calibri" w:hAnsi="Calibri"/>
          <w:b/>
          <w:lang w:val="en-US"/>
        </w:rPr>
      </w:pPr>
      <w:r w:rsidRPr="00025BBE">
        <w:rPr>
          <w:rFonts w:ascii="Calibri" w:hAnsi="Calibri"/>
          <w:b/>
          <w:lang w:val="en-US"/>
        </w:rPr>
        <w:t>Using Assumption 3</w:t>
      </w:r>
    </w:p>
    <w:tbl>
      <w:tblPr>
        <w:tblW w:w="8991" w:type="dxa"/>
        <w:tblLook w:val="04A0" w:firstRow="1" w:lastRow="0" w:firstColumn="1" w:lastColumn="0" w:noHBand="0" w:noVBand="1"/>
      </w:tblPr>
      <w:tblGrid>
        <w:gridCol w:w="2580"/>
        <w:gridCol w:w="2335"/>
        <w:gridCol w:w="2025"/>
        <w:gridCol w:w="994"/>
        <w:gridCol w:w="1057"/>
      </w:tblGrid>
      <w:tr w:rsidR="00A02BD1" w:rsidRPr="00025BBE" w14:paraId="28D2C775" w14:textId="77777777" w:rsidTr="00C278B5">
        <w:trPr>
          <w:trHeight w:val="320"/>
        </w:trPr>
        <w:tc>
          <w:tcPr>
            <w:tcW w:w="25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308F4B9"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Response Rate</w:t>
            </w:r>
            <w:r w:rsidRPr="00025BBE">
              <w:rPr>
                <w:rFonts w:ascii="Calibri" w:eastAsia="Times New Roman" w:hAnsi="Calibri"/>
                <w:b/>
                <w:bCs/>
                <w:color w:val="000000"/>
              </w:rPr>
              <w:t xml:space="preserve"> Groups</w:t>
            </w:r>
          </w:p>
        </w:tc>
        <w:tc>
          <w:tcPr>
            <w:tcW w:w="2335" w:type="dxa"/>
            <w:tcBorders>
              <w:top w:val="single" w:sz="4" w:space="0" w:color="auto"/>
              <w:left w:val="nil"/>
              <w:bottom w:val="single" w:sz="4" w:space="0" w:color="auto"/>
              <w:right w:val="single" w:sz="4" w:space="0" w:color="auto"/>
            </w:tcBorders>
            <w:shd w:val="clear" w:color="000000" w:fill="B4C6E7"/>
            <w:noWrap/>
            <w:vAlign w:val="bottom"/>
            <w:hideMark/>
          </w:tcPr>
          <w:p w14:paraId="19A14D61"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Number of Contacts</w:t>
            </w:r>
          </w:p>
        </w:tc>
        <w:tc>
          <w:tcPr>
            <w:tcW w:w="2025" w:type="dxa"/>
            <w:tcBorders>
              <w:top w:val="single" w:sz="4" w:space="0" w:color="auto"/>
              <w:left w:val="nil"/>
              <w:bottom w:val="single" w:sz="4" w:space="0" w:color="auto"/>
              <w:right w:val="single" w:sz="4" w:space="0" w:color="auto"/>
            </w:tcBorders>
            <w:shd w:val="clear" w:color="000000" w:fill="B4C6E7"/>
            <w:noWrap/>
            <w:vAlign w:val="bottom"/>
            <w:hideMark/>
          </w:tcPr>
          <w:p w14:paraId="5C22327E" w14:textId="77777777" w:rsidR="00A02BD1" w:rsidRPr="007A0BE6" w:rsidRDefault="00A02BD1" w:rsidP="00C278B5">
            <w:pPr>
              <w:rPr>
                <w:rFonts w:ascii="Calibri" w:eastAsia="Times New Roman" w:hAnsi="Calibri"/>
                <w:b/>
                <w:bCs/>
                <w:color w:val="000000"/>
              </w:rPr>
            </w:pPr>
            <w:r w:rsidRPr="00025BBE">
              <w:rPr>
                <w:rFonts w:ascii="Calibri" w:eastAsia="Times New Roman" w:hAnsi="Calibri"/>
                <w:b/>
                <w:bCs/>
                <w:color w:val="000000"/>
              </w:rPr>
              <w:t xml:space="preserve">Number of </w:t>
            </w:r>
            <w:r w:rsidRPr="007A0BE6">
              <w:rPr>
                <w:rFonts w:ascii="Calibri" w:eastAsia="Times New Roman" w:hAnsi="Calibri"/>
                <w:b/>
                <w:bCs/>
                <w:color w:val="000000"/>
              </w:rPr>
              <w:t>Orders</w:t>
            </w:r>
          </w:p>
        </w:tc>
        <w:tc>
          <w:tcPr>
            <w:tcW w:w="994" w:type="dxa"/>
            <w:tcBorders>
              <w:top w:val="single" w:sz="4" w:space="0" w:color="auto"/>
              <w:left w:val="nil"/>
              <w:bottom w:val="single" w:sz="4" w:space="0" w:color="auto"/>
              <w:right w:val="single" w:sz="4" w:space="0" w:color="auto"/>
            </w:tcBorders>
            <w:shd w:val="clear" w:color="000000" w:fill="B4C6E7"/>
            <w:noWrap/>
            <w:vAlign w:val="bottom"/>
            <w:hideMark/>
          </w:tcPr>
          <w:p w14:paraId="26F7E4B7"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Profits</w:t>
            </w:r>
          </w:p>
        </w:tc>
        <w:tc>
          <w:tcPr>
            <w:tcW w:w="1057" w:type="dxa"/>
            <w:tcBorders>
              <w:top w:val="single" w:sz="4" w:space="0" w:color="auto"/>
              <w:left w:val="nil"/>
              <w:bottom w:val="single" w:sz="4" w:space="0" w:color="auto"/>
              <w:right w:val="single" w:sz="4" w:space="0" w:color="auto"/>
            </w:tcBorders>
            <w:shd w:val="clear" w:color="000000" w:fill="B4C6E7"/>
            <w:noWrap/>
            <w:vAlign w:val="bottom"/>
            <w:hideMark/>
          </w:tcPr>
          <w:p w14:paraId="0F0E0B43" w14:textId="77777777" w:rsidR="00A02BD1" w:rsidRPr="007A0BE6" w:rsidRDefault="00A02BD1" w:rsidP="00C278B5">
            <w:pPr>
              <w:rPr>
                <w:rFonts w:ascii="Calibri" w:eastAsia="Times New Roman" w:hAnsi="Calibri"/>
                <w:b/>
                <w:bCs/>
                <w:color w:val="000000"/>
              </w:rPr>
            </w:pPr>
            <w:r w:rsidRPr="007A0BE6">
              <w:rPr>
                <w:rFonts w:ascii="Calibri" w:eastAsia="Times New Roman" w:hAnsi="Calibri"/>
                <w:b/>
                <w:bCs/>
                <w:color w:val="000000"/>
              </w:rPr>
              <w:t>ROI</w:t>
            </w:r>
          </w:p>
        </w:tc>
      </w:tr>
      <w:tr w:rsidR="00A02BD1" w:rsidRPr="00025BBE" w14:paraId="4BE8DE97" w14:textId="77777777" w:rsidTr="00C278B5">
        <w:trPr>
          <w:trHeight w:val="395"/>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93A9D3C"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8%</w:t>
            </w:r>
          </w:p>
        </w:tc>
        <w:tc>
          <w:tcPr>
            <w:tcW w:w="2335" w:type="dxa"/>
            <w:tcBorders>
              <w:top w:val="nil"/>
              <w:left w:val="nil"/>
              <w:bottom w:val="single" w:sz="4" w:space="0" w:color="auto"/>
              <w:right w:val="single" w:sz="4" w:space="0" w:color="auto"/>
            </w:tcBorders>
            <w:shd w:val="clear" w:color="auto" w:fill="auto"/>
            <w:noWrap/>
            <w:vAlign w:val="bottom"/>
            <w:hideMark/>
          </w:tcPr>
          <w:p w14:paraId="18AED673"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36693</w:t>
            </w:r>
          </w:p>
        </w:tc>
        <w:tc>
          <w:tcPr>
            <w:tcW w:w="2025" w:type="dxa"/>
            <w:tcBorders>
              <w:top w:val="nil"/>
              <w:left w:val="nil"/>
              <w:bottom w:val="single" w:sz="4" w:space="0" w:color="auto"/>
              <w:right w:val="single" w:sz="4" w:space="0" w:color="auto"/>
            </w:tcBorders>
            <w:shd w:val="clear" w:color="auto" w:fill="auto"/>
            <w:noWrap/>
            <w:vAlign w:val="bottom"/>
            <w:hideMark/>
          </w:tcPr>
          <w:p w14:paraId="0665B07B"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1584</w:t>
            </w:r>
          </w:p>
        </w:tc>
        <w:tc>
          <w:tcPr>
            <w:tcW w:w="994" w:type="dxa"/>
            <w:tcBorders>
              <w:top w:val="nil"/>
              <w:left w:val="nil"/>
              <w:bottom w:val="single" w:sz="4" w:space="0" w:color="auto"/>
              <w:right w:val="single" w:sz="4" w:space="0" w:color="auto"/>
            </w:tcBorders>
            <w:shd w:val="clear" w:color="auto" w:fill="auto"/>
            <w:noWrap/>
            <w:vAlign w:val="bottom"/>
            <w:hideMark/>
          </w:tcPr>
          <w:p w14:paraId="063002BA"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10827</w:t>
            </w:r>
          </w:p>
        </w:tc>
        <w:tc>
          <w:tcPr>
            <w:tcW w:w="1057" w:type="dxa"/>
            <w:tcBorders>
              <w:top w:val="nil"/>
              <w:left w:val="nil"/>
              <w:bottom w:val="single" w:sz="4" w:space="0" w:color="auto"/>
              <w:right w:val="single" w:sz="4" w:space="0" w:color="auto"/>
            </w:tcBorders>
            <w:shd w:val="clear" w:color="auto" w:fill="auto"/>
            <w:noWrap/>
            <w:vAlign w:val="bottom"/>
            <w:hideMark/>
          </w:tcPr>
          <w:p w14:paraId="7AE55B34"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29.51%</w:t>
            </w:r>
          </w:p>
        </w:tc>
      </w:tr>
      <w:tr w:rsidR="00A02BD1" w:rsidRPr="00025BBE" w14:paraId="567F20C3" w14:textId="77777777" w:rsidTr="00C278B5">
        <w:trPr>
          <w:trHeight w:val="32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FB014B5"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7%</w:t>
            </w:r>
          </w:p>
        </w:tc>
        <w:tc>
          <w:tcPr>
            <w:tcW w:w="2335" w:type="dxa"/>
            <w:tcBorders>
              <w:top w:val="nil"/>
              <w:left w:val="nil"/>
              <w:bottom w:val="single" w:sz="4" w:space="0" w:color="auto"/>
              <w:right w:val="single" w:sz="4" w:space="0" w:color="auto"/>
            </w:tcBorders>
            <w:shd w:val="clear" w:color="auto" w:fill="auto"/>
            <w:noWrap/>
            <w:vAlign w:val="bottom"/>
            <w:hideMark/>
          </w:tcPr>
          <w:p w14:paraId="61173307"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63098</w:t>
            </w:r>
          </w:p>
        </w:tc>
        <w:tc>
          <w:tcPr>
            <w:tcW w:w="2025" w:type="dxa"/>
            <w:tcBorders>
              <w:top w:val="nil"/>
              <w:left w:val="nil"/>
              <w:bottom w:val="single" w:sz="4" w:space="0" w:color="auto"/>
              <w:right w:val="single" w:sz="4" w:space="0" w:color="auto"/>
            </w:tcBorders>
            <w:shd w:val="clear" w:color="auto" w:fill="auto"/>
            <w:noWrap/>
            <w:vAlign w:val="bottom"/>
            <w:hideMark/>
          </w:tcPr>
          <w:p w14:paraId="520D7420"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2646</w:t>
            </w:r>
          </w:p>
        </w:tc>
        <w:tc>
          <w:tcPr>
            <w:tcW w:w="994" w:type="dxa"/>
            <w:tcBorders>
              <w:top w:val="nil"/>
              <w:left w:val="nil"/>
              <w:bottom w:val="single" w:sz="4" w:space="0" w:color="auto"/>
              <w:right w:val="single" w:sz="4" w:space="0" w:color="auto"/>
            </w:tcBorders>
            <w:shd w:val="clear" w:color="auto" w:fill="auto"/>
            <w:noWrap/>
            <w:vAlign w:val="bottom"/>
            <w:hideMark/>
          </w:tcPr>
          <w:p w14:paraId="692CCEA2"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16282</w:t>
            </w:r>
          </w:p>
        </w:tc>
        <w:tc>
          <w:tcPr>
            <w:tcW w:w="1057" w:type="dxa"/>
            <w:tcBorders>
              <w:top w:val="nil"/>
              <w:left w:val="nil"/>
              <w:bottom w:val="single" w:sz="4" w:space="0" w:color="auto"/>
              <w:right w:val="single" w:sz="4" w:space="0" w:color="auto"/>
            </w:tcBorders>
            <w:shd w:val="clear" w:color="auto" w:fill="auto"/>
            <w:noWrap/>
            <w:vAlign w:val="bottom"/>
            <w:hideMark/>
          </w:tcPr>
          <w:p w14:paraId="770002FA"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25.80%</w:t>
            </w:r>
          </w:p>
        </w:tc>
      </w:tr>
      <w:tr w:rsidR="00A02BD1" w:rsidRPr="00025BBE" w14:paraId="72675620" w14:textId="77777777" w:rsidTr="00C278B5">
        <w:trPr>
          <w:trHeight w:val="32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618C110"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6%</w:t>
            </w:r>
          </w:p>
        </w:tc>
        <w:tc>
          <w:tcPr>
            <w:tcW w:w="2335" w:type="dxa"/>
            <w:tcBorders>
              <w:top w:val="nil"/>
              <w:left w:val="nil"/>
              <w:bottom w:val="single" w:sz="4" w:space="0" w:color="auto"/>
              <w:right w:val="single" w:sz="4" w:space="0" w:color="auto"/>
            </w:tcBorders>
            <w:shd w:val="clear" w:color="auto" w:fill="auto"/>
            <w:noWrap/>
            <w:vAlign w:val="bottom"/>
            <w:hideMark/>
          </w:tcPr>
          <w:p w14:paraId="5EB3760D"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69236</w:t>
            </w:r>
          </w:p>
        </w:tc>
        <w:tc>
          <w:tcPr>
            <w:tcW w:w="2025" w:type="dxa"/>
            <w:tcBorders>
              <w:top w:val="nil"/>
              <w:left w:val="nil"/>
              <w:bottom w:val="single" w:sz="4" w:space="0" w:color="auto"/>
              <w:right w:val="single" w:sz="4" w:space="0" w:color="auto"/>
            </w:tcBorders>
            <w:shd w:val="clear" w:color="auto" w:fill="auto"/>
            <w:noWrap/>
            <w:vAlign w:val="bottom"/>
            <w:hideMark/>
          </w:tcPr>
          <w:p w14:paraId="25C4B880"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2808</w:t>
            </w:r>
          </w:p>
        </w:tc>
        <w:tc>
          <w:tcPr>
            <w:tcW w:w="994" w:type="dxa"/>
            <w:tcBorders>
              <w:top w:val="nil"/>
              <w:left w:val="nil"/>
              <w:bottom w:val="single" w:sz="4" w:space="0" w:color="auto"/>
              <w:right w:val="single" w:sz="4" w:space="0" w:color="auto"/>
            </w:tcBorders>
            <w:shd w:val="clear" w:color="auto" w:fill="auto"/>
            <w:noWrap/>
            <w:vAlign w:val="bottom"/>
            <w:hideMark/>
          </w:tcPr>
          <w:p w14:paraId="06E6CFEF"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15004</w:t>
            </w:r>
          </w:p>
        </w:tc>
        <w:tc>
          <w:tcPr>
            <w:tcW w:w="1057" w:type="dxa"/>
            <w:tcBorders>
              <w:top w:val="nil"/>
              <w:left w:val="nil"/>
              <w:bottom w:val="single" w:sz="4" w:space="0" w:color="auto"/>
              <w:right w:val="single" w:sz="4" w:space="0" w:color="auto"/>
            </w:tcBorders>
            <w:shd w:val="clear" w:color="auto" w:fill="auto"/>
            <w:noWrap/>
            <w:vAlign w:val="bottom"/>
            <w:hideMark/>
          </w:tcPr>
          <w:p w14:paraId="5FC3B799" w14:textId="77777777" w:rsidR="00A02BD1" w:rsidRPr="007A0BE6" w:rsidRDefault="00A02BD1" w:rsidP="00C278B5">
            <w:pPr>
              <w:jc w:val="right"/>
              <w:rPr>
                <w:rFonts w:ascii="Calibri" w:eastAsia="Times New Roman" w:hAnsi="Calibri"/>
                <w:color w:val="000000"/>
              </w:rPr>
            </w:pPr>
            <w:r w:rsidRPr="007A0BE6">
              <w:rPr>
                <w:rFonts w:ascii="Calibri" w:eastAsia="Times New Roman" w:hAnsi="Calibri"/>
                <w:color w:val="000000"/>
              </w:rPr>
              <w:t>21.67%</w:t>
            </w:r>
          </w:p>
        </w:tc>
      </w:tr>
    </w:tbl>
    <w:p w14:paraId="015FF8E6" w14:textId="77777777" w:rsidR="00A02BD1" w:rsidRPr="00025BBE" w:rsidRDefault="00A02BD1" w:rsidP="00A02BD1">
      <w:pPr>
        <w:rPr>
          <w:rFonts w:ascii="Calibri" w:hAnsi="Calibri"/>
          <w:lang w:val="en-US"/>
        </w:rPr>
      </w:pPr>
    </w:p>
    <w:p w14:paraId="59DC38FD" w14:textId="77777777" w:rsidR="00A02BD1" w:rsidRPr="00025BBE" w:rsidRDefault="00A02BD1" w:rsidP="00A02BD1">
      <w:pPr>
        <w:rPr>
          <w:rFonts w:ascii="Calibri" w:hAnsi="Calibri"/>
          <w:lang w:val="en-US"/>
        </w:rPr>
      </w:pPr>
    </w:p>
    <w:p w14:paraId="70832CE8" w14:textId="77777777" w:rsidR="00A02BD1" w:rsidRPr="00025BBE" w:rsidRDefault="00A02BD1" w:rsidP="00A02BD1">
      <w:pPr>
        <w:rPr>
          <w:rFonts w:ascii="Calibri" w:hAnsi="Calibri"/>
          <w:lang w:val="en-US"/>
        </w:rPr>
      </w:pPr>
      <w:r w:rsidRPr="00025BBE">
        <w:rPr>
          <w:rFonts w:ascii="Calibri" w:hAnsi="Calibri"/>
          <w:lang w:val="en-US"/>
        </w:rPr>
        <w:t>If we use assumption 1, our ROI for each of the three groups is 25.31%, 33.87% and 37.06%. If we use assumption 3, our ROI for each of the three groups is 21.67%, 25.8% and 29.51%. We can see that if we want to maximize our ROI, we should only mail to customers in the RFM group that had a response rate of 8% and more, but if we want to maximize profits then for assumption 3, mailing to customers in the RFM group that had a response rate of 7% and more would be better.</w:t>
      </w:r>
    </w:p>
    <w:p w14:paraId="735EB444" w14:textId="77777777" w:rsidR="00A02BD1" w:rsidRPr="00025BBE" w:rsidRDefault="00A02BD1" w:rsidP="00A02BD1">
      <w:pPr>
        <w:rPr>
          <w:rFonts w:ascii="Calibri" w:hAnsi="Calibri"/>
          <w:lang w:val="en-US"/>
        </w:rPr>
      </w:pPr>
    </w:p>
    <w:p w14:paraId="13369BCD" w14:textId="77777777" w:rsidR="00A02BD1" w:rsidRPr="00025BBE" w:rsidRDefault="00A02BD1" w:rsidP="00A02BD1">
      <w:pPr>
        <w:rPr>
          <w:rFonts w:ascii="Calibri" w:hAnsi="Calibri"/>
          <w:b/>
          <w:sz w:val="28"/>
          <w:szCs w:val="28"/>
          <w:lang w:val="en-US"/>
        </w:rPr>
      </w:pPr>
      <w:r w:rsidRPr="00025BBE">
        <w:rPr>
          <w:rFonts w:ascii="Calibri" w:hAnsi="Calibri"/>
          <w:b/>
          <w:sz w:val="28"/>
          <w:szCs w:val="28"/>
          <w:lang w:val="en-US"/>
        </w:rPr>
        <w:t>Part C</w:t>
      </w:r>
    </w:p>
    <w:p w14:paraId="3103CE22" w14:textId="77777777" w:rsidR="00A02BD1" w:rsidRPr="00025BBE" w:rsidRDefault="00A02BD1" w:rsidP="00A02BD1">
      <w:pPr>
        <w:rPr>
          <w:rFonts w:ascii="Calibri" w:hAnsi="Calibri"/>
          <w:lang w:val="en-US"/>
        </w:rPr>
      </w:pPr>
      <w:r w:rsidRPr="00025BBE">
        <w:rPr>
          <w:rFonts w:ascii="Calibri" w:hAnsi="Calibri"/>
          <w:lang w:val="en-US"/>
        </w:rPr>
        <w:t>For part C, we added age and income in addition to RFM. According to a report by Packaged Facts (2018), “the food gifting market remains buoyed by higher-household income consumers and is heavily dependent on older consumers”. Hence, age and income are dimensions to target because it is usually middle-aged customers who would buy food gifts for their friends or are in charge in the family to buy them. Also, those with higher income would have a higher propensity to spend on food gifts.</w:t>
      </w:r>
    </w:p>
    <w:p w14:paraId="7A07ACD7" w14:textId="77777777" w:rsidR="00A02BD1" w:rsidRPr="00025BBE" w:rsidRDefault="00A02BD1" w:rsidP="00A02BD1">
      <w:pPr>
        <w:rPr>
          <w:rFonts w:ascii="Calibri" w:hAnsi="Calibri"/>
          <w:lang w:val="en-US"/>
        </w:rPr>
      </w:pPr>
    </w:p>
    <w:p w14:paraId="137EA0AE" w14:textId="77777777" w:rsidR="00A02BD1" w:rsidRPr="00025BBE" w:rsidRDefault="00A02BD1" w:rsidP="00A02BD1">
      <w:pPr>
        <w:rPr>
          <w:rFonts w:ascii="Calibri" w:hAnsi="Calibri"/>
          <w:lang w:val="en-US"/>
        </w:rPr>
      </w:pPr>
      <w:r w:rsidRPr="00025BBE">
        <w:rPr>
          <w:rFonts w:ascii="Calibri" w:hAnsi="Calibri"/>
          <w:lang w:val="en-US"/>
        </w:rPr>
        <w:t>For both assumptions, we adjusted our minimum response rates for each of the three groups to send similar number of catalogs that we sent to the three groups in part B within the same time frame stated.</w:t>
      </w:r>
    </w:p>
    <w:p w14:paraId="7BE6EE53" w14:textId="77777777" w:rsidR="00A02BD1" w:rsidRPr="00025BBE" w:rsidRDefault="00A02BD1" w:rsidP="00A02BD1">
      <w:pPr>
        <w:rPr>
          <w:rFonts w:ascii="Calibri" w:hAnsi="Calibri"/>
          <w:lang w:val="en-US"/>
        </w:rPr>
      </w:pPr>
    </w:p>
    <w:p w14:paraId="6551F26B" w14:textId="77777777" w:rsidR="00A02BD1" w:rsidRPr="00025BBE" w:rsidRDefault="00A02BD1" w:rsidP="00A02BD1">
      <w:pPr>
        <w:rPr>
          <w:rFonts w:ascii="Calibri" w:hAnsi="Calibri"/>
          <w:b/>
          <w:lang w:val="en-US"/>
        </w:rPr>
      </w:pPr>
      <w:r w:rsidRPr="00025BBE">
        <w:rPr>
          <w:rFonts w:ascii="Calibri" w:hAnsi="Calibri"/>
          <w:b/>
          <w:lang w:val="en-US"/>
        </w:rPr>
        <w:t>Using Assumption 1</w:t>
      </w:r>
    </w:p>
    <w:tbl>
      <w:tblPr>
        <w:tblW w:w="8513" w:type="dxa"/>
        <w:tblLook w:val="04A0" w:firstRow="1" w:lastRow="0" w:firstColumn="1" w:lastColumn="0" w:noHBand="0" w:noVBand="1"/>
      </w:tblPr>
      <w:tblGrid>
        <w:gridCol w:w="1980"/>
        <w:gridCol w:w="2335"/>
        <w:gridCol w:w="2147"/>
        <w:gridCol w:w="994"/>
        <w:gridCol w:w="1057"/>
      </w:tblGrid>
      <w:tr w:rsidR="00A02BD1" w:rsidRPr="00025BBE" w14:paraId="35505B9D" w14:textId="77777777" w:rsidTr="00C278B5">
        <w:trPr>
          <w:trHeight w:val="320"/>
        </w:trPr>
        <w:tc>
          <w:tcPr>
            <w:tcW w:w="19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3CDCDE9" w14:textId="77777777" w:rsidR="00A02BD1" w:rsidRPr="00025BBE" w:rsidRDefault="00A02BD1" w:rsidP="00C278B5">
            <w:pPr>
              <w:rPr>
                <w:rFonts w:ascii="Calibri" w:eastAsia="Times New Roman" w:hAnsi="Calibri"/>
                <w:b/>
                <w:bCs/>
                <w:color w:val="000000"/>
              </w:rPr>
            </w:pPr>
            <w:r w:rsidRPr="00025BBE">
              <w:rPr>
                <w:rFonts w:ascii="Calibri" w:eastAsia="Times New Roman" w:hAnsi="Calibri"/>
                <w:b/>
                <w:bCs/>
                <w:color w:val="000000"/>
              </w:rPr>
              <w:t>Response Rate</w:t>
            </w:r>
          </w:p>
        </w:tc>
        <w:tc>
          <w:tcPr>
            <w:tcW w:w="2335" w:type="dxa"/>
            <w:tcBorders>
              <w:top w:val="single" w:sz="4" w:space="0" w:color="auto"/>
              <w:left w:val="nil"/>
              <w:bottom w:val="single" w:sz="4" w:space="0" w:color="auto"/>
              <w:right w:val="single" w:sz="4" w:space="0" w:color="auto"/>
            </w:tcBorders>
            <w:shd w:val="clear" w:color="000000" w:fill="B4C6E7"/>
            <w:noWrap/>
            <w:vAlign w:val="bottom"/>
            <w:hideMark/>
          </w:tcPr>
          <w:p w14:paraId="596131B8" w14:textId="77777777" w:rsidR="00A02BD1" w:rsidRPr="00025BBE" w:rsidRDefault="00A02BD1" w:rsidP="00C278B5">
            <w:pPr>
              <w:rPr>
                <w:rFonts w:ascii="Calibri" w:eastAsia="Times New Roman" w:hAnsi="Calibri"/>
                <w:b/>
                <w:bCs/>
                <w:color w:val="000000"/>
              </w:rPr>
            </w:pPr>
            <w:r w:rsidRPr="00025BBE">
              <w:rPr>
                <w:rFonts w:ascii="Calibri" w:eastAsia="Times New Roman" w:hAnsi="Calibri"/>
                <w:b/>
                <w:bCs/>
                <w:color w:val="000000"/>
              </w:rPr>
              <w:t>Number of Contacts</w:t>
            </w:r>
          </w:p>
        </w:tc>
        <w:tc>
          <w:tcPr>
            <w:tcW w:w="2147" w:type="dxa"/>
            <w:tcBorders>
              <w:top w:val="single" w:sz="4" w:space="0" w:color="auto"/>
              <w:left w:val="nil"/>
              <w:bottom w:val="single" w:sz="4" w:space="0" w:color="auto"/>
              <w:right w:val="single" w:sz="4" w:space="0" w:color="auto"/>
            </w:tcBorders>
            <w:shd w:val="clear" w:color="000000" w:fill="B4C6E7"/>
            <w:noWrap/>
            <w:vAlign w:val="bottom"/>
            <w:hideMark/>
          </w:tcPr>
          <w:p w14:paraId="00BD4407" w14:textId="77777777" w:rsidR="00A02BD1" w:rsidRPr="00025BBE" w:rsidRDefault="00A02BD1" w:rsidP="00C278B5">
            <w:pPr>
              <w:rPr>
                <w:rFonts w:ascii="Calibri" w:eastAsia="Times New Roman" w:hAnsi="Calibri"/>
                <w:b/>
                <w:bCs/>
                <w:color w:val="000000"/>
              </w:rPr>
            </w:pPr>
            <w:r w:rsidRPr="00025BBE">
              <w:rPr>
                <w:rFonts w:ascii="Calibri" w:eastAsia="Times New Roman" w:hAnsi="Calibri"/>
                <w:b/>
                <w:bCs/>
                <w:color w:val="000000"/>
              </w:rPr>
              <w:t>Number of Orders</w:t>
            </w:r>
          </w:p>
        </w:tc>
        <w:tc>
          <w:tcPr>
            <w:tcW w:w="994" w:type="dxa"/>
            <w:tcBorders>
              <w:top w:val="single" w:sz="4" w:space="0" w:color="auto"/>
              <w:left w:val="nil"/>
              <w:bottom w:val="single" w:sz="4" w:space="0" w:color="auto"/>
              <w:right w:val="single" w:sz="4" w:space="0" w:color="auto"/>
            </w:tcBorders>
            <w:shd w:val="clear" w:color="000000" w:fill="B4C6E7"/>
            <w:noWrap/>
            <w:vAlign w:val="bottom"/>
            <w:hideMark/>
          </w:tcPr>
          <w:p w14:paraId="77E76E65" w14:textId="77777777" w:rsidR="00A02BD1" w:rsidRPr="00025BBE" w:rsidRDefault="00A02BD1" w:rsidP="00C278B5">
            <w:pPr>
              <w:rPr>
                <w:rFonts w:ascii="Calibri" w:eastAsia="Times New Roman" w:hAnsi="Calibri"/>
                <w:b/>
                <w:bCs/>
                <w:color w:val="000000"/>
              </w:rPr>
            </w:pPr>
            <w:r w:rsidRPr="00025BBE">
              <w:rPr>
                <w:rFonts w:ascii="Calibri" w:eastAsia="Times New Roman" w:hAnsi="Calibri"/>
                <w:b/>
                <w:bCs/>
                <w:color w:val="000000"/>
              </w:rPr>
              <w:t>Profits</w:t>
            </w:r>
          </w:p>
        </w:tc>
        <w:tc>
          <w:tcPr>
            <w:tcW w:w="1057" w:type="dxa"/>
            <w:tcBorders>
              <w:top w:val="single" w:sz="4" w:space="0" w:color="auto"/>
              <w:left w:val="nil"/>
              <w:bottom w:val="single" w:sz="4" w:space="0" w:color="auto"/>
              <w:right w:val="single" w:sz="4" w:space="0" w:color="auto"/>
            </w:tcBorders>
            <w:shd w:val="clear" w:color="000000" w:fill="B4C6E7"/>
            <w:noWrap/>
            <w:vAlign w:val="bottom"/>
            <w:hideMark/>
          </w:tcPr>
          <w:p w14:paraId="04831F31" w14:textId="77777777" w:rsidR="00A02BD1" w:rsidRPr="00025BBE" w:rsidRDefault="00A02BD1" w:rsidP="00C278B5">
            <w:pPr>
              <w:rPr>
                <w:rFonts w:ascii="Calibri" w:eastAsia="Times New Roman" w:hAnsi="Calibri"/>
                <w:b/>
                <w:bCs/>
                <w:color w:val="000000"/>
              </w:rPr>
            </w:pPr>
            <w:r w:rsidRPr="00025BBE">
              <w:rPr>
                <w:rFonts w:ascii="Calibri" w:eastAsia="Times New Roman" w:hAnsi="Calibri"/>
                <w:b/>
                <w:bCs/>
                <w:color w:val="000000"/>
              </w:rPr>
              <w:t>ROI</w:t>
            </w:r>
          </w:p>
        </w:tc>
      </w:tr>
      <w:tr w:rsidR="00A02BD1" w:rsidRPr="00025BBE" w14:paraId="5021CC74" w14:textId="77777777" w:rsidTr="00C278B5">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D77471"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6.8%</w:t>
            </w:r>
          </w:p>
        </w:tc>
        <w:tc>
          <w:tcPr>
            <w:tcW w:w="2335" w:type="dxa"/>
            <w:tcBorders>
              <w:top w:val="nil"/>
              <w:left w:val="nil"/>
              <w:bottom w:val="single" w:sz="4" w:space="0" w:color="auto"/>
              <w:right w:val="single" w:sz="4" w:space="0" w:color="auto"/>
            </w:tcBorders>
            <w:shd w:val="clear" w:color="auto" w:fill="auto"/>
            <w:noWrap/>
            <w:vAlign w:val="bottom"/>
            <w:hideMark/>
          </w:tcPr>
          <w:p w14:paraId="729B0E28"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59841</w:t>
            </w:r>
          </w:p>
        </w:tc>
        <w:tc>
          <w:tcPr>
            <w:tcW w:w="2147" w:type="dxa"/>
            <w:tcBorders>
              <w:top w:val="nil"/>
              <w:left w:val="nil"/>
              <w:bottom w:val="single" w:sz="4" w:space="0" w:color="auto"/>
              <w:right w:val="single" w:sz="4" w:space="0" w:color="auto"/>
            </w:tcBorders>
            <w:shd w:val="clear" w:color="auto" w:fill="auto"/>
            <w:noWrap/>
            <w:vAlign w:val="bottom"/>
            <w:hideMark/>
          </w:tcPr>
          <w:p w14:paraId="417AFF14"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2533</w:t>
            </w:r>
          </w:p>
        </w:tc>
        <w:tc>
          <w:tcPr>
            <w:tcW w:w="994" w:type="dxa"/>
            <w:tcBorders>
              <w:top w:val="nil"/>
              <w:left w:val="nil"/>
              <w:bottom w:val="single" w:sz="4" w:space="0" w:color="auto"/>
              <w:right w:val="single" w:sz="4" w:space="0" w:color="auto"/>
            </w:tcBorders>
            <w:shd w:val="clear" w:color="auto" w:fill="auto"/>
            <w:noWrap/>
            <w:vAlign w:val="bottom"/>
            <w:hideMark/>
          </w:tcPr>
          <w:p w14:paraId="2698877F"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16149</w:t>
            </w:r>
          </w:p>
        </w:tc>
        <w:tc>
          <w:tcPr>
            <w:tcW w:w="1057" w:type="dxa"/>
            <w:tcBorders>
              <w:top w:val="nil"/>
              <w:left w:val="nil"/>
              <w:bottom w:val="single" w:sz="4" w:space="0" w:color="auto"/>
              <w:right w:val="single" w:sz="4" w:space="0" w:color="auto"/>
            </w:tcBorders>
            <w:shd w:val="clear" w:color="auto" w:fill="auto"/>
            <w:noWrap/>
            <w:vAlign w:val="bottom"/>
            <w:hideMark/>
          </w:tcPr>
          <w:p w14:paraId="4492D5D3"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26.99%</w:t>
            </w:r>
          </w:p>
        </w:tc>
      </w:tr>
      <w:tr w:rsidR="00A02BD1" w:rsidRPr="00025BBE" w14:paraId="3E330AAD" w14:textId="77777777" w:rsidTr="00C278B5">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AD5EF3"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lastRenderedPageBreak/>
              <w:t>6.5%</w:t>
            </w:r>
          </w:p>
        </w:tc>
        <w:tc>
          <w:tcPr>
            <w:tcW w:w="2335" w:type="dxa"/>
            <w:tcBorders>
              <w:top w:val="nil"/>
              <w:left w:val="nil"/>
              <w:bottom w:val="single" w:sz="4" w:space="0" w:color="auto"/>
              <w:right w:val="single" w:sz="4" w:space="0" w:color="auto"/>
            </w:tcBorders>
            <w:shd w:val="clear" w:color="auto" w:fill="auto"/>
            <w:noWrap/>
            <w:vAlign w:val="bottom"/>
            <w:hideMark/>
          </w:tcPr>
          <w:p w14:paraId="05205DD5"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63437</w:t>
            </w:r>
          </w:p>
        </w:tc>
        <w:tc>
          <w:tcPr>
            <w:tcW w:w="2147" w:type="dxa"/>
            <w:tcBorders>
              <w:top w:val="nil"/>
              <w:left w:val="nil"/>
              <w:bottom w:val="single" w:sz="4" w:space="0" w:color="auto"/>
              <w:right w:val="single" w:sz="4" w:space="0" w:color="auto"/>
            </w:tcBorders>
            <w:shd w:val="clear" w:color="auto" w:fill="auto"/>
            <w:noWrap/>
            <w:vAlign w:val="bottom"/>
            <w:hideMark/>
          </w:tcPr>
          <w:p w14:paraId="45BC67C8"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2667</w:t>
            </w:r>
          </w:p>
        </w:tc>
        <w:tc>
          <w:tcPr>
            <w:tcW w:w="994" w:type="dxa"/>
            <w:tcBorders>
              <w:top w:val="nil"/>
              <w:left w:val="nil"/>
              <w:bottom w:val="single" w:sz="4" w:space="0" w:color="auto"/>
              <w:right w:val="single" w:sz="4" w:space="0" w:color="auto"/>
            </w:tcBorders>
            <w:shd w:val="clear" w:color="auto" w:fill="auto"/>
            <w:noWrap/>
            <w:vAlign w:val="bottom"/>
            <w:hideMark/>
          </w:tcPr>
          <w:p w14:paraId="67E62E5C"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16573</w:t>
            </w:r>
          </w:p>
        </w:tc>
        <w:tc>
          <w:tcPr>
            <w:tcW w:w="1057" w:type="dxa"/>
            <w:tcBorders>
              <w:top w:val="nil"/>
              <w:left w:val="nil"/>
              <w:bottom w:val="single" w:sz="4" w:space="0" w:color="auto"/>
              <w:right w:val="single" w:sz="4" w:space="0" w:color="auto"/>
            </w:tcBorders>
            <w:shd w:val="clear" w:color="auto" w:fill="auto"/>
            <w:noWrap/>
            <w:vAlign w:val="bottom"/>
            <w:hideMark/>
          </w:tcPr>
          <w:p w14:paraId="048D5CF0"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26.13%</w:t>
            </w:r>
          </w:p>
        </w:tc>
      </w:tr>
      <w:tr w:rsidR="00A02BD1" w:rsidRPr="00025BBE" w14:paraId="12944649" w14:textId="77777777" w:rsidTr="00C278B5">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2D5E1F"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5.5%</w:t>
            </w:r>
          </w:p>
        </w:tc>
        <w:tc>
          <w:tcPr>
            <w:tcW w:w="2335" w:type="dxa"/>
            <w:tcBorders>
              <w:top w:val="nil"/>
              <w:left w:val="nil"/>
              <w:bottom w:val="single" w:sz="4" w:space="0" w:color="auto"/>
              <w:right w:val="single" w:sz="4" w:space="0" w:color="auto"/>
            </w:tcBorders>
            <w:shd w:val="clear" w:color="auto" w:fill="auto"/>
            <w:noWrap/>
            <w:vAlign w:val="bottom"/>
            <w:hideMark/>
          </w:tcPr>
          <w:p w14:paraId="3280ABD8"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76441</w:t>
            </w:r>
          </w:p>
        </w:tc>
        <w:tc>
          <w:tcPr>
            <w:tcW w:w="2147" w:type="dxa"/>
            <w:tcBorders>
              <w:top w:val="nil"/>
              <w:left w:val="nil"/>
              <w:bottom w:val="single" w:sz="4" w:space="0" w:color="auto"/>
              <w:right w:val="single" w:sz="4" w:space="0" w:color="auto"/>
            </w:tcBorders>
            <w:shd w:val="clear" w:color="auto" w:fill="auto"/>
            <w:noWrap/>
            <w:vAlign w:val="bottom"/>
            <w:hideMark/>
          </w:tcPr>
          <w:p w14:paraId="0D4D5C7B"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3055</w:t>
            </w:r>
          </w:p>
        </w:tc>
        <w:tc>
          <w:tcPr>
            <w:tcW w:w="994" w:type="dxa"/>
            <w:tcBorders>
              <w:top w:val="nil"/>
              <w:left w:val="nil"/>
              <w:bottom w:val="single" w:sz="4" w:space="0" w:color="auto"/>
              <w:right w:val="single" w:sz="4" w:space="0" w:color="auto"/>
            </w:tcBorders>
            <w:shd w:val="clear" w:color="auto" w:fill="auto"/>
            <w:noWrap/>
            <w:vAlign w:val="bottom"/>
            <w:hideMark/>
          </w:tcPr>
          <w:p w14:paraId="6BE19A72"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15209</w:t>
            </w:r>
          </w:p>
        </w:tc>
        <w:tc>
          <w:tcPr>
            <w:tcW w:w="1057" w:type="dxa"/>
            <w:tcBorders>
              <w:top w:val="nil"/>
              <w:left w:val="nil"/>
              <w:bottom w:val="single" w:sz="4" w:space="0" w:color="auto"/>
              <w:right w:val="single" w:sz="4" w:space="0" w:color="auto"/>
            </w:tcBorders>
            <w:shd w:val="clear" w:color="auto" w:fill="auto"/>
            <w:noWrap/>
            <w:vAlign w:val="bottom"/>
            <w:hideMark/>
          </w:tcPr>
          <w:p w14:paraId="48EEF75B" w14:textId="77777777" w:rsidR="00A02BD1" w:rsidRPr="00025BBE" w:rsidRDefault="00A02BD1" w:rsidP="00C278B5">
            <w:pPr>
              <w:jc w:val="right"/>
              <w:rPr>
                <w:rFonts w:ascii="Calibri" w:eastAsia="Times New Roman" w:hAnsi="Calibri"/>
                <w:color w:val="000000"/>
              </w:rPr>
            </w:pPr>
            <w:r w:rsidRPr="00025BBE">
              <w:rPr>
                <w:rFonts w:ascii="Calibri" w:eastAsia="Times New Roman" w:hAnsi="Calibri"/>
                <w:color w:val="000000"/>
              </w:rPr>
              <w:t>19.90%</w:t>
            </w:r>
          </w:p>
        </w:tc>
      </w:tr>
    </w:tbl>
    <w:p w14:paraId="5D592B65" w14:textId="77777777" w:rsidR="00A02BD1" w:rsidRDefault="00A02BD1" w:rsidP="00A02BD1">
      <w:pPr>
        <w:rPr>
          <w:rFonts w:ascii="Calibri" w:hAnsi="Calibri"/>
          <w:lang w:val="en-US"/>
        </w:rPr>
      </w:pPr>
    </w:p>
    <w:p w14:paraId="40E2A978" w14:textId="77777777" w:rsidR="00A02BD1" w:rsidRPr="009F439E" w:rsidRDefault="00A02BD1" w:rsidP="00A02BD1">
      <w:pPr>
        <w:rPr>
          <w:rFonts w:ascii="Calibri" w:hAnsi="Calibri"/>
          <w:b/>
          <w:lang w:val="en-US"/>
        </w:rPr>
      </w:pPr>
      <w:r>
        <w:rPr>
          <w:rFonts w:ascii="Calibri" w:hAnsi="Calibri"/>
          <w:b/>
          <w:lang w:val="en-US"/>
        </w:rPr>
        <w:t>Using Assumption 3</w:t>
      </w:r>
    </w:p>
    <w:tbl>
      <w:tblPr>
        <w:tblW w:w="8513" w:type="dxa"/>
        <w:tblLook w:val="04A0" w:firstRow="1" w:lastRow="0" w:firstColumn="1" w:lastColumn="0" w:noHBand="0" w:noVBand="1"/>
      </w:tblPr>
      <w:tblGrid>
        <w:gridCol w:w="1980"/>
        <w:gridCol w:w="2335"/>
        <w:gridCol w:w="2147"/>
        <w:gridCol w:w="994"/>
        <w:gridCol w:w="1057"/>
      </w:tblGrid>
      <w:tr w:rsidR="00A02BD1" w14:paraId="3B0E5542" w14:textId="77777777" w:rsidTr="00C278B5">
        <w:trPr>
          <w:trHeight w:val="320"/>
        </w:trPr>
        <w:tc>
          <w:tcPr>
            <w:tcW w:w="19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28C2A06" w14:textId="77777777" w:rsidR="00A02BD1" w:rsidRDefault="00A02BD1" w:rsidP="00C278B5">
            <w:pPr>
              <w:rPr>
                <w:rFonts w:ascii="Calibri" w:eastAsia="Times New Roman" w:hAnsi="Calibri"/>
                <w:b/>
                <w:bCs/>
                <w:color w:val="000000"/>
              </w:rPr>
            </w:pPr>
            <w:r>
              <w:rPr>
                <w:rFonts w:ascii="Calibri" w:eastAsia="Times New Roman" w:hAnsi="Calibri"/>
                <w:b/>
                <w:bCs/>
                <w:color w:val="000000"/>
              </w:rPr>
              <w:t>Response Rate</w:t>
            </w:r>
          </w:p>
        </w:tc>
        <w:tc>
          <w:tcPr>
            <w:tcW w:w="2335" w:type="dxa"/>
            <w:tcBorders>
              <w:top w:val="single" w:sz="4" w:space="0" w:color="auto"/>
              <w:left w:val="nil"/>
              <w:bottom w:val="single" w:sz="4" w:space="0" w:color="auto"/>
              <w:right w:val="single" w:sz="4" w:space="0" w:color="auto"/>
            </w:tcBorders>
            <w:shd w:val="clear" w:color="000000" w:fill="B4C6E7"/>
            <w:noWrap/>
            <w:vAlign w:val="bottom"/>
            <w:hideMark/>
          </w:tcPr>
          <w:p w14:paraId="66350251" w14:textId="77777777" w:rsidR="00A02BD1" w:rsidRDefault="00A02BD1" w:rsidP="00C278B5">
            <w:pPr>
              <w:rPr>
                <w:rFonts w:ascii="Calibri" w:eastAsia="Times New Roman" w:hAnsi="Calibri"/>
                <w:b/>
                <w:bCs/>
                <w:color w:val="000000"/>
              </w:rPr>
            </w:pPr>
            <w:r>
              <w:rPr>
                <w:rFonts w:ascii="Calibri" w:eastAsia="Times New Roman" w:hAnsi="Calibri"/>
                <w:b/>
                <w:bCs/>
                <w:color w:val="000000"/>
              </w:rPr>
              <w:t>Number of Contacts</w:t>
            </w:r>
          </w:p>
        </w:tc>
        <w:tc>
          <w:tcPr>
            <w:tcW w:w="2147" w:type="dxa"/>
            <w:tcBorders>
              <w:top w:val="single" w:sz="4" w:space="0" w:color="auto"/>
              <w:left w:val="nil"/>
              <w:bottom w:val="single" w:sz="4" w:space="0" w:color="auto"/>
              <w:right w:val="single" w:sz="4" w:space="0" w:color="auto"/>
            </w:tcBorders>
            <w:shd w:val="clear" w:color="000000" w:fill="B4C6E7"/>
            <w:noWrap/>
            <w:vAlign w:val="bottom"/>
            <w:hideMark/>
          </w:tcPr>
          <w:p w14:paraId="1AA6CAF9" w14:textId="77777777" w:rsidR="00A02BD1" w:rsidRDefault="00A02BD1" w:rsidP="00C278B5">
            <w:pPr>
              <w:rPr>
                <w:rFonts w:ascii="Calibri" w:eastAsia="Times New Roman" w:hAnsi="Calibri"/>
                <w:b/>
                <w:bCs/>
                <w:color w:val="000000"/>
              </w:rPr>
            </w:pPr>
            <w:r>
              <w:rPr>
                <w:rFonts w:ascii="Calibri" w:eastAsia="Times New Roman" w:hAnsi="Calibri"/>
                <w:b/>
                <w:bCs/>
                <w:color w:val="000000"/>
              </w:rPr>
              <w:t>Number of Orders</w:t>
            </w:r>
          </w:p>
        </w:tc>
        <w:tc>
          <w:tcPr>
            <w:tcW w:w="994" w:type="dxa"/>
            <w:tcBorders>
              <w:top w:val="single" w:sz="4" w:space="0" w:color="auto"/>
              <w:left w:val="nil"/>
              <w:bottom w:val="single" w:sz="4" w:space="0" w:color="auto"/>
              <w:right w:val="single" w:sz="4" w:space="0" w:color="auto"/>
            </w:tcBorders>
            <w:shd w:val="clear" w:color="000000" w:fill="B4C6E7"/>
            <w:noWrap/>
            <w:vAlign w:val="bottom"/>
            <w:hideMark/>
          </w:tcPr>
          <w:p w14:paraId="0BC57B5E" w14:textId="77777777" w:rsidR="00A02BD1" w:rsidRDefault="00A02BD1" w:rsidP="00C278B5">
            <w:pPr>
              <w:rPr>
                <w:rFonts w:ascii="Calibri" w:eastAsia="Times New Roman" w:hAnsi="Calibri"/>
                <w:b/>
                <w:bCs/>
                <w:color w:val="000000"/>
              </w:rPr>
            </w:pPr>
            <w:r>
              <w:rPr>
                <w:rFonts w:ascii="Calibri" w:eastAsia="Times New Roman" w:hAnsi="Calibri"/>
                <w:b/>
                <w:bCs/>
                <w:color w:val="000000"/>
              </w:rPr>
              <w:t>Profits</w:t>
            </w:r>
          </w:p>
        </w:tc>
        <w:tc>
          <w:tcPr>
            <w:tcW w:w="1057" w:type="dxa"/>
            <w:tcBorders>
              <w:top w:val="single" w:sz="4" w:space="0" w:color="auto"/>
              <w:left w:val="nil"/>
              <w:bottom w:val="single" w:sz="4" w:space="0" w:color="auto"/>
              <w:right w:val="single" w:sz="4" w:space="0" w:color="auto"/>
            </w:tcBorders>
            <w:shd w:val="clear" w:color="000000" w:fill="B4C6E7"/>
            <w:noWrap/>
            <w:vAlign w:val="bottom"/>
            <w:hideMark/>
          </w:tcPr>
          <w:p w14:paraId="321A6E83" w14:textId="77777777" w:rsidR="00A02BD1" w:rsidRDefault="00A02BD1" w:rsidP="00C278B5">
            <w:pPr>
              <w:rPr>
                <w:rFonts w:ascii="Calibri" w:eastAsia="Times New Roman" w:hAnsi="Calibri"/>
                <w:b/>
                <w:bCs/>
                <w:color w:val="000000"/>
              </w:rPr>
            </w:pPr>
            <w:r>
              <w:rPr>
                <w:rFonts w:ascii="Calibri" w:eastAsia="Times New Roman" w:hAnsi="Calibri"/>
                <w:b/>
                <w:bCs/>
                <w:color w:val="000000"/>
              </w:rPr>
              <w:t>ROI</w:t>
            </w:r>
          </w:p>
        </w:tc>
      </w:tr>
      <w:tr w:rsidR="00A02BD1" w14:paraId="7C1141E9" w14:textId="77777777" w:rsidTr="00C278B5">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E98B43" w14:textId="77777777" w:rsidR="00A02BD1" w:rsidRDefault="00A02BD1" w:rsidP="00C278B5">
            <w:pPr>
              <w:jc w:val="right"/>
              <w:rPr>
                <w:rFonts w:ascii="Calibri" w:eastAsia="Times New Roman" w:hAnsi="Calibri"/>
                <w:color w:val="000000"/>
              </w:rPr>
            </w:pPr>
            <w:r>
              <w:rPr>
                <w:rFonts w:ascii="Calibri" w:eastAsia="Times New Roman" w:hAnsi="Calibri"/>
                <w:color w:val="000000"/>
              </w:rPr>
              <w:t>7.74%</w:t>
            </w:r>
          </w:p>
        </w:tc>
        <w:tc>
          <w:tcPr>
            <w:tcW w:w="2335" w:type="dxa"/>
            <w:tcBorders>
              <w:top w:val="nil"/>
              <w:left w:val="nil"/>
              <w:bottom w:val="single" w:sz="4" w:space="0" w:color="auto"/>
              <w:right w:val="single" w:sz="4" w:space="0" w:color="auto"/>
            </w:tcBorders>
            <w:shd w:val="clear" w:color="auto" w:fill="auto"/>
            <w:noWrap/>
            <w:vAlign w:val="bottom"/>
            <w:hideMark/>
          </w:tcPr>
          <w:p w14:paraId="2D904B5A" w14:textId="77777777" w:rsidR="00A02BD1" w:rsidRDefault="00A02BD1" w:rsidP="00C278B5">
            <w:pPr>
              <w:jc w:val="right"/>
              <w:rPr>
                <w:rFonts w:ascii="Calibri" w:eastAsia="Times New Roman" w:hAnsi="Calibri"/>
                <w:color w:val="000000"/>
              </w:rPr>
            </w:pPr>
            <w:r>
              <w:rPr>
                <w:rFonts w:ascii="Calibri" w:eastAsia="Times New Roman" w:hAnsi="Calibri"/>
                <w:color w:val="000000"/>
              </w:rPr>
              <w:t>37094</w:t>
            </w:r>
          </w:p>
        </w:tc>
        <w:tc>
          <w:tcPr>
            <w:tcW w:w="2147" w:type="dxa"/>
            <w:tcBorders>
              <w:top w:val="nil"/>
              <w:left w:val="nil"/>
              <w:bottom w:val="single" w:sz="4" w:space="0" w:color="auto"/>
              <w:right w:val="single" w:sz="4" w:space="0" w:color="auto"/>
            </w:tcBorders>
            <w:shd w:val="clear" w:color="auto" w:fill="auto"/>
            <w:noWrap/>
            <w:vAlign w:val="bottom"/>
            <w:hideMark/>
          </w:tcPr>
          <w:p w14:paraId="13A79683" w14:textId="77777777" w:rsidR="00A02BD1" w:rsidRDefault="00A02BD1" w:rsidP="00C278B5">
            <w:pPr>
              <w:jc w:val="right"/>
              <w:rPr>
                <w:rFonts w:ascii="Calibri" w:eastAsia="Times New Roman" w:hAnsi="Calibri"/>
                <w:color w:val="000000"/>
              </w:rPr>
            </w:pPr>
            <w:r>
              <w:rPr>
                <w:rFonts w:ascii="Calibri" w:eastAsia="Times New Roman" w:hAnsi="Calibri"/>
                <w:color w:val="000000"/>
              </w:rPr>
              <w:t>1594</w:t>
            </w:r>
          </w:p>
        </w:tc>
        <w:tc>
          <w:tcPr>
            <w:tcW w:w="994" w:type="dxa"/>
            <w:tcBorders>
              <w:top w:val="nil"/>
              <w:left w:val="nil"/>
              <w:bottom w:val="single" w:sz="4" w:space="0" w:color="auto"/>
              <w:right w:val="single" w:sz="4" w:space="0" w:color="auto"/>
            </w:tcBorders>
            <w:shd w:val="clear" w:color="auto" w:fill="auto"/>
            <w:noWrap/>
            <w:vAlign w:val="bottom"/>
            <w:hideMark/>
          </w:tcPr>
          <w:p w14:paraId="1F45D8C3" w14:textId="77777777" w:rsidR="00A02BD1" w:rsidRDefault="00A02BD1" w:rsidP="00C278B5">
            <w:pPr>
              <w:jc w:val="right"/>
              <w:rPr>
                <w:rFonts w:ascii="Calibri" w:eastAsia="Times New Roman" w:hAnsi="Calibri"/>
                <w:color w:val="000000"/>
              </w:rPr>
            </w:pPr>
            <w:r>
              <w:rPr>
                <w:rFonts w:ascii="Calibri" w:eastAsia="Times New Roman" w:hAnsi="Calibri"/>
                <w:color w:val="000000"/>
              </w:rPr>
              <w:t>10726</w:t>
            </w:r>
          </w:p>
        </w:tc>
        <w:tc>
          <w:tcPr>
            <w:tcW w:w="1057" w:type="dxa"/>
            <w:tcBorders>
              <w:top w:val="nil"/>
              <w:left w:val="nil"/>
              <w:bottom w:val="single" w:sz="4" w:space="0" w:color="auto"/>
              <w:right w:val="single" w:sz="4" w:space="0" w:color="auto"/>
            </w:tcBorders>
            <w:shd w:val="clear" w:color="auto" w:fill="auto"/>
            <w:noWrap/>
            <w:vAlign w:val="bottom"/>
            <w:hideMark/>
          </w:tcPr>
          <w:p w14:paraId="55997B05" w14:textId="77777777" w:rsidR="00A02BD1" w:rsidRDefault="00A02BD1" w:rsidP="00C278B5">
            <w:pPr>
              <w:jc w:val="right"/>
              <w:rPr>
                <w:rFonts w:ascii="Calibri" w:eastAsia="Times New Roman" w:hAnsi="Calibri"/>
                <w:color w:val="000000"/>
              </w:rPr>
            </w:pPr>
            <w:r>
              <w:rPr>
                <w:rFonts w:ascii="Calibri" w:eastAsia="Times New Roman" w:hAnsi="Calibri"/>
                <w:color w:val="000000"/>
              </w:rPr>
              <w:t>28.92%</w:t>
            </w:r>
          </w:p>
        </w:tc>
      </w:tr>
      <w:tr w:rsidR="00A02BD1" w14:paraId="2E8812C1" w14:textId="77777777" w:rsidTr="00C278B5">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1A7258" w14:textId="77777777" w:rsidR="00A02BD1" w:rsidRDefault="00A02BD1" w:rsidP="00C278B5">
            <w:pPr>
              <w:jc w:val="right"/>
              <w:rPr>
                <w:rFonts w:ascii="Calibri" w:eastAsia="Times New Roman" w:hAnsi="Calibri"/>
                <w:color w:val="000000"/>
              </w:rPr>
            </w:pPr>
            <w:r>
              <w:rPr>
                <w:rFonts w:ascii="Calibri" w:eastAsia="Times New Roman" w:hAnsi="Calibri"/>
                <w:color w:val="000000"/>
              </w:rPr>
              <w:t>6.50%</w:t>
            </w:r>
          </w:p>
        </w:tc>
        <w:tc>
          <w:tcPr>
            <w:tcW w:w="2335" w:type="dxa"/>
            <w:tcBorders>
              <w:top w:val="nil"/>
              <w:left w:val="nil"/>
              <w:bottom w:val="single" w:sz="4" w:space="0" w:color="auto"/>
              <w:right w:val="single" w:sz="4" w:space="0" w:color="auto"/>
            </w:tcBorders>
            <w:shd w:val="clear" w:color="auto" w:fill="auto"/>
            <w:noWrap/>
            <w:vAlign w:val="bottom"/>
            <w:hideMark/>
          </w:tcPr>
          <w:p w14:paraId="3AA1669F" w14:textId="77777777" w:rsidR="00A02BD1" w:rsidRDefault="00A02BD1" w:rsidP="00C278B5">
            <w:pPr>
              <w:jc w:val="right"/>
              <w:rPr>
                <w:rFonts w:ascii="Calibri" w:eastAsia="Times New Roman" w:hAnsi="Calibri"/>
                <w:color w:val="000000"/>
              </w:rPr>
            </w:pPr>
            <w:r>
              <w:rPr>
                <w:rFonts w:ascii="Calibri" w:eastAsia="Times New Roman" w:hAnsi="Calibri"/>
                <w:color w:val="000000"/>
              </w:rPr>
              <w:t>63768</w:t>
            </w:r>
          </w:p>
        </w:tc>
        <w:tc>
          <w:tcPr>
            <w:tcW w:w="2147" w:type="dxa"/>
            <w:tcBorders>
              <w:top w:val="nil"/>
              <w:left w:val="nil"/>
              <w:bottom w:val="single" w:sz="4" w:space="0" w:color="auto"/>
              <w:right w:val="single" w:sz="4" w:space="0" w:color="auto"/>
            </w:tcBorders>
            <w:shd w:val="clear" w:color="auto" w:fill="auto"/>
            <w:noWrap/>
            <w:vAlign w:val="bottom"/>
            <w:hideMark/>
          </w:tcPr>
          <w:p w14:paraId="5CEAB4A2" w14:textId="77777777" w:rsidR="00A02BD1" w:rsidRDefault="00A02BD1" w:rsidP="00C278B5">
            <w:pPr>
              <w:jc w:val="right"/>
              <w:rPr>
                <w:rFonts w:ascii="Calibri" w:eastAsia="Times New Roman" w:hAnsi="Calibri"/>
                <w:color w:val="000000"/>
              </w:rPr>
            </w:pPr>
            <w:r>
              <w:rPr>
                <w:rFonts w:ascii="Calibri" w:eastAsia="Times New Roman" w:hAnsi="Calibri"/>
                <w:color w:val="000000"/>
              </w:rPr>
              <w:t>2675</w:t>
            </w:r>
          </w:p>
        </w:tc>
        <w:tc>
          <w:tcPr>
            <w:tcW w:w="994" w:type="dxa"/>
            <w:tcBorders>
              <w:top w:val="nil"/>
              <w:left w:val="nil"/>
              <w:bottom w:val="single" w:sz="4" w:space="0" w:color="auto"/>
              <w:right w:val="single" w:sz="4" w:space="0" w:color="auto"/>
            </w:tcBorders>
            <w:shd w:val="clear" w:color="auto" w:fill="auto"/>
            <w:noWrap/>
            <w:vAlign w:val="bottom"/>
            <w:hideMark/>
          </w:tcPr>
          <w:p w14:paraId="332080A5" w14:textId="77777777" w:rsidR="00A02BD1" w:rsidRDefault="00A02BD1" w:rsidP="00C278B5">
            <w:pPr>
              <w:jc w:val="right"/>
              <w:rPr>
                <w:rFonts w:ascii="Calibri" w:eastAsia="Times New Roman" w:hAnsi="Calibri"/>
                <w:color w:val="000000"/>
              </w:rPr>
            </w:pPr>
            <w:r>
              <w:rPr>
                <w:rFonts w:ascii="Calibri" w:eastAsia="Times New Roman" w:hAnsi="Calibri"/>
                <w:color w:val="000000"/>
              </w:rPr>
              <w:t>16482</w:t>
            </w:r>
          </w:p>
        </w:tc>
        <w:tc>
          <w:tcPr>
            <w:tcW w:w="1057" w:type="dxa"/>
            <w:tcBorders>
              <w:top w:val="nil"/>
              <w:left w:val="nil"/>
              <w:bottom w:val="single" w:sz="4" w:space="0" w:color="auto"/>
              <w:right w:val="single" w:sz="4" w:space="0" w:color="auto"/>
            </w:tcBorders>
            <w:shd w:val="clear" w:color="auto" w:fill="auto"/>
            <w:noWrap/>
            <w:vAlign w:val="bottom"/>
            <w:hideMark/>
          </w:tcPr>
          <w:p w14:paraId="00F412F6" w14:textId="77777777" w:rsidR="00A02BD1" w:rsidRDefault="00A02BD1" w:rsidP="00C278B5">
            <w:pPr>
              <w:jc w:val="right"/>
              <w:rPr>
                <w:rFonts w:ascii="Calibri" w:eastAsia="Times New Roman" w:hAnsi="Calibri"/>
                <w:color w:val="000000"/>
              </w:rPr>
            </w:pPr>
            <w:r>
              <w:rPr>
                <w:rFonts w:ascii="Calibri" w:eastAsia="Times New Roman" w:hAnsi="Calibri"/>
                <w:color w:val="000000"/>
              </w:rPr>
              <w:t>25.85%</w:t>
            </w:r>
          </w:p>
        </w:tc>
      </w:tr>
      <w:tr w:rsidR="00A02BD1" w14:paraId="6BD9899A" w14:textId="77777777" w:rsidTr="00C278B5">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44301C" w14:textId="77777777" w:rsidR="00A02BD1" w:rsidRDefault="00A02BD1" w:rsidP="00C278B5">
            <w:pPr>
              <w:jc w:val="right"/>
              <w:rPr>
                <w:rFonts w:ascii="Calibri" w:eastAsia="Times New Roman" w:hAnsi="Calibri"/>
                <w:color w:val="000000"/>
              </w:rPr>
            </w:pPr>
            <w:r>
              <w:rPr>
                <w:rFonts w:ascii="Calibri" w:eastAsia="Times New Roman" w:hAnsi="Calibri"/>
                <w:color w:val="000000"/>
              </w:rPr>
              <w:t>5.62%</w:t>
            </w:r>
          </w:p>
        </w:tc>
        <w:tc>
          <w:tcPr>
            <w:tcW w:w="2335" w:type="dxa"/>
            <w:tcBorders>
              <w:top w:val="nil"/>
              <w:left w:val="nil"/>
              <w:bottom w:val="single" w:sz="4" w:space="0" w:color="auto"/>
              <w:right w:val="single" w:sz="4" w:space="0" w:color="auto"/>
            </w:tcBorders>
            <w:shd w:val="clear" w:color="auto" w:fill="auto"/>
            <w:noWrap/>
            <w:vAlign w:val="bottom"/>
            <w:hideMark/>
          </w:tcPr>
          <w:p w14:paraId="13F677C8" w14:textId="77777777" w:rsidR="00A02BD1" w:rsidRDefault="00A02BD1" w:rsidP="00C278B5">
            <w:pPr>
              <w:jc w:val="right"/>
              <w:rPr>
                <w:rFonts w:ascii="Calibri" w:eastAsia="Times New Roman" w:hAnsi="Calibri"/>
                <w:color w:val="000000"/>
              </w:rPr>
            </w:pPr>
            <w:r>
              <w:rPr>
                <w:rFonts w:ascii="Calibri" w:eastAsia="Times New Roman" w:hAnsi="Calibri"/>
                <w:color w:val="000000"/>
              </w:rPr>
              <w:t>69600</w:t>
            </w:r>
          </w:p>
        </w:tc>
        <w:tc>
          <w:tcPr>
            <w:tcW w:w="2147" w:type="dxa"/>
            <w:tcBorders>
              <w:top w:val="nil"/>
              <w:left w:val="nil"/>
              <w:bottom w:val="single" w:sz="4" w:space="0" w:color="auto"/>
              <w:right w:val="single" w:sz="4" w:space="0" w:color="auto"/>
            </w:tcBorders>
            <w:shd w:val="clear" w:color="auto" w:fill="auto"/>
            <w:noWrap/>
            <w:vAlign w:val="bottom"/>
            <w:hideMark/>
          </w:tcPr>
          <w:p w14:paraId="715DE811" w14:textId="77777777" w:rsidR="00A02BD1" w:rsidRDefault="00A02BD1" w:rsidP="00C278B5">
            <w:pPr>
              <w:jc w:val="right"/>
              <w:rPr>
                <w:rFonts w:ascii="Calibri" w:eastAsia="Times New Roman" w:hAnsi="Calibri"/>
                <w:color w:val="000000"/>
              </w:rPr>
            </w:pPr>
            <w:r>
              <w:rPr>
                <w:rFonts w:ascii="Calibri" w:eastAsia="Times New Roman" w:hAnsi="Calibri"/>
                <w:color w:val="000000"/>
              </w:rPr>
              <w:t>2859</w:t>
            </w:r>
          </w:p>
        </w:tc>
        <w:tc>
          <w:tcPr>
            <w:tcW w:w="994" w:type="dxa"/>
            <w:tcBorders>
              <w:top w:val="nil"/>
              <w:left w:val="nil"/>
              <w:bottom w:val="single" w:sz="4" w:space="0" w:color="auto"/>
              <w:right w:val="single" w:sz="4" w:space="0" w:color="auto"/>
            </w:tcBorders>
            <w:shd w:val="clear" w:color="auto" w:fill="auto"/>
            <w:noWrap/>
            <w:vAlign w:val="bottom"/>
            <w:hideMark/>
          </w:tcPr>
          <w:p w14:paraId="3A9CC368" w14:textId="77777777" w:rsidR="00A02BD1" w:rsidRDefault="00A02BD1" w:rsidP="00C278B5">
            <w:pPr>
              <w:jc w:val="right"/>
              <w:rPr>
                <w:rFonts w:ascii="Calibri" w:eastAsia="Times New Roman" w:hAnsi="Calibri"/>
                <w:color w:val="000000"/>
              </w:rPr>
            </w:pPr>
            <w:r>
              <w:rPr>
                <w:rFonts w:ascii="Calibri" w:eastAsia="Times New Roman" w:hAnsi="Calibri"/>
                <w:color w:val="000000"/>
              </w:rPr>
              <w:t>16170</w:t>
            </w:r>
          </w:p>
        </w:tc>
        <w:tc>
          <w:tcPr>
            <w:tcW w:w="1057" w:type="dxa"/>
            <w:tcBorders>
              <w:top w:val="nil"/>
              <w:left w:val="nil"/>
              <w:bottom w:val="single" w:sz="4" w:space="0" w:color="auto"/>
              <w:right w:val="single" w:sz="4" w:space="0" w:color="auto"/>
            </w:tcBorders>
            <w:shd w:val="clear" w:color="auto" w:fill="auto"/>
            <w:noWrap/>
            <w:vAlign w:val="bottom"/>
            <w:hideMark/>
          </w:tcPr>
          <w:p w14:paraId="2B014C51" w14:textId="77777777" w:rsidR="00A02BD1" w:rsidRDefault="00A02BD1" w:rsidP="00C278B5">
            <w:pPr>
              <w:jc w:val="right"/>
              <w:rPr>
                <w:rFonts w:ascii="Calibri" w:eastAsia="Times New Roman" w:hAnsi="Calibri"/>
                <w:color w:val="000000"/>
              </w:rPr>
            </w:pPr>
            <w:r>
              <w:rPr>
                <w:rFonts w:ascii="Calibri" w:eastAsia="Times New Roman" w:hAnsi="Calibri"/>
                <w:color w:val="000000"/>
              </w:rPr>
              <w:t>23.23%</w:t>
            </w:r>
          </w:p>
        </w:tc>
      </w:tr>
    </w:tbl>
    <w:p w14:paraId="1380D268" w14:textId="77777777" w:rsidR="00A02BD1" w:rsidRPr="00025BBE" w:rsidRDefault="00A02BD1" w:rsidP="00A02BD1">
      <w:pPr>
        <w:rPr>
          <w:rFonts w:ascii="Calibri" w:hAnsi="Calibri"/>
          <w:lang w:val="en-US"/>
        </w:rPr>
      </w:pPr>
    </w:p>
    <w:p w14:paraId="5014A431" w14:textId="77777777" w:rsidR="00A02BD1" w:rsidRPr="00025BBE" w:rsidRDefault="00A02BD1" w:rsidP="00A02BD1">
      <w:pPr>
        <w:rPr>
          <w:rFonts w:ascii="Calibri" w:hAnsi="Calibri"/>
          <w:lang w:val="en-US"/>
        </w:rPr>
      </w:pPr>
      <w:r w:rsidRPr="00025BBE">
        <w:rPr>
          <w:rFonts w:ascii="Calibri" w:hAnsi="Calibri"/>
          <w:lang w:val="en-US"/>
        </w:rPr>
        <w:t>We can see that the ROI decreased</w:t>
      </w:r>
      <w:r>
        <w:rPr>
          <w:rFonts w:ascii="Calibri" w:hAnsi="Calibri"/>
          <w:lang w:val="en-US"/>
        </w:rPr>
        <w:t xml:space="preserve"> or remained </w:t>
      </w:r>
      <w:proofErr w:type="spellStart"/>
      <w:r>
        <w:rPr>
          <w:rFonts w:ascii="Calibri" w:hAnsi="Calibri"/>
          <w:lang w:val="en-US"/>
        </w:rPr>
        <w:t>similiar</w:t>
      </w:r>
      <w:proofErr w:type="spellEnd"/>
      <w:r w:rsidRPr="00025BBE">
        <w:rPr>
          <w:rFonts w:ascii="Calibri" w:hAnsi="Calibri"/>
          <w:lang w:val="en-US"/>
        </w:rPr>
        <w:t xml:space="preserve"> for part C compared to part B on the test set</w:t>
      </w:r>
      <w:r>
        <w:rPr>
          <w:rFonts w:ascii="Calibri" w:hAnsi="Calibri"/>
          <w:lang w:val="en-US"/>
        </w:rPr>
        <w:t xml:space="preserve"> for all groups and both assumptions</w:t>
      </w:r>
      <w:r w:rsidRPr="00025BBE">
        <w:rPr>
          <w:rFonts w:ascii="Calibri" w:hAnsi="Calibri"/>
          <w:lang w:val="en-US"/>
        </w:rPr>
        <w:t>, which indicates that u</w:t>
      </w:r>
      <w:r>
        <w:rPr>
          <w:rFonts w:ascii="Calibri" w:hAnsi="Calibri"/>
          <w:lang w:val="en-US"/>
        </w:rPr>
        <w:t>sing both dimensions did a worse</w:t>
      </w:r>
      <w:r w:rsidRPr="00025BBE">
        <w:rPr>
          <w:rFonts w:ascii="Calibri" w:hAnsi="Calibri"/>
          <w:lang w:val="en-US"/>
        </w:rPr>
        <w:t xml:space="preserve"> job</w:t>
      </w:r>
      <w:r>
        <w:rPr>
          <w:rFonts w:ascii="Calibri" w:hAnsi="Calibri"/>
          <w:lang w:val="en-US"/>
        </w:rPr>
        <w:t xml:space="preserve"> overall</w:t>
      </w:r>
      <w:r w:rsidRPr="00025BBE">
        <w:rPr>
          <w:rFonts w:ascii="Calibri" w:hAnsi="Calibri"/>
          <w:lang w:val="en-US"/>
        </w:rPr>
        <w:t>. This could be due to overfitting on the training set.</w:t>
      </w:r>
    </w:p>
    <w:p w14:paraId="42EBBF6C" w14:textId="77777777" w:rsidR="00A02BD1" w:rsidRPr="00025BBE" w:rsidRDefault="00A02BD1" w:rsidP="00A02BD1">
      <w:pPr>
        <w:rPr>
          <w:rFonts w:ascii="Calibri" w:hAnsi="Calibri"/>
          <w:lang w:val="en-US"/>
        </w:rPr>
      </w:pPr>
    </w:p>
    <w:sdt>
      <w:sdtPr>
        <w:rPr>
          <w:rFonts w:ascii="Calibri" w:eastAsia="SimSun" w:hAnsi="Calibri" w:cs="Times New Roman"/>
          <w:b w:val="0"/>
          <w:bCs w:val="0"/>
          <w:color w:val="auto"/>
          <w:sz w:val="24"/>
          <w:szCs w:val="24"/>
          <w:lang w:val="en-GB" w:eastAsia="zh-CN" w:bidi="ar-SA"/>
        </w:rPr>
        <w:id w:val="-933511506"/>
        <w:docPartObj>
          <w:docPartGallery w:val="Bibliographies"/>
          <w:docPartUnique/>
        </w:docPartObj>
      </w:sdtPr>
      <w:sdtContent>
        <w:p w14:paraId="691B60FB" w14:textId="77777777" w:rsidR="00A02BD1" w:rsidRPr="00025BBE" w:rsidRDefault="00A02BD1" w:rsidP="00A02BD1">
          <w:pPr>
            <w:pStyle w:val="1"/>
            <w:rPr>
              <w:rFonts w:ascii="Calibri" w:hAnsi="Calibri"/>
            </w:rPr>
          </w:pPr>
          <w:r w:rsidRPr="00025BBE">
            <w:rPr>
              <w:rFonts w:ascii="Calibri" w:hAnsi="Calibri"/>
            </w:rPr>
            <w:t>Bibliography</w:t>
          </w:r>
        </w:p>
        <w:sdt>
          <w:sdtPr>
            <w:rPr>
              <w:rFonts w:ascii="Calibri" w:hAnsi="Calibri" w:cs="Times New Roman"/>
              <w:lang w:eastAsia="zh-CN"/>
            </w:rPr>
            <w:id w:val="111145805"/>
            <w:bibliography/>
          </w:sdtPr>
          <w:sdtContent>
            <w:p w14:paraId="5A6479B7" w14:textId="77777777" w:rsidR="00A02BD1" w:rsidRPr="00025BBE" w:rsidRDefault="00A02BD1" w:rsidP="00A02BD1">
              <w:pPr>
                <w:pStyle w:val="a4"/>
                <w:rPr>
                  <w:rFonts w:ascii="Calibri" w:hAnsi="Calibri"/>
                  <w:noProof/>
                  <w:lang w:val="en-US" w:eastAsia="zh-CN"/>
                </w:rPr>
              </w:pPr>
              <w:r w:rsidRPr="00025BBE">
                <w:rPr>
                  <w:rFonts w:ascii="Calibri" w:hAnsi="Calibri"/>
                </w:rPr>
                <w:fldChar w:fldCharType="begin"/>
              </w:r>
              <w:r w:rsidRPr="00025BBE">
                <w:rPr>
                  <w:rFonts w:ascii="Calibri" w:hAnsi="Calibri"/>
                </w:rPr>
                <w:instrText xml:space="preserve"> BIBLIOGRAPHY </w:instrText>
              </w:r>
              <w:r w:rsidRPr="00025BBE">
                <w:rPr>
                  <w:rFonts w:ascii="Calibri" w:hAnsi="Calibri"/>
                </w:rPr>
                <w:fldChar w:fldCharType="separate"/>
              </w:r>
              <w:r w:rsidRPr="00025BBE">
                <w:rPr>
                  <w:rFonts w:ascii="Calibri" w:hAnsi="Calibri"/>
                  <w:noProof/>
                  <w:lang w:val="en-US"/>
                </w:rPr>
                <w:t xml:space="preserve">Packaged Facts, 2018. </w:t>
              </w:r>
              <w:r w:rsidRPr="00025BBE">
                <w:rPr>
                  <w:rFonts w:ascii="Calibri" w:hAnsi="Calibri"/>
                  <w:i/>
                  <w:iCs/>
                  <w:noProof/>
                  <w:lang w:val="en-US"/>
                </w:rPr>
                <w:t xml:space="preserve">Food Gifting in the U.S.: Consumer and Corporate, 6th Edition, </w:t>
              </w:r>
              <w:r w:rsidRPr="00025BBE">
                <w:rPr>
                  <w:rFonts w:ascii="Calibri" w:hAnsi="Calibri"/>
                  <w:noProof/>
                  <w:lang w:val="en-US"/>
                </w:rPr>
                <w:t>s.l.: Packaged Facts.</w:t>
              </w:r>
            </w:p>
            <w:p w14:paraId="5B9E36F9" w14:textId="77777777" w:rsidR="00A02BD1" w:rsidRPr="00025BBE" w:rsidRDefault="00A02BD1" w:rsidP="00A02BD1">
              <w:pPr>
                <w:pStyle w:val="a4"/>
                <w:rPr>
                  <w:rFonts w:ascii="Calibri" w:hAnsi="Calibri"/>
                  <w:noProof/>
                  <w:lang w:val="en-US"/>
                </w:rPr>
              </w:pPr>
              <w:r w:rsidRPr="00025BBE">
                <w:rPr>
                  <w:rFonts w:ascii="Calibri" w:hAnsi="Calibri"/>
                  <w:noProof/>
                  <w:lang w:val="en-US"/>
                </w:rPr>
                <w:t xml:space="preserve">Packaged Facts, 2016. </w:t>
              </w:r>
              <w:r w:rsidRPr="00025BBE">
                <w:rPr>
                  <w:rFonts w:ascii="Calibri" w:hAnsi="Calibri"/>
                  <w:i/>
                  <w:iCs/>
                  <w:noProof/>
                  <w:lang w:val="en-US"/>
                </w:rPr>
                <w:t xml:space="preserve">Food Gifting in the U.S., 5th Edition, </w:t>
              </w:r>
              <w:r w:rsidRPr="00025BBE">
                <w:rPr>
                  <w:rFonts w:ascii="Calibri" w:hAnsi="Calibri"/>
                  <w:noProof/>
                  <w:lang w:val="en-US"/>
                </w:rPr>
                <w:t>s.l.: Packaged Facts.</w:t>
              </w:r>
            </w:p>
            <w:p w14:paraId="5FAFD1F6" w14:textId="77777777" w:rsidR="00A02BD1" w:rsidRPr="00025BBE" w:rsidRDefault="00A02BD1" w:rsidP="00A02BD1">
              <w:pPr>
                <w:rPr>
                  <w:rFonts w:ascii="Calibri" w:hAnsi="Calibri"/>
                </w:rPr>
              </w:pPr>
              <w:r w:rsidRPr="00025BBE">
                <w:rPr>
                  <w:rFonts w:ascii="Calibri" w:hAnsi="Calibri"/>
                  <w:b/>
                  <w:bCs/>
                  <w:noProof/>
                </w:rPr>
                <w:fldChar w:fldCharType="end"/>
              </w:r>
            </w:p>
          </w:sdtContent>
        </w:sdt>
      </w:sdtContent>
    </w:sdt>
    <w:p w14:paraId="7716AC98" w14:textId="77777777" w:rsidR="00A02BD1" w:rsidRPr="00025BBE" w:rsidRDefault="00A02BD1" w:rsidP="00A02BD1">
      <w:pPr>
        <w:rPr>
          <w:rFonts w:ascii="Calibri" w:hAnsi="Calibri"/>
          <w:lang w:val="en-US"/>
        </w:rPr>
      </w:pPr>
    </w:p>
    <w:p w14:paraId="3BE84871" w14:textId="77777777" w:rsidR="00A02BD1" w:rsidRPr="00025BBE" w:rsidRDefault="00A02BD1" w:rsidP="00A02BD1">
      <w:pPr>
        <w:rPr>
          <w:rFonts w:ascii="Calibri" w:hAnsi="Calibri"/>
          <w:lang w:val="en-US"/>
        </w:rPr>
      </w:pPr>
    </w:p>
    <w:p w14:paraId="592FEF64" w14:textId="77777777" w:rsidR="00A02BD1" w:rsidRPr="00025BBE" w:rsidRDefault="00A02BD1" w:rsidP="00A02BD1">
      <w:pPr>
        <w:rPr>
          <w:rFonts w:ascii="Calibri" w:hAnsi="Calibri"/>
          <w:lang w:val="en-US" w:eastAsia="en-US"/>
        </w:rPr>
      </w:pPr>
    </w:p>
    <w:p w14:paraId="588F4735" w14:textId="079E8E86" w:rsidR="002A1786" w:rsidRPr="00025BBE" w:rsidRDefault="002A1786" w:rsidP="004B24CA">
      <w:pPr>
        <w:rPr>
          <w:rFonts w:ascii="Calibri" w:hAnsi="Calibri"/>
          <w:lang w:val="en-US" w:eastAsia="en-US"/>
        </w:rPr>
      </w:pPr>
    </w:p>
    <w:sectPr w:rsidR="002A1786" w:rsidRPr="00025BBE" w:rsidSect="0090509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iuyue Zhang" w:date="2018-05-06T10:04:00Z" w:initials="QZ">
    <w:p w14:paraId="31B34A78" w14:textId="5F200073" w:rsidR="00D432DE" w:rsidRDefault="00D432DE">
      <w:pPr>
        <w:pStyle w:val="a8"/>
      </w:pPr>
      <w:r>
        <w:rPr>
          <w:rStyle w:val="a7"/>
        </w:rPr>
        <w:annotationRef/>
      </w:r>
      <w:r>
        <w:rPr>
          <w:rFonts w:hint="eastAsia"/>
        </w:rPr>
        <w:t>, and that catalogues are real objects that play a role of reminder while emails are virtual and can be deleted or buried by other new emails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34A7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34A78" w16cid:durableId="1E9958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64E0D"/>
    <w:multiLevelType w:val="hybridMultilevel"/>
    <w:tmpl w:val="E4681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85CFE"/>
    <w:multiLevelType w:val="hybridMultilevel"/>
    <w:tmpl w:val="08669594"/>
    <w:lvl w:ilvl="0" w:tplc="47AAAB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DC327F4"/>
    <w:multiLevelType w:val="hybridMultilevel"/>
    <w:tmpl w:val="BCC2C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9053A5"/>
    <w:multiLevelType w:val="hybridMultilevel"/>
    <w:tmpl w:val="E9AE6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587E10"/>
    <w:multiLevelType w:val="hybridMultilevel"/>
    <w:tmpl w:val="83CA4B06"/>
    <w:lvl w:ilvl="0" w:tplc="1CF2C426">
      <w:start w:val="1"/>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uyue Zhang">
    <w15:presenceInfo w15:providerId="Windows Live" w15:userId="ba6ffcc1556bd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wMrMwNDA1sLQwNDZR0lEKTi0uzszPAykwqQUAFCi86iwAAAA="/>
  </w:docVars>
  <w:rsids>
    <w:rsidRoot w:val="00CA3335"/>
    <w:rsid w:val="00025BBE"/>
    <w:rsid w:val="000673BE"/>
    <w:rsid w:val="00085CAD"/>
    <w:rsid w:val="00095D21"/>
    <w:rsid w:val="000C277E"/>
    <w:rsid w:val="000D0418"/>
    <w:rsid w:val="00136CB2"/>
    <w:rsid w:val="00153525"/>
    <w:rsid w:val="001643CF"/>
    <w:rsid w:val="0016756B"/>
    <w:rsid w:val="00230469"/>
    <w:rsid w:val="00236421"/>
    <w:rsid w:val="0025238A"/>
    <w:rsid w:val="002676AC"/>
    <w:rsid w:val="00275B5F"/>
    <w:rsid w:val="002A1786"/>
    <w:rsid w:val="002A3CA3"/>
    <w:rsid w:val="002C2352"/>
    <w:rsid w:val="0032202B"/>
    <w:rsid w:val="00326035"/>
    <w:rsid w:val="00346CE7"/>
    <w:rsid w:val="00374646"/>
    <w:rsid w:val="00390C7D"/>
    <w:rsid w:val="0039777E"/>
    <w:rsid w:val="00413728"/>
    <w:rsid w:val="00421D22"/>
    <w:rsid w:val="00426EBD"/>
    <w:rsid w:val="004535F8"/>
    <w:rsid w:val="00453D3B"/>
    <w:rsid w:val="004913A1"/>
    <w:rsid w:val="00494606"/>
    <w:rsid w:val="004B24CA"/>
    <w:rsid w:val="004F57E0"/>
    <w:rsid w:val="00500194"/>
    <w:rsid w:val="005174BC"/>
    <w:rsid w:val="00524A41"/>
    <w:rsid w:val="005540AF"/>
    <w:rsid w:val="005E15F2"/>
    <w:rsid w:val="006037AB"/>
    <w:rsid w:val="00617C97"/>
    <w:rsid w:val="00620291"/>
    <w:rsid w:val="006448C3"/>
    <w:rsid w:val="0065276D"/>
    <w:rsid w:val="00674402"/>
    <w:rsid w:val="00685859"/>
    <w:rsid w:val="006C3B23"/>
    <w:rsid w:val="006D219B"/>
    <w:rsid w:val="006D4D2A"/>
    <w:rsid w:val="00700530"/>
    <w:rsid w:val="00700689"/>
    <w:rsid w:val="00733165"/>
    <w:rsid w:val="00771839"/>
    <w:rsid w:val="0077469D"/>
    <w:rsid w:val="007A0BE6"/>
    <w:rsid w:val="007B27CC"/>
    <w:rsid w:val="007C0EDC"/>
    <w:rsid w:val="007D4DFB"/>
    <w:rsid w:val="00840614"/>
    <w:rsid w:val="00843EF0"/>
    <w:rsid w:val="00866FEE"/>
    <w:rsid w:val="008E076C"/>
    <w:rsid w:val="008F5D94"/>
    <w:rsid w:val="0090509F"/>
    <w:rsid w:val="00950456"/>
    <w:rsid w:val="00954CF3"/>
    <w:rsid w:val="00976B84"/>
    <w:rsid w:val="009A560D"/>
    <w:rsid w:val="009D478C"/>
    <w:rsid w:val="009F439E"/>
    <w:rsid w:val="00A02BD1"/>
    <w:rsid w:val="00A3438C"/>
    <w:rsid w:val="00A84FD4"/>
    <w:rsid w:val="00AA09F3"/>
    <w:rsid w:val="00AB64D2"/>
    <w:rsid w:val="00B221B4"/>
    <w:rsid w:val="00B27388"/>
    <w:rsid w:val="00B44B43"/>
    <w:rsid w:val="00B62BE6"/>
    <w:rsid w:val="00B632BD"/>
    <w:rsid w:val="00B75C73"/>
    <w:rsid w:val="00B84F1E"/>
    <w:rsid w:val="00B921F5"/>
    <w:rsid w:val="00B97FA7"/>
    <w:rsid w:val="00BD1415"/>
    <w:rsid w:val="00C4384F"/>
    <w:rsid w:val="00C51E56"/>
    <w:rsid w:val="00CA3335"/>
    <w:rsid w:val="00CC3801"/>
    <w:rsid w:val="00CD28C3"/>
    <w:rsid w:val="00D07ED6"/>
    <w:rsid w:val="00D12C36"/>
    <w:rsid w:val="00D22FEF"/>
    <w:rsid w:val="00D258FC"/>
    <w:rsid w:val="00D432DE"/>
    <w:rsid w:val="00D52F76"/>
    <w:rsid w:val="00D61625"/>
    <w:rsid w:val="00D97288"/>
    <w:rsid w:val="00DF5555"/>
    <w:rsid w:val="00E14875"/>
    <w:rsid w:val="00E70D11"/>
    <w:rsid w:val="00F34F9C"/>
    <w:rsid w:val="00F46CB6"/>
    <w:rsid w:val="00F519AF"/>
    <w:rsid w:val="00FA11FF"/>
    <w:rsid w:val="00FD16DA"/>
    <w:rsid w:val="00FF1A64"/>
    <w:rsid w:val="00FF443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A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25BBE"/>
    <w:rPr>
      <w:rFonts w:ascii="Times New Roman" w:hAnsi="Times New Roman" w:cs="Times New Roman"/>
      <w:lang w:eastAsia="zh-CN"/>
    </w:rPr>
  </w:style>
  <w:style w:type="paragraph" w:styleId="1">
    <w:name w:val="heading 1"/>
    <w:basedOn w:val="a"/>
    <w:next w:val="a"/>
    <w:link w:val="1Char"/>
    <w:uiPriority w:val="9"/>
    <w:qFormat/>
    <w:rsid w:val="0084061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335"/>
    <w:pPr>
      <w:ind w:left="720"/>
      <w:contextualSpacing/>
    </w:pPr>
    <w:rPr>
      <w:rFonts w:asciiTheme="minorHAnsi" w:hAnsiTheme="minorHAnsi" w:cstheme="minorBidi"/>
      <w:lang w:eastAsia="en-US"/>
    </w:rPr>
  </w:style>
  <w:style w:type="character" w:customStyle="1" w:styleId="1Char">
    <w:name w:val="제목 1 Char"/>
    <w:basedOn w:val="a0"/>
    <w:link w:val="1"/>
    <w:uiPriority w:val="9"/>
    <w:rsid w:val="00840614"/>
    <w:rPr>
      <w:rFonts w:asciiTheme="majorHAnsi" w:eastAsiaTheme="majorEastAsia" w:hAnsiTheme="majorHAnsi" w:cstheme="majorBidi"/>
      <w:b/>
      <w:bCs/>
      <w:color w:val="2F5496" w:themeColor="accent1" w:themeShade="BF"/>
      <w:sz w:val="28"/>
      <w:szCs w:val="28"/>
      <w:lang w:val="en-US" w:bidi="en-US"/>
    </w:rPr>
  </w:style>
  <w:style w:type="paragraph" w:styleId="a4">
    <w:name w:val="Bibliography"/>
    <w:basedOn w:val="a"/>
    <w:next w:val="a"/>
    <w:uiPriority w:val="37"/>
    <w:unhideWhenUsed/>
    <w:rsid w:val="00840614"/>
    <w:rPr>
      <w:rFonts w:asciiTheme="minorHAnsi" w:hAnsiTheme="minorHAnsi" w:cstheme="minorBidi"/>
      <w:lang w:eastAsia="en-US"/>
    </w:rPr>
  </w:style>
  <w:style w:type="paragraph" w:styleId="a5">
    <w:name w:val="Document Map"/>
    <w:basedOn w:val="a"/>
    <w:link w:val="Char"/>
    <w:uiPriority w:val="99"/>
    <w:semiHidden/>
    <w:unhideWhenUsed/>
    <w:rsid w:val="00D432DE"/>
  </w:style>
  <w:style w:type="character" w:customStyle="1" w:styleId="Char">
    <w:name w:val="문서 구조 Char"/>
    <w:basedOn w:val="a0"/>
    <w:link w:val="a5"/>
    <w:uiPriority w:val="99"/>
    <w:semiHidden/>
    <w:rsid w:val="00D432DE"/>
    <w:rPr>
      <w:rFonts w:ascii="Times New Roman" w:hAnsi="Times New Roman" w:cs="Times New Roman"/>
      <w:lang w:eastAsia="zh-CN"/>
    </w:rPr>
  </w:style>
  <w:style w:type="paragraph" w:styleId="a6">
    <w:name w:val="Revision"/>
    <w:hidden/>
    <w:uiPriority w:val="99"/>
    <w:semiHidden/>
    <w:rsid w:val="00D432DE"/>
    <w:rPr>
      <w:rFonts w:ascii="Times New Roman" w:hAnsi="Times New Roman" w:cs="Times New Roman"/>
      <w:lang w:eastAsia="zh-CN"/>
    </w:rPr>
  </w:style>
  <w:style w:type="character" w:styleId="a7">
    <w:name w:val="annotation reference"/>
    <w:basedOn w:val="a0"/>
    <w:uiPriority w:val="99"/>
    <w:semiHidden/>
    <w:unhideWhenUsed/>
    <w:rsid w:val="00D432DE"/>
    <w:rPr>
      <w:sz w:val="18"/>
      <w:szCs w:val="18"/>
    </w:rPr>
  </w:style>
  <w:style w:type="paragraph" w:styleId="a8">
    <w:name w:val="annotation text"/>
    <w:basedOn w:val="a"/>
    <w:link w:val="Char0"/>
    <w:uiPriority w:val="99"/>
    <w:semiHidden/>
    <w:unhideWhenUsed/>
    <w:rsid w:val="00D432DE"/>
  </w:style>
  <w:style w:type="character" w:customStyle="1" w:styleId="Char0">
    <w:name w:val="메모 텍스트 Char"/>
    <w:basedOn w:val="a0"/>
    <w:link w:val="a8"/>
    <w:uiPriority w:val="99"/>
    <w:semiHidden/>
    <w:rsid w:val="00D432DE"/>
    <w:rPr>
      <w:rFonts w:ascii="Times New Roman" w:hAnsi="Times New Roman" w:cs="Times New Roman"/>
      <w:lang w:eastAsia="zh-CN"/>
    </w:rPr>
  </w:style>
  <w:style w:type="paragraph" w:styleId="a9">
    <w:name w:val="annotation subject"/>
    <w:basedOn w:val="a8"/>
    <w:next w:val="a8"/>
    <w:link w:val="Char1"/>
    <w:uiPriority w:val="99"/>
    <w:semiHidden/>
    <w:unhideWhenUsed/>
    <w:rsid w:val="00D432DE"/>
    <w:rPr>
      <w:b/>
      <w:bCs/>
      <w:sz w:val="20"/>
      <w:szCs w:val="20"/>
    </w:rPr>
  </w:style>
  <w:style w:type="character" w:customStyle="1" w:styleId="Char1">
    <w:name w:val="메모 주제 Char"/>
    <w:basedOn w:val="Char0"/>
    <w:link w:val="a9"/>
    <w:uiPriority w:val="99"/>
    <w:semiHidden/>
    <w:rsid w:val="00D432DE"/>
    <w:rPr>
      <w:rFonts w:ascii="Times New Roman" w:hAnsi="Times New Roman" w:cs="Times New Roman"/>
      <w:b/>
      <w:bCs/>
      <w:sz w:val="20"/>
      <w:szCs w:val="20"/>
      <w:lang w:eastAsia="zh-CN"/>
    </w:rPr>
  </w:style>
  <w:style w:type="paragraph" w:styleId="aa">
    <w:name w:val="Balloon Text"/>
    <w:basedOn w:val="a"/>
    <w:link w:val="Char2"/>
    <w:uiPriority w:val="99"/>
    <w:semiHidden/>
    <w:unhideWhenUsed/>
    <w:rsid w:val="00D432DE"/>
    <w:rPr>
      <w:sz w:val="18"/>
      <w:szCs w:val="18"/>
    </w:rPr>
  </w:style>
  <w:style w:type="character" w:customStyle="1" w:styleId="Char2">
    <w:name w:val="풍선 도움말 텍스트 Char"/>
    <w:basedOn w:val="a0"/>
    <w:link w:val="aa"/>
    <w:uiPriority w:val="99"/>
    <w:semiHidden/>
    <w:rsid w:val="00D432DE"/>
    <w:rPr>
      <w:rFonts w:ascii="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17642">
      <w:bodyDiv w:val="1"/>
      <w:marLeft w:val="0"/>
      <w:marRight w:val="0"/>
      <w:marTop w:val="0"/>
      <w:marBottom w:val="0"/>
      <w:divBdr>
        <w:top w:val="none" w:sz="0" w:space="0" w:color="auto"/>
        <w:left w:val="none" w:sz="0" w:space="0" w:color="auto"/>
        <w:bottom w:val="none" w:sz="0" w:space="0" w:color="auto"/>
        <w:right w:val="none" w:sz="0" w:space="0" w:color="auto"/>
      </w:divBdr>
    </w:div>
    <w:div w:id="245649247">
      <w:bodyDiv w:val="1"/>
      <w:marLeft w:val="0"/>
      <w:marRight w:val="0"/>
      <w:marTop w:val="0"/>
      <w:marBottom w:val="0"/>
      <w:divBdr>
        <w:top w:val="none" w:sz="0" w:space="0" w:color="auto"/>
        <w:left w:val="none" w:sz="0" w:space="0" w:color="auto"/>
        <w:bottom w:val="none" w:sz="0" w:space="0" w:color="auto"/>
        <w:right w:val="none" w:sz="0" w:space="0" w:color="auto"/>
      </w:divBdr>
    </w:div>
    <w:div w:id="364452298">
      <w:bodyDiv w:val="1"/>
      <w:marLeft w:val="0"/>
      <w:marRight w:val="0"/>
      <w:marTop w:val="0"/>
      <w:marBottom w:val="0"/>
      <w:divBdr>
        <w:top w:val="none" w:sz="0" w:space="0" w:color="auto"/>
        <w:left w:val="none" w:sz="0" w:space="0" w:color="auto"/>
        <w:bottom w:val="none" w:sz="0" w:space="0" w:color="auto"/>
        <w:right w:val="none" w:sz="0" w:space="0" w:color="auto"/>
      </w:divBdr>
    </w:div>
    <w:div w:id="407115536">
      <w:bodyDiv w:val="1"/>
      <w:marLeft w:val="0"/>
      <w:marRight w:val="0"/>
      <w:marTop w:val="0"/>
      <w:marBottom w:val="0"/>
      <w:divBdr>
        <w:top w:val="none" w:sz="0" w:space="0" w:color="auto"/>
        <w:left w:val="none" w:sz="0" w:space="0" w:color="auto"/>
        <w:bottom w:val="none" w:sz="0" w:space="0" w:color="auto"/>
        <w:right w:val="none" w:sz="0" w:space="0" w:color="auto"/>
      </w:divBdr>
      <w:divsChild>
        <w:div w:id="1415054258">
          <w:marLeft w:val="0"/>
          <w:marRight w:val="0"/>
          <w:marTop w:val="0"/>
          <w:marBottom w:val="0"/>
          <w:divBdr>
            <w:top w:val="none" w:sz="0" w:space="0" w:color="auto"/>
            <w:left w:val="none" w:sz="0" w:space="0" w:color="auto"/>
            <w:bottom w:val="none" w:sz="0" w:space="0" w:color="auto"/>
            <w:right w:val="none" w:sz="0" w:space="0" w:color="auto"/>
          </w:divBdr>
        </w:div>
        <w:div w:id="1537736821">
          <w:marLeft w:val="0"/>
          <w:marRight w:val="0"/>
          <w:marTop w:val="0"/>
          <w:marBottom w:val="0"/>
          <w:divBdr>
            <w:top w:val="none" w:sz="0" w:space="0" w:color="auto"/>
            <w:left w:val="none" w:sz="0" w:space="0" w:color="auto"/>
            <w:bottom w:val="none" w:sz="0" w:space="0" w:color="auto"/>
            <w:right w:val="none" w:sz="0" w:space="0" w:color="auto"/>
          </w:divBdr>
        </w:div>
      </w:divsChild>
    </w:div>
    <w:div w:id="439957413">
      <w:bodyDiv w:val="1"/>
      <w:marLeft w:val="0"/>
      <w:marRight w:val="0"/>
      <w:marTop w:val="0"/>
      <w:marBottom w:val="0"/>
      <w:divBdr>
        <w:top w:val="none" w:sz="0" w:space="0" w:color="auto"/>
        <w:left w:val="none" w:sz="0" w:space="0" w:color="auto"/>
        <w:bottom w:val="none" w:sz="0" w:space="0" w:color="auto"/>
        <w:right w:val="none" w:sz="0" w:space="0" w:color="auto"/>
      </w:divBdr>
    </w:div>
    <w:div w:id="448279797">
      <w:bodyDiv w:val="1"/>
      <w:marLeft w:val="0"/>
      <w:marRight w:val="0"/>
      <w:marTop w:val="0"/>
      <w:marBottom w:val="0"/>
      <w:divBdr>
        <w:top w:val="none" w:sz="0" w:space="0" w:color="auto"/>
        <w:left w:val="none" w:sz="0" w:space="0" w:color="auto"/>
        <w:bottom w:val="none" w:sz="0" w:space="0" w:color="auto"/>
        <w:right w:val="none" w:sz="0" w:space="0" w:color="auto"/>
      </w:divBdr>
    </w:div>
    <w:div w:id="630090052">
      <w:bodyDiv w:val="1"/>
      <w:marLeft w:val="0"/>
      <w:marRight w:val="0"/>
      <w:marTop w:val="0"/>
      <w:marBottom w:val="0"/>
      <w:divBdr>
        <w:top w:val="none" w:sz="0" w:space="0" w:color="auto"/>
        <w:left w:val="none" w:sz="0" w:space="0" w:color="auto"/>
        <w:bottom w:val="none" w:sz="0" w:space="0" w:color="auto"/>
        <w:right w:val="none" w:sz="0" w:space="0" w:color="auto"/>
      </w:divBdr>
    </w:div>
    <w:div w:id="635335530">
      <w:bodyDiv w:val="1"/>
      <w:marLeft w:val="0"/>
      <w:marRight w:val="0"/>
      <w:marTop w:val="0"/>
      <w:marBottom w:val="0"/>
      <w:divBdr>
        <w:top w:val="none" w:sz="0" w:space="0" w:color="auto"/>
        <w:left w:val="none" w:sz="0" w:space="0" w:color="auto"/>
        <w:bottom w:val="none" w:sz="0" w:space="0" w:color="auto"/>
        <w:right w:val="none" w:sz="0" w:space="0" w:color="auto"/>
      </w:divBdr>
    </w:div>
    <w:div w:id="719789544">
      <w:bodyDiv w:val="1"/>
      <w:marLeft w:val="0"/>
      <w:marRight w:val="0"/>
      <w:marTop w:val="0"/>
      <w:marBottom w:val="0"/>
      <w:divBdr>
        <w:top w:val="none" w:sz="0" w:space="0" w:color="auto"/>
        <w:left w:val="none" w:sz="0" w:space="0" w:color="auto"/>
        <w:bottom w:val="none" w:sz="0" w:space="0" w:color="auto"/>
        <w:right w:val="none" w:sz="0" w:space="0" w:color="auto"/>
      </w:divBdr>
    </w:div>
    <w:div w:id="1140149836">
      <w:bodyDiv w:val="1"/>
      <w:marLeft w:val="0"/>
      <w:marRight w:val="0"/>
      <w:marTop w:val="0"/>
      <w:marBottom w:val="0"/>
      <w:divBdr>
        <w:top w:val="none" w:sz="0" w:space="0" w:color="auto"/>
        <w:left w:val="none" w:sz="0" w:space="0" w:color="auto"/>
        <w:bottom w:val="none" w:sz="0" w:space="0" w:color="auto"/>
        <w:right w:val="none" w:sz="0" w:space="0" w:color="auto"/>
      </w:divBdr>
    </w:div>
    <w:div w:id="1308558107">
      <w:bodyDiv w:val="1"/>
      <w:marLeft w:val="0"/>
      <w:marRight w:val="0"/>
      <w:marTop w:val="0"/>
      <w:marBottom w:val="0"/>
      <w:divBdr>
        <w:top w:val="none" w:sz="0" w:space="0" w:color="auto"/>
        <w:left w:val="none" w:sz="0" w:space="0" w:color="auto"/>
        <w:bottom w:val="none" w:sz="0" w:space="0" w:color="auto"/>
        <w:right w:val="none" w:sz="0" w:space="0" w:color="auto"/>
      </w:divBdr>
    </w:div>
    <w:div w:id="1620992786">
      <w:bodyDiv w:val="1"/>
      <w:marLeft w:val="0"/>
      <w:marRight w:val="0"/>
      <w:marTop w:val="0"/>
      <w:marBottom w:val="0"/>
      <w:divBdr>
        <w:top w:val="none" w:sz="0" w:space="0" w:color="auto"/>
        <w:left w:val="none" w:sz="0" w:space="0" w:color="auto"/>
        <w:bottom w:val="none" w:sz="0" w:space="0" w:color="auto"/>
        <w:right w:val="none" w:sz="0" w:space="0" w:color="auto"/>
      </w:divBdr>
    </w:div>
    <w:div w:id="1803881969">
      <w:bodyDiv w:val="1"/>
      <w:marLeft w:val="0"/>
      <w:marRight w:val="0"/>
      <w:marTop w:val="0"/>
      <w:marBottom w:val="0"/>
      <w:divBdr>
        <w:top w:val="none" w:sz="0" w:space="0" w:color="auto"/>
        <w:left w:val="none" w:sz="0" w:space="0" w:color="auto"/>
        <w:bottom w:val="none" w:sz="0" w:space="0" w:color="auto"/>
        <w:right w:val="none" w:sz="0" w:space="0" w:color="auto"/>
      </w:divBdr>
    </w:div>
    <w:div w:id="2007703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Res</b:Tag>
    <b:SourceType>Report</b:SourceType>
    <b:Guid>{2DDEDDE0-B4B5-5342-8409-556D04CE7266}</b:Guid>
    <b:Title>Food Gifting in the U.S.: Consumer and Corporate, 6th Edition</b:Title>
    <b:Publisher>Packaged Facts</b:Publisher>
    <b:Author>
      <b:Author>
        <b:Corporate>Packaged Facts</b:Corporate>
      </b:Author>
    </b:Author>
    <b:Year>2018</b:Year>
    <b:RefOrder>2</b:RefOrder>
  </b:Source>
  <b:Source>
    <b:Tag>Pac16</b:Tag>
    <b:SourceType>Report</b:SourceType>
    <b:Guid>{5A42B863-27F7-AB4B-94C4-B161BC08B209}</b:Guid>
    <b:Author>
      <b:Author>
        <b:Corporate>Packaged Facts</b:Corporate>
      </b:Author>
    </b:Author>
    <b:Title>Food Gifting in the U.S., 5th Edition</b:Title>
    <b:Publisher>Packaged Facts</b:Publisher>
    <b:Year>2016</b:Year>
    <b:RefOrder>1</b:RefOrder>
  </b:Source>
</b:Sources>
</file>

<file path=customXml/itemProps1.xml><?xml version="1.0" encoding="utf-8"?>
<ds:datastoreItem xmlns:ds="http://schemas.openxmlformats.org/officeDocument/2006/customXml" ds:itemID="{C0A05645-CA02-4C00-A377-0D37F58F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1231</Words>
  <Characters>7018</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Samantha</dc:creator>
  <cp:keywords/>
  <dc:description/>
  <cp:lastModifiedBy>Lee, Seongmin</cp:lastModifiedBy>
  <cp:revision>5</cp:revision>
  <dcterms:created xsi:type="dcterms:W3CDTF">2018-05-06T09:34:00Z</dcterms:created>
  <dcterms:modified xsi:type="dcterms:W3CDTF">2018-05-06T12:05:00Z</dcterms:modified>
</cp:coreProperties>
</file>