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color w:val="d1d1d1"/>
        </w:rPr>
      </w:pPr>
      <w:r w:rsidDel="00000000" w:rsidR="00000000" w:rsidRPr="00000000">
        <w:rPr>
          <w:rtl w:val="0"/>
        </w:rPr>
      </w:r>
    </w:p>
    <w:tbl>
      <w:tblPr>
        <w:tblStyle w:val="Table1"/>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4486"/>
        <w:gridCol w:w="3070"/>
        <w:tblGridChange w:id="0">
          <w:tblGrid>
            <w:gridCol w:w="1936"/>
            <w:gridCol w:w="4486"/>
            <w:gridCol w:w="3070"/>
          </w:tblGrid>
        </w:tblGridChange>
      </w:tblGrid>
      <w:tr>
        <w:trPr>
          <w:cantSplit w:val="0"/>
          <w:trHeight w:val="851" w:hRule="atLeast"/>
          <w:tblHeader w:val="0"/>
        </w:trPr>
        <w:tc>
          <w:tcPr>
            <w:shd w:fill="d1d1d1" w:val="clear"/>
          </w:tcPr>
          <w:p w:rsidR="00000000" w:rsidDel="00000000" w:rsidP="00000000" w:rsidRDefault="00000000" w:rsidRPr="00000000" w14:paraId="00000002">
            <w:pPr>
              <w:spacing w:line="36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IDACTOR :</w:t>
            </w:r>
          </w:p>
        </w:tc>
        <w:tc>
          <w:tcPr/>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Actor01</w:t>
            </w:r>
          </w:p>
        </w:tc>
        <w:tc>
          <w:tcPr/>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005">
            <w:pPr>
              <w:spacing w:line="36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ACTOR</w:t>
            </w:r>
          </w:p>
        </w:tc>
        <w:tc>
          <w:tcPr>
            <w:gridSpan w:val="2"/>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general.</w:t>
            </w:r>
          </w:p>
        </w:tc>
      </w:tr>
      <w:tr>
        <w:trPr>
          <w:cantSplit w:val="0"/>
          <w:trHeight w:val="851" w:hRule="atLeast"/>
          <w:tblHeader w:val="0"/>
        </w:trPr>
        <w:tc>
          <w:tcPr>
            <w:shd w:fill="d1d1d1" w:val="clear"/>
          </w:tcPr>
          <w:p w:rsidR="00000000" w:rsidDel="00000000" w:rsidP="00000000" w:rsidRDefault="00000000" w:rsidRPr="00000000" w14:paraId="00000008">
            <w:pPr>
              <w:spacing w:line="36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CASOS DE USO</w:t>
            </w:r>
          </w:p>
        </w:tc>
        <w:tc>
          <w:tcPr>
            <w:gridSpan w:val="2"/>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mapa puntos verdes/limpios, Visualizar toneladas generadas por zona.</w:t>
            </w:r>
          </w:p>
        </w:tc>
      </w:tr>
      <w:tr>
        <w:trPr>
          <w:cantSplit w:val="0"/>
          <w:trHeight w:val="851" w:hRule="atLeast"/>
          <w:tblHeader w:val="0"/>
        </w:trPr>
        <w:tc>
          <w:tcPr>
            <w:shd w:fill="d1d1d1" w:val="clear"/>
          </w:tcPr>
          <w:p w:rsidR="00000000" w:rsidDel="00000000" w:rsidP="00000000" w:rsidRDefault="00000000" w:rsidRPr="00000000" w14:paraId="0000000B">
            <w:pPr>
              <w:spacing w:line="36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TIPO</w:t>
            </w:r>
          </w:p>
        </w:tc>
        <w:tc>
          <w:tcPr>
            <w:gridSpan w:val="2"/>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Primario</w:t>
            </w:r>
          </w:p>
        </w:tc>
      </w:tr>
      <w:tr>
        <w:trPr>
          <w:cantSplit w:val="0"/>
          <w:trHeight w:val="851" w:hRule="atLeast"/>
          <w:tblHeader w:val="0"/>
        </w:trPr>
        <w:tc>
          <w:tcPr>
            <w:shd w:fill="d1d1d1" w:val="clear"/>
          </w:tcPr>
          <w:p w:rsidR="00000000" w:rsidDel="00000000" w:rsidP="00000000" w:rsidRDefault="00000000" w:rsidRPr="00000000" w14:paraId="0000000E">
            <w:pPr>
              <w:spacing w:line="36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DESCRIPCIÓN</w:t>
            </w:r>
          </w:p>
        </w:tc>
        <w:tc>
          <w:tcPr>
            <w:gridSpan w:val="2"/>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interactúa con el sistema para consultar información geoespacial y métricas ambientales mediante interfaces gráficas.</w:t>
            </w:r>
          </w:p>
        </w:tc>
      </w:tr>
    </w:tb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i w:val="1"/>
          <w:iCs w:val="1"/>
          <w:color w:val="0e2841"/>
          <w:sz w:val="18"/>
          <w:szCs w:val="18"/>
        </w:rPr>
        <w:drawing>
          <wp:inline distB="114300" distT="114300" distL="114300" distR="114300">
            <wp:extent cx="5612130" cy="2171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13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bookmarkStart w:colFirst="0" w:colLast="0" w:name="_heading=h.rjlodb1d4rnn" w:id="0"/>
      <w:bookmarkEnd w:id="0"/>
      <w:r w:rsidDel="00000000" w:rsidR="00000000" w:rsidRPr="00000000">
        <w:rPr>
          <w:rtl w:val="0"/>
        </w:rPr>
      </w:r>
    </w:p>
    <w:tbl>
      <w:tblPr>
        <w:tblStyle w:val="Table2"/>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01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c>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p>
        </w:tc>
        <w:tc>
          <w:tcPr>
            <w:gridSpan w:val="2"/>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mapa puntos verdes/limpios.</w:t>
            </w:r>
          </w:p>
        </w:tc>
      </w:tr>
      <w:tr>
        <w:trPr>
          <w:cantSplit w:val="0"/>
          <w:trHeight w:val="851" w:hRule="atLeast"/>
          <w:tblHeader w:val="0"/>
        </w:trPr>
        <w:tc>
          <w:tcPr>
            <w:shd w:fill="d1d1d1" w:val="clear"/>
          </w:tcPr>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general.</w:t>
            </w:r>
          </w:p>
        </w:tc>
      </w:tr>
      <w:tr>
        <w:trPr>
          <w:cantSplit w:val="0"/>
          <w:trHeight w:val="851" w:hRule="atLeast"/>
          <w:tblHeader w:val="0"/>
        </w:trPr>
        <w:tc>
          <w:tcPr>
            <w:shd w:fill="d1d1d1" w:val="clear"/>
          </w:tcPr>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r>
      <w:tr>
        <w:trPr>
          <w:cantSplit w:val="0"/>
          <w:trHeight w:val="851" w:hRule="atLeast"/>
          <w:tblHeader w:val="0"/>
        </w:trPr>
        <w:tc>
          <w:tcPr>
            <w:shd w:fill="d1d1d1" w:val="clear"/>
          </w:tcPr>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al usuario ubicar geográficamente los puntos verdes y limpios disponibles a través de un mapa interactivo.</w:t>
            </w:r>
          </w:p>
        </w:tc>
      </w:tr>
      <w:tr>
        <w:trPr>
          <w:cantSplit w:val="0"/>
          <w:trHeight w:val="851" w:hRule="atLeast"/>
          <w:tblHeader w:val="0"/>
        </w:trPr>
        <w:tc>
          <w:tcPr>
            <w:shd w:fill="d1d1d1" w:val="clear"/>
          </w:tcPr>
          <w:p w:rsidR="00000000" w:rsidDel="00000000" w:rsidP="00000000" w:rsidRDefault="00000000" w:rsidRPr="00000000" w14:paraId="0000002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módulo de mapas, y el sistema despliega una vista con marcadores que representan la ubicación de los distintos puntos de reciclaje.</w:t>
            </w:r>
          </w:p>
        </w:tc>
      </w:tr>
      <w:tr>
        <w:trPr>
          <w:cantSplit w:val="0"/>
          <w:trHeight w:val="851" w:hRule="atLeast"/>
          <w:tblHeader w:val="0"/>
        </w:trPr>
        <w:tc>
          <w:tcPr>
            <w:shd w:fill="d1d1d1" w:val="clear"/>
          </w:tcPr>
          <w:p w:rsidR="00000000" w:rsidDel="00000000" w:rsidP="00000000" w:rsidRDefault="00000000" w:rsidRPr="00000000" w14:paraId="0000002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El sistema debe tener acceso a la base de datos con coordenadas actualizadas de los puntos verdes/limpios.</w:t>
            </w:r>
            <w:r w:rsidDel="00000000" w:rsidR="00000000" w:rsidRPr="00000000">
              <w:rPr>
                <w:rFonts w:ascii="Times New Roman" w:cs="Times New Roman" w:eastAsia="Times New Roman" w:hAnsi="Times New Roman"/>
                <w:sz w:val="24"/>
                <w:szCs w:val="24"/>
                <w:rtl w:val="0"/>
              </w:rPr>
              <w:t xml:space="preserve"> </w:t>
            </w:r>
            <w:sdt>
              <w:sdtPr>
                <w:id w:val="-713703964"/>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El usuario debe tener conexión a internet estable para cargar los servicios del mapa.</w:t>
            </w:r>
            <w:commentRangeEnd w:id="0"/>
            <w:r w:rsidDel="00000000" w:rsidR="00000000" w:rsidRPr="00000000">
              <w:commentReference w:id="0"/>
            </w:r>
            <w:r w:rsidDel="00000000" w:rsidR="00000000" w:rsidRPr="00000000">
              <w:rPr>
                <w:rtl w:val="0"/>
              </w:rPr>
            </w:r>
          </w:p>
        </w:tc>
      </w:tr>
      <w:tr>
        <w:trPr>
          <w:cantSplit w:val="0"/>
          <w:trHeight w:val="851" w:hRule="atLeast"/>
          <w:tblHeader w:val="0"/>
        </w:trPr>
        <w:tc>
          <w:tcPr>
            <w:shd w:fill="d1d1d1" w:val="clear"/>
          </w:tcPr>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accede a la sección del módulo de visualización.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selecciona opción de ver el mapa de puntos verdes/limpios.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solicita los datos de geolocalización al servidor / EX01</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envía las coordenadas e información de los puntos.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renderiza el mapa base y posiciona los marcadores correspondientes a los puntos verdes/limpios. /EX02</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navega por el mapa interactivo (acercar, alejar, desplazar).</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selecciona un punto específico en el mapa.</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muestra la información del punto seleccionado (dirección, materiales que recibe, horarios).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 del proceso</w:t>
            </w:r>
          </w:p>
        </w:tc>
      </w:tr>
      <w:tr>
        <w:trPr>
          <w:cantSplit w:val="0"/>
          <w:trHeight w:val="851" w:hRule="atLeast"/>
          <w:tblHeader w:val="0"/>
        </w:trPr>
        <w:tc>
          <w:tcPr>
            <w:shd w:fill="d1d1d1" w:val="clear"/>
          </w:tcPr>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FA01 – </w:t>
            </w:r>
            <w:r w:rsidDel="00000000" w:rsidR="00000000" w:rsidRPr="00000000">
              <w:rPr>
                <w:rFonts w:ascii="Times New Roman" w:cs="Times New Roman" w:eastAsia="Times New Roman" w:hAnsi="Times New Roman"/>
                <w:b w:val="1"/>
                <w:bCs w:val="1"/>
                <w:sz w:val="24"/>
                <w:szCs w:val="24"/>
                <w:rtl w:val="0"/>
              </w:rPr>
              <w:t xml:space="preserve">Visualizar toneladas generadas por zona (extensión): </w:t>
            </w:r>
            <w:r w:rsidDel="00000000" w:rsidR="00000000" w:rsidRPr="00000000">
              <w:rPr>
                <w:rFonts w:ascii="Times New Roman" w:cs="Times New Roman" w:eastAsia="Times New Roman" w:hAnsi="Times New Roman"/>
                <w:sz w:val="24"/>
                <w:szCs w:val="24"/>
                <w:rtl w:val="0"/>
              </w:rPr>
              <w:t xml:space="preserve">En el paso 6, el usuario activa la capa de información estadística o de métricas en el visor del mapa. El sistema ejecuta el caso de uso extendido “Visualizar toneladas generadas por zona” superponiendo un dashboard de información ampliando así la información del mapa base.</w:t>
            </w:r>
          </w:p>
        </w:tc>
      </w:tr>
      <w:tr>
        <w:trPr>
          <w:cantSplit w:val="0"/>
          <w:trHeight w:val="851" w:hRule="atLeast"/>
          <w:tblHeader w:val="0"/>
        </w:trPr>
        <w:tc>
          <w:tcPr>
            <w:shd w:fill="d1d1d1" w:val="clear"/>
          </w:tcPr>
          <w:p w:rsidR="00000000" w:rsidDel="00000000" w:rsidP="00000000" w:rsidRDefault="00000000" w:rsidRPr="00000000" w14:paraId="000000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037">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color w:val="000000"/>
                <w:sz w:val="24"/>
                <w:szCs w:val="24"/>
                <w:rtl w:val="0"/>
              </w:rPr>
              <w:t xml:space="preserve"> = No se puede establecer conexión con la base de datos</w:t>
            </w:r>
          </w:p>
          <w:p w:rsidR="00000000" w:rsidDel="00000000" w:rsidP="00000000" w:rsidRDefault="00000000" w:rsidRPr="00000000" w14:paraId="00000038">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color w:val="000000"/>
                <w:sz w:val="24"/>
                <w:szCs w:val="24"/>
                <w:rtl w:val="0"/>
              </w:rPr>
              <w:t xml:space="preserve"> = Falla al cargar el servicio de mapas</w:t>
            </w:r>
          </w:p>
          <w:p w:rsidR="00000000" w:rsidDel="00000000" w:rsidP="00000000" w:rsidRDefault="00000000" w:rsidRPr="00000000" w14:paraId="00000039">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EX03</w:t>
            </w:r>
            <w:r w:rsidDel="00000000" w:rsidR="00000000" w:rsidRPr="00000000">
              <w:rPr>
                <w:rFonts w:ascii="Times New Roman" w:cs="Times New Roman" w:eastAsia="Times New Roman" w:hAnsi="Times New Roman"/>
                <w:color w:val="000000"/>
                <w:sz w:val="24"/>
                <w:szCs w:val="24"/>
                <w:rtl w:val="0"/>
              </w:rPr>
              <w:t xml:space="preserve"> = No existen puntos verdes/limpios en la zona o filtro de búsqueda actual.</w:t>
            </w:r>
          </w:p>
        </w:tc>
      </w:tr>
      <w:tr>
        <w:trPr>
          <w:cantSplit w:val="0"/>
          <w:trHeight w:val="851" w:hRule="atLeast"/>
          <w:tblHeader w:val="0"/>
        </w:trPr>
        <w:tc>
          <w:tcPr>
            <w:shd w:fill="d1d1d1" w:val="clear"/>
          </w:tcPr>
          <w:p w:rsidR="00000000" w:rsidDel="00000000" w:rsidP="00000000" w:rsidRDefault="00000000" w:rsidRPr="00000000" w14:paraId="000000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visualiza exitosamente la ubicación y detalles de los puntos verdes o limpios en la interfaz del mapa.</w:t>
            </w:r>
          </w:p>
        </w:tc>
      </w:tr>
    </w:tbl>
    <w:p w:rsidR="00000000" w:rsidDel="00000000" w:rsidP="00000000" w:rsidRDefault="00000000" w:rsidRPr="00000000" w14:paraId="0000003E">
      <w:pPr>
        <w:spacing w:line="360" w:lineRule="auto"/>
        <w:rPr>
          <w:rFonts w:ascii="Times New Roman" w:cs="Times New Roman" w:eastAsia="Times New Roman" w:hAnsi="Times New Roman"/>
          <w:color w:val="00b0f0"/>
          <w:sz w:val="24"/>
          <w:szCs w:val="24"/>
        </w:rPr>
      </w:pPr>
      <w:r w:rsidDel="00000000" w:rsidR="00000000" w:rsidRPr="00000000">
        <w:rPr>
          <w:rtl w:val="0"/>
        </w:rPr>
      </w:r>
    </w:p>
    <w:tbl>
      <w:tblPr>
        <w:tblStyle w:val="Table3"/>
        <w:tblW w:w="94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4117"/>
        <w:gridCol w:w="2933"/>
        <w:tblGridChange w:id="0">
          <w:tblGrid>
            <w:gridCol w:w="2442"/>
            <w:gridCol w:w="4117"/>
            <w:gridCol w:w="2933"/>
          </w:tblGrid>
        </w:tblGridChange>
      </w:tblGrid>
      <w:tr>
        <w:trPr>
          <w:cantSplit w:val="0"/>
          <w:trHeight w:val="851" w:hRule="atLeast"/>
          <w:tblHeader w:val="0"/>
        </w:trPr>
        <w:tc>
          <w:tcPr>
            <w:shd w:fill="d1d1d1" w:val="clear"/>
          </w:tcPr>
          <w:p w:rsidR="00000000" w:rsidDel="00000000" w:rsidP="00000000" w:rsidRDefault="00000000" w:rsidRPr="00000000" w14:paraId="0000003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IDCASO :</w:t>
            </w:r>
          </w:p>
        </w:tc>
        <w:tc>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c>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 0.1</w:t>
            </w:r>
          </w:p>
        </w:tc>
      </w:tr>
      <w:tr>
        <w:trPr>
          <w:cantSplit w:val="0"/>
          <w:trHeight w:val="851" w:hRule="atLeast"/>
          <w:tblHeader w:val="0"/>
        </w:trPr>
        <w:tc>
          <w:tcPr>
            <w:shd w:fill="d1d1d1" w:val="clear"/>
          </w:tcPr>
          <w:p w:rsidR="00000000" w:rsidDel="00000000" w:rsidP="00000000" w:rsidRDefault="00000000" w:rsidRPr="00000000" w14:paraId="0000004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 USO</w:t>
            </w:r>
          </w:p>
        </w:tc>
        <w:tc>
          <w:tcPr>
            <w:gridSpan w:val="2"/>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toneladas generadas por zona.</w:t>
            </w:r>
          </w:p>
        </w:tc>
      </w:tr>
      <w:tr>
        <w:trPr>
          <w:cantSplit w:val="0"/>
          <w:trHeight w:val="851" w:hRule="atLeast"/>
          <w:tblHeader w:val="0"/>
        </w:trPr>
        <w:tc>
          <w:tcPr>
            <w:shd w:fill="d1d1d1" w:val="clear"/>
          </w:tcPr>
          <w:p w:rsidR="00000000" w:rsidDel="00000000" w:rsidP="00000000" w:rsidRDefault="00000000" w:rsidRPr="00000000" w14:paraId="0000004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tc>
        <w:tc>
          <w:tcPr>
            <w:gridSpan w:val="2"/>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general.</w:t>
            </w:r>
          </w:p>
        </w:tc>
      </w:tr>
      <w:tr>
        <w:trPr>
          <w:cantSplit w:val="0"/>
          <w:trHeight w:val="851" w:hRule="atLeast"/>
          <w:tblHeader w:val="0"/>
        </w:trPr>
        <w:tc>
          <w:tcPr>
            <w:shd w:fill="d1d1d1" w:val="clear"/>
          </w:tcPr>
          <w:p w:rsidR="00000000" w:rsidDel="00000000" w:rsidP="00000000" w:rsidRDefault="00000000" w:rsidRPr="00000000" w14:paraId="000000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gridSpan w:val="2"/>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Extensión (Dependiente de CU01 – Visualización mapa puntos verdes/limpios)</w:t>
            </w:r>
          </w:p>
        </w:tc>
      </w:tr>
      <w:tr>
        <w:trPr>
          <w:cantSplit w:val="0"/>
          <w:trHeight w:val="851" w:hRule="atLeast"/>
          <w:tblHeader w:val="0"/>
        </w:trPr>
        <w:tc>
          <w:tcPr>
            <w:shd w:fill="d1d1d1" w:val="clear"/>
          </w:tcPr>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p>
        </w:tc>
        <w:tc>
          <w:tcPr>
            <w:gridSpan w:val="2"/>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al usuario información estadística e indicadores sobre la cantidad de residuos generados, segmentados por áreas geográficas.</w:t>
            </w:r>
          </w:p>
        </w:tc>
      </w:tr>
      <w:tr>
        <w:trPr>
          <w:cantSplit w:val="0"/>
          <w:trHeight w:val="851" w:hRule="atLeast"/>
          <w:tblHeader w:val="0"/>
        </w:trPr>
        <w:tc>
          <w:tcPr>
            <w:shd w:fill="d1d1d1" w:val="clear"/>
          </w:tcPr>
          <w:p w:rsidR="00000000" w:rsidDel="00000000" w:rsidP="00000000" w:rsidRDefault="00000000" w:rsidRPr="00000000" w14:paraId="0000004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tc>
        <w:tc>
          <w:tcPr>
            <w:gridSpan w:val="2"/>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activa una capa adicional de información en el mapa base para visualizar de forma gráfica el volumen de toneladas de residuos generados por distintas áreas.</w:t>
            </w:r>
          </w:p>
        </w:tc>
      </w:tr>
      <w:tr>
        <w:trPr>
          <w:cantSplit w:val="0"/>
          <w:trHeight w:val="851" w:hRule="atLeast"/>
          <w:tblHeader w:val="0"/>
        </w:trPr>
        <w:tc>
          <w:tcPr>
            <w:shd w:fill="d1d1d1" w:val="clear"/>
          </w:tcPr>
          <w:p w:rsidR="00000000" w:rsidDel="00000000" w:rsidP="00000000" w:rsidRDefault="00000000" w:rsidRPr="00000000" w14:paraId="0000005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PRECONDICIONES</w:t>
            </w:r>
          </w:p>
        </w:tc>
        <w:tc>
          <w:tcPr>
            <w:gridSpan w:val="2"/>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estar ejecutando el caso de uso “Visualización mapa puntos verdes/limpios”. El sistema debe tener conexión con la base de datos que contiene los registros estadísticos por zona.</w:t>
            </w:r>
          </w:p>
        </w:tc>
      </w:tr>
      <w:tr>
        <w:trPr>
          <w:cantSplit w:val="0"/>
          <w:trHeight w:val="851" w:hRule="atLeast"/>
          <w:tblHeader w:val="0"/>
        </w:trPr>
        <w:tc>
          <w:tcPr>
            <w:shd w:fill="d1d1d1" w:val="clear"/>
          </w:tcPr>
          <w:p w:rsidR="00000000" w:rsidDel="00000000" w:rsidP="00000000" w:rsidRDefault="00000000" w:rsidRPr="00000000" w14:paraId="0000005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PRINCIPAL</w:t>
            </w:r>
          </w:p>
        </w:tc>
        <w:tc>
          <w:tcPr>
            <w:gridSpan w:val="2"/>
          </w:tcPr>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la interfaz del mapa, el usuario selecciona la opción o activa la capa “Ver toneladas generadas”.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solicita al servidor los datos estadísticos agrupados por las zonas visibles en la pantalla /EX01</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envía la información de las zonas y sus respectivas toneladas.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renderiza la capa estadística superponiéndola al mapa base.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selecciona una zona específica.</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Sistema despliega una ventana informativa con el detalle numérico de las toneladas generadas por zona/punto.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/EX02</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 desactiva la capa de toneladas.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oculta la capa estadística, regresando a la vista estándar del mapa.</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 del proceso (retorna al flujo del caso de uso base)</w:t>
            </w:r>
          </w:p>
        </w:tc>
      </w:tr>
      <w:tr>
        <w:trPr>
          <w:cantSplit w:val="0"/>
          <w:trHeight w:val="851" w:hRule="atLeast"/>
          <w:tblHeader w:val="0"/>
        </w:trPr>
        <w:tc>
          <w:tcPr>
            <w:shd w:fill="d1d1d1" w:val="clear"/>
          </w:tcPr>
          <w:p w:rsidR="00000000" w:rsidDel="00000000" w:rsidP="00000000" w:rsidRDefault="00000000" w:rsidRPr="00000000" w14:paraId="0000005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ALTERNATIVOS</w:t>
            </w:r>
          </w:p>
        </w:tc>
        <w:tc>
          <w:tcPr>
            <w:gridSpan w:val="2"/>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851" w:hRule="atLeast"/>
          <w:tblHeader w:val="0"/>
        </w:trPr>
        <w:tc>
          <w:tcPr>
            <w:shd w:fill="d1d1d1" w:val="clear"/>
          </w:tcPr>
          <w:p w:rsidR="00000000" w:rsidDel="00000000" w:rsidP="00000000" w:rsidRDefault="00000000" w:rsidRPr="00000000" w14:paraId="0000006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FLUJOS DE EXCEPCIÓN</w:t>
            </w:r>
          </w:p>
        </w:tc>
        <w:tc>
          <w:tcPr>
            <w:gridSpan w:val="2"/>
          </w:tcPr>
          <w:p w:rsidR="00000000" w:rsidDel="00000000" w:rsidP="00000000" w:rsidRDefault="00000000" w:rsidRPr="00000000" w14:paraId="00000063">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EX01</w:t>
            </w:r>
            <w:r w:rsidDel="00000000" w:rsidR="00000000" w:rsidRPr="00000000">
              <w:rPr>
                <w:rFonts w:ascii="Times New Roman" w:cs="Times New Roman" w:eastAsia="Times New Roman" w:hAnsi="Times New Roman"/>
                <w:color w:val="000000"/>
                <w:sz w:val="24"/>
                <w:szCs w:val="24"/>
                <w:rtl w:val="0"/>
              </w:rPr>
              <w:t xml:space="preserve"> = Error de conexión con el servidor</w:t>
            </w:r>
          </w:p>
          <w:p w:rsidR="00000000" w:rsidDel="00000000" w:rsidP="00000000" w:rsidRDefault="00000000" w:rsidRPr="00000000" w14:paraId="00000064">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EX02</w:t>
            </w:r>
            <w:r w:rsidDel="00000000" w:rsidR="00000000" w:rsidRPr="00000000">
              <w:rPr>
                <w:rFonts w:ascii="Times New Roman" w:cs="Times New Roman" w:eastAsia="Times New Roman" w:hAnsi="Times New Roman"/>
                <w:color w:val="000000"/>
                <w:sz w:val="24"/>
                <w:szCs w:val="24"/>
                <w:rtl w:val="0"/>
              </w:rPr>
              <w:t xml:space="preserve"> = No existen registros estadísticos o datos históricos disponibles para la zona específica que el usuario está consultando (el sistema muestra un mensaje de “Datos no disponibles”).</w:t>
            </w:r>
          </w:p>
        </w:tc>
      </w:tr>
      <w:tr>
        <w:trPr>
          <w:cantSplit w:val="0"/>
          <w:trHeight w:val="851" w:hRule="atLeast"/>
          <w:tblHeader w:val="0"/>
        </w:trPr>
        <w:tc>
          <w:tcPr>
            <w:shd w:fill="d1d1d1" w:val="clear"/>
          </w:tcPr>
          <w:p w:rsidR="00000000" w:rsidDel="00000000" w:rsidP="00000000" w:rsidRDefault="00000000" w:rsidRPr="00000000" w14:paraId="0000006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 CONDICIÓN</w:t>
            </w:r>
          </w:p>
        </w:tc>
        <w:tc>
          <w:tcPr>
            <w:gridSpan w:val="2"/>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complementa la vista del mapa con los datos sobre la generación de residuos en distintas zonas.</w:t>
            </w:r>
          </w:p>
        </w:tc>
      </w:tr>
    </w:tbl>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Nomenclatura de colores de participantes:</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50"/>
          <w:sz w:val="24"/>
          <w:szCs w:val="24"/>
          <w:u w:val="none"/>
          <w:shd w:fill="auto" w:val="clear"/>
          <w:vertAlign w:val="baseline"/>
          <w:rtl w:val="0"/>
        </w:rPr>
        <w:t xml:space="preserve">Usuario.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30a0"/>
          <w:sz w:val="24"/>
          <w:szCs w:val="24"/>
          <w:u w:val="none"/>
          <w:shd w:fill="auto" w:val="clear"/>
          <w:vertAlign w:val="baseline"/>
          <w:rtl w:val="0"/>
        </w:rPr>
        <w:t xml:space="preserve">Sistema escritorio.</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b w:val="0"/>
          <w:bCs w:val="0"/>
          <w:i w:val="0"/>
          <w:iCs w:val="0"/>
          <w:smallCaps w:val="0"/>
          <w:strike w:val="0"/>
          <w:color w:val="00b0f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b0f0"/>
          <w:sz w:val="24"/>
          <w:szCs w:val="24"/>
          <w:u w:val="none"/>
          <w:shd w:fill="auto" w:val="clear"/>
          <w:vertAlign w:val="baseline"/>
          <w:rtl w:val="0"/>
        </w:rPr>
        <w:t xml:space="preserve">Servidor.</w:t>
      </w:r>
    </w:p>
    <w:p w:rsidR="00000000" w:rsidDel="00000000" w:rsidP="00000000" w:rsidRDefault="00000000" w:rsidRPr="00000000" w14:paraId="0000006E">
      <w:pPr>
        <w:rPr/>
      </w:pPr>
      <w:r w:rsidDel="00000000" w:rsidR="00000000" w:rsidRPr="00000000">
        <w:rPr>
          <w:rtl w:val="0"/>
        </w:rPr>
      </w:r>
    </w:p>
    <w:sectPr>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BENJAMIN SEPULVEDA MARIN" w:id="0" w:date="2026-04-15T13:12:07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Sugerencia: Adicionalmente debería tener soporte para ubicación GPS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4cPmpl99s81sCsBb6pkcTsrsjw==">CgMxLjAaJwoBMBIiCiAIBCocCgtBQUFCM1FVVU9QYxAIGgtBQUFCM1FVVU9QYyL2AwoLQUFBQjNRVVVPUGMSxAMKC0FBQUIzUVVVT1BjEgtBQUFCM1FVVU9QYxpSCgl0ZXh0L2h0bWwSRVN1Z2VyZW5jaWE6IEFkaWNpb25hbG1lbnRlIGRlYmVyw61hIHRlbmVyIHNvcG9ydGUgcGFyYSB1YmljYWNpw7NuIEdQUyJTCgp0ZXh0L3BsYWluEkVTdWdlcmVuY2lhOiBBZGljaW9uYWxtZW50ZSBkZWJlcsOtYSB0ZW5lciBzb3BvcnRlIHBhcmEgdWJpY2FjacOzbiBHUFMqGyIVMTE3NTI2MzI2NDk2NjQ2ODY4MDUxKAA4ADDB+5SK2TM4wfuUitkzSmQKCnRleHQvcGxhaW4SVkVsIHVzdWFyaW8gZGViZSB0ZW5lciBjb25leGnDs24gYSBpbnRlcm5ldCBlc3RhYmxlIHBhcmEgY2FyZ2FyIGxvcyBzZXJ2aWNpb3MgZGVsIG1hcGEuWgxuNHJ2czd5b3Y0aDFyAiAAeACaAQYIABAAGACqAUcSRVN1Z2VyZW5jaWE6IEFkaWNpb25hbG1lbnRlIGRlYmVyw61hIHRlbmVyIHNvcG9ydGUgcGFyYSB1YmljYWNpw7NuIEdQU7ABALgBAMgBABjB+5SK2TMgwfuUitkzMABCEGtpeC5xb2hrZTd3cXg5b2syDmgucmpsb2RiMWQ0cm5uOAByITFIOGdCMHNjZXVaM2QtTWdXSHpkb3VwT2E1ZHhhdlZM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