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43DF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策略复现</w:t>
      </w:r>
    </w:p>
    <w:p w14:paraId="5FA44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目的：并不是寻求一组在历史上表现最好的策略参数，而是作为一个工具，来识别某一段时间内策略的收益归因，来检验不同的参数设置给策略造成的影响（可以可视化）。</w:t>
      </w:r>
    </w:p>
    <w:p w14:paraId="5F04E1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我想设置成一个可以交互的可视化网站。</w:t>
      </w:r>
    </w:p>
    <w:p w14:paraId="0EA1D5A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一、资产池</w:t>
      </w:r>
    </w:p>
    <w:p w14:paraId="62B496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1、选择资产：</w:t>
      </w:r>
    </w:p>
    <w:p w14:paraId="70EE9D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11个期货资产，2债券+3权益+6商品</w:t>
      </w:r>
    </w:p>
    <w:tbl>
      <w:tblPr>
        <w:tblStyle w:val="6"/>
        <w:tblW w:w="8358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2015"/>
        <w:gridCol w:w="1401"/>
        <w:gridCol w:w="757"/>
        <w:gridCol w:w="2787"/>
      </w:tblGrid>
      <w:tr w14:paraId="636B3BB6">
        <w:trPr>
          <w:trHeight w:val="542" w:hRule="atLeast"/>
        </w:trPr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31E00"/>
            <w:vAlign w:val="center"/>
          </w:tcPr>
          <w:p w14:paraId="52A28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Style w:val="9"/>
                <w:lang w:val="en-US" w:eastAsia="zh-CN" w:bidi="ar"/>
              </w:rPr>
              <w:t>资产类别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31E00"/>
            <w:vAlign w:val="center"/>
          </w:tcPr>
          <w:p w14:paraId="74616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Style w:val="9"/>
                <w:lang w:val="en-US" w:eastAsia="zh-CN" w:bidi="ar"/>
              </w:rPr>
              <w:t>资产名称</w:t>
            </w: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31E00"/>
            <w:vAlign w:val="center"/>
          </w:tcPr>
          <w:p w14:paraId="59C91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Style w:val="9"/>
                <w:lang w:val="en-US" w:eastAsia="zh-CN" w:bidi="ar"/>
              </w:rPr>
              <w:t>权重限制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31E00"/>
            <w:vAlign w:val="center"/>
          </w:tcPr>
          <w:p w14:paraId="35FA5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-简" w:hAnsi="宋体-简" w:eastAsia="宋体-简" w:cs="宋体-简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-简" w:hAnsi="宋体-简" w:eastAsia="宋体-简" w:cs="宋体-简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代码</w:t>
            </w:r>
          </w:p>
        </w:tc>
        <w:tc>
          <w:tcPr>
            <w:tcW w:w="2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31E00"/>
            <w:vAlign w:val="center"/>
          </w:tcPr>
          <w:p w14:paraId="3C737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-简" w:hAnsi="宋体-简" w:eastAsia="宋体-简" w:cs="宋体-简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-简" w:hAnsi="宋体-简" w:eastAsia="宋体-简" w:cs="宋体-简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上市时间</w:t>
            </w:r>
          </w:p>
        </w:tc>
      </w:tr>
      <w:tr w14:paraId="341C0495">
        <w:trPr>
          <w:trHeight w:val="542" w:hRule="atLeast"/>
        </w:trPr>
        <w:tc>
          <w:tcPr>
            <w:tcW w:w="13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AAA7A"/>
            <w:vAlign w:val="center"/>
          </w:tcPr>
          <w:p w14:paraId="4E89D2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Style w:val="10"/>
                <w:lang w:val="en-US" w:eastAsia="zh-CN" w:bidi="ar"/>
              </w:rPr>
              <w:t>债券资产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center"/>
          </w:tcPr>
          <w:p w14:paraId="7125BC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1"/>
                <w:lang w:val="en-US" w:eastAsia="zh-CN" w:bidi="ar"/>
              </w:rPr>
              <w:t>中国5年国债</w:t>
            </w: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36E2AB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202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2020"/>
                <w:kern w:val="0"/>
                <w:sz w:val="22"/>
                <w:szCs w:val="22"/>
                <w:u w:val="none"/>
                <w:lang w:val="en-US" w:eastAsia="zh-CN" w:bidi="ar"/>
              </w:rPr>
              <w:t>125%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37F69D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202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2020"/>
                <w:kern w:val="0"/>
                <w:sz w:val="22"/>
                <w:szCs w:val="22"/>
                <w:u w:val="none"/>
                <w:lang w:val="en-US" w:eastAsia="zh-CN" w:bidi="ar"/>
              </w:rPr>
              <w:t>TF</w:t>
            </w:r>
          </w:p>
        </w:tc>
        <w:tc>
          <w:tcPr>
            <w:tcW w:w="2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29951C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202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2020"/>
                <w:kern w:val="0"/>
                <w:sz w:val="22"/>
                <w:szCs w:val="22"/>
                <w:u w:val="none"/>
                <w:lang w:val="en-US" w:eastAsia="zh-CN" w:bidi="ar"/>
              </w:rPr>
              <w:t>2013年9月6日</w:t>
            </w:r>
          </w:p>
        </w:tc>
      </w:tr>
      <w:tr w14:paraId="2458C6CA">
        <w:trPr>
          <w:trHeight w:val="542" w:hRule="atLeast"/>
        </w:trPr>
        <w:tc>
          <w:tcPr>
            <w:tcW w:w="13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AAA7A"/>
            <w:vAlign w:val="center"/>
          </w:tcPr>
          <w:p w14:paraId="4D340E3A">
            <w:pPr>
              <w:jc w:val="left"/>
              <w:rPr>
                <w:rFonts w:hint="default" w:ascii="Arial" w:hAnsi="Arial" w:eastAsia="宋体" w:cs="Arial"/>
                <w:i w:val="0"/>
                <w:iCs w:val="0"/>
                <w:color w:val="FFFFFF"/>
                <w:sz w:val="22"/>
                <w:szCs w:val="22"/>
                <w:u w:val="none"/>
              </w:rPr>
            </w:pP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center"/>
          </w:tcPr>
          <w:p w14:paraId="2D034A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1"/>
                <w:lang w:val="en-US" w:eastAsia="zh-CN" w:bidi="ar"/>
              </w:rPr>
              <w:t>中国10年国债</w:t>
            </w: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top"/>
          </w:tcPr>
          <w:p w14:paraId="2BEA48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250%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top"/>
          </w:tcPr>
          <w:p w14:paraId="0FF850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</w:p>
        </w:tc>
        <w:tc>
          <w:tcPr>
            <w:tcW w:w="2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top"/>
          </w:tcPr>
          <w:p w14:paraId="632C0F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2015年3月20日</w:t>
            </w:r>
          </w:p>
        </w:tc>
      </w:tr>
      <w:tr w14:paraId="206EDE50">
        <w:trPr>
          <w:trHeight w:val="542" w:hRule="atLeast"/>
        </w:trPr>
        <w:tc>
          <w:tcPr>
            <w:tcW w:w="13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AAA7A"/>
            <w:vAlign w:val="center"/>
          </w:tcPr>
          <w:p w14:paraId="03E96F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Style w:val="9"/>
                <w:lang w:val="en-US" w:eastAsia="zh-CN" w:bidi="ar"/>
              </w:rPr>
              <w:t>权益资产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center"/>
          </w:tcPr>
          <w:p w14:paraId="58ADA7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1"/>
                <w:lang w:val="en-US" w:eastAsia="zh-CN" w:bidi="ar"/>
              </w:rPr>
              <w:t>沪深300指数</w:t>
            </w: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18AD69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50%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4451D8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</w:t>
            </w:r>
          </w:p>
        </w:tc>
        <w:tc>
          <w:tcPr>
            <w:tcW w:w="2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75163C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2010年4月16日</w:t>
            </w:r>
          </w:p>
        </w:tc>
      </w:tr>
      <w:tr w14:paraId="123BE9FD">
        <w:trPr>
          <w:trHeight w:val="542" w:hRule="atLeast"/>
        </w:trPr>
        <w:tc>
          <w:tcPr>
            <w:tcW w:w="13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AAA7A"/>
            <w:vAlign w:val="center"/>
          </w:tcPr>
          <w:p w14:paraId="02B55978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center"/>
          </w:tcPr>
          <w:p w14:paraId="1A9F8D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1"/>
                <w:lang w:val="en-US" w:eastAsia="zh-CN" w:bidi="ar"/>
              </w:rPr>
              <w:t>中证500指数</w:t>
            </w: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top"/>
          </w:tcPr>
          <w:p w14:paraId="2513CD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50%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top"/>
          </w:tcPr>
          <w:p w14:paraId="039F4E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IC</w:t>
            </w:r>
          </w:p>
        </w:tc>
        <w:tc>
          <w:tcPr>
            <w:tcW w:w="2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top"/>
          </w:tcPr>
          <w:p w14:paraId="37EBBD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2015年4月16日</w:t>
            </w:r>
          </w:p>
        </w:tc>
      </w:tr>
      <w:tr w14:paraId="5372C6B1">
        <w:trPr>
          <w:trHeight w:val="542" w:hRule="atLeast"/>
        </w:trPr>
        <w:tc>
          <w:tcPr>
            <w:tcW w:w="13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AAA7A"/>
            <w:vAlign w:val="center"/>
          </w:tcPr>
          <w:p w14:paraId="149C5D87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center"/>
          </w:tcPr>
          <w:p w14:paraId="6F790C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1"/>
                <w:lang w:val="en-US" w:eastAsia="zh-CN" w:bidi="ar"/>
              </w:rPr>
              <w:t>中证1000指数</w:t>
            </w: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4CE38F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50%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1DBAE0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IM</w:t>
            </w:r>
          </w:p>
        </w:tc>
        <w:tc>
          <w:tcPr>
            <w:tcW w:w="2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7FC066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2022年7月22日</w:t>
            </w:r>
          </w:p>
        </w:tc>
      </w:tr>
      <w:tr w14:paraId="7CA28DD3">
        <w:trPr>
          <w:trHeight w:val="300" w:hRule="atLeast"/>
        </w:trPr>
        <w:tc>
          <w:tcPr>
            <w:tcW w:w="13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AAA7A"/>
            <w:vAlign w:val="center"/>
          </w:tcPr>
          <w:p w14:paraId="304D34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Style w:val="9"/>
                <w:lang w:val="en-US" w:eastAsia="zh-CN" w:bidi="ar"/>
              </w:rPr>
              <w:t>商品资产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center"/>
          </w:tcPr>
          <w:p w14:paraId="0C079B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1"/>
                <w:lang w:val="en-US" w:eastAsia="zh-CN" w:bidi="ar"/>
              </w:rPr>
              <w:t>原油期货</w:t>
            </w: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top"/>
          </w:tcPr>
          <w:p w14:paraId="4B127E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top"/>
          </w:tcPr>
          <w:p w14:paraId="40B6A2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</w:t>
            </w:r>
          </w:p>
        </w:tc>
        <w:tc>
          <w:tcPr>
            <w:tcW w:w="2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top"/>
          </w:tcPr>
          <w:p w14:paraId="1DF961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2018年3月26日</w:t>
            </w:r>
          </w:p>
        </w:tc>
      </w:tr>
      <w:tr w14:paraId="1CAD41D7">
        <w:trPr>
          <w:trHeight w:val="300" w:hRule="atLeast"/>
        </w:trPr>
        <w:tc>
          <w:tcPr>
            <w:tcW w:w="13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AAA7A"/>
            <w:vAlign w:val="center"/>
          </w:tcPr>
          <w:p w14:paraId="6851837B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center"/>
          </w:tcPr>
          <w:p w14:paraId="56CEA2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1"/>
                <w:lang w:val="en-US" w:eastAsia="zh-CN" w:bidi="ar"/>
              </w:rPr>
              <w:t>玻璃期货</w:t>
            </w: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600071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102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102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31BA8F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102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1020"/>
                <w:kern w:val="0"/>
                <w:sz w:val="22"/>
                <w:szCs w:val="22"/>
                <w:u w:val="none"/>
                <w:lang w:val="en-US" w:eastAsia="zh-CN" w:bidi="ar"/>
              </w:rPr>
              <w:t>FG</w:t>
            </w:r>
          </w:p>
        </w:tc>
        <w:tc>
          <w:tcPr>
            <w:tcW w:w="2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3DB51B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102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1020"/>
                <w:kern w:val="0"/>
                <w:sz w:val="22"/>
                <w:szCs w:val="22"/>
                <w:u w:val="none"/>
                <w:lang w:val="en-US" w:eastAsia="zh-CN" w:bidi="ar"/>
              </w:rPr>
              <w:t>2012年12月3日</w:t>
            </w:r>
          </w:p>
        </w:tc>
      </w:tr>
      <w:tr w14:paraId="038E99B9">
        <w:trPr>
          <w:trHeight w:val="542" w:hRule="atLeast"/>
        </w:trPr>
        <w:tc>
          <w:tcPr>
            <w:tcW w:w="13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AAA7A"/>
            <w:vAlign w:val="center"/>
          </w:tcPr>
          <w:p w14:paraId="2765FF9A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center"/>
          </w:tcPr>
          <w:p w14:paraId="02B019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1"/>
                <w:lang w:val="en-US" w:eastAsia="zh-CN" w:bidi="ar"/>
              </w:rPr>
              <w:t>铁矿石期货</w:t>
            </w: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top"/>
          </w:tcPr>
          <w:p w14:paraId="52C6A1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top"/>
          </w:tcPr>
          <w:p w14:paraId="2B14EF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</w:p>
        </w:tc>
        <w:tc>
          <w:tcPr>
            <w:tcW w:w="2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top"/>
          </w:tcPr>
          <w:p w14:paraId="194F7D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2013年10月18日</w:t>
            </w:r>
          </w:p>
        </w:tc>
      </w:tr>
      <w:tr w14:paraId="75C611FC">
        <w:trPr>
          <w:trHeight w:val="300" w:hRule="atLeast"/>
        </w:trPr>
        <w:tc>
          <w:tcPr>
            <w:tcW w:w="13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AAA7A"/>
            <w:vAlign w:val="center"/>
          </w:tcPr>
          <w:p w14:paraId="5F4F6CFC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center"/>
          </w:tcPr>
          <w:p w14:paraId="798DBB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1"/>
                <w:lang w:val="en-US" w:eastAsia="zh-CN" w:bidi="ar"/>
              </w:rPr>
              <w:t>豆粕期货</w:t>
            </w: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5663D1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34389F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</w:t>
            </w:r>
          </w:p>
        </w:tc>
        <w:tc>
          <w:tcPr>
            <w:tcW w:w="2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2A1511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2000年7月17日</w:t>
            </w:r>
          </w:p>
        </w:tc>
      </w:tr>
      <w:tr w14:paraId="15ACBA4C">
        <w:trPr>
          <w:trHeight w:val="334" w:hRule="atLeast"/>
        </w:trPr>
        <w:tc>
          <w:tcPr>
            <w:tcW w:w="13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AAA7A"/>
            <w:vAlign w:val="center"/>
          </w:tcPr>
          <w:p w14:paraId="7981C97C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center"/>
          </w:tcPr>
          <w:p w14:paraId="1C5AD1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1"/>
                <w:lang w:val="en-US" w:eastAsia="zh-CN" w:bidi="ar"/>
              </w:rPr>
              <w:t>沪金期货</w:t>
            </w: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top"/>
          </w:tcPr>
          <w:p w14:paraId="1705B1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50%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top"/>
          </w:tcPr>
          <w:p w14:paraId="4A9B7C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AU</w:t>
            </w:r>
          </w:p>
        </w:tc>
        <w:tc>
          <w:tcPr>
            <w:tcW w:w="2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0EB"/>
            <w:vAlign w:val="top"/>
          </w:tcPr>
          <w:p w14:paraId="18C9E1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2008年1月9日</w:t>
            </w:r>
          </w:p>
        </w:tc>
      </w:tr>
      <w:tr w14:paraId="19A150F6">
        <w:trPr>
          <w:trHeight w:val="308" w:hRule="atLeast"/>
        </w:trPr>
        <w:tc>
          <w:tcPr>
            <w:tcW w:w="13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AAA7A"/>
            <w:vAlign w:val="center"/>
          </w:tcPr>
          <w:p w14:paraId="286799D8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center"/>
          </w:tcPr>
          <w:p w14:paraId="64ED5E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1"/>
                <w:lang w:val="en-US" w:eastAsia="zh-CN" w:bidi="ar"/>
              </w:rPr>
              <w:t>沪铜期货</w:t>
            </w: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074DC9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4BF400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</w:t>
            </w:r>
          </w:p>
        </w:tc>
        <w:tc>
          <w:tcPr>
            <w:tcW w:w="2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BE1D6"/>
            <w:vAlign w:val="top"/>
          </w:tcPr>
          <w:p w14:paraId="59CF4F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1993年3月</w:t>
            </w:r>
          </w:p>
        </w:tc>
      </w:tr>
    </w:tbl>
    <w:p w14:paraId="36BB5C6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2、选择回测时间。</w:t>
      </w:r>
    </w:p>
    <w:p w14:paraId="47C6C12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可视化网站需要可视化所选择资产在回测区间内的一些参数。</w:t>
      </w:r>
    </w:p>
    <w:p w14:paraId="2CAE9262">
      <w:pPr>
        <w:pStyle w:val="3"/>
        <w:tabs>
          <w:tab w:val="left" w:pos="2730"/>
        </w:tabs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二、动量筛选</w:t>
      </w:r>
    </w:p>
    <w:p w14:paraId="55CCA58D">
      <w:pPr>
        <w:pStyle w:val="4"/>
        <w:bidi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1、月度动量筛选。</w:t>
      </w:r>
    </w:p>
    <w:p w14:paraId="7DC206A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2债券固定保留，其余9选8，每月固定定时按照动量信号排序剔除最后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【1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名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】（参数1，可以设置剔除最后几名）。</w:t>
      </w:r>
    </w:p>
    <w:p w14:paraId="2473EA1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最后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2个债券+8个风险资产=10个资产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25F3645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4061BA">
      <w:pPr>
        <w:pStyle w:val="4"/>
        <w:bidi w:val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2、动量信号</w:t>
      </w:r>
    </w:p>
    <w:p w14:paraId="0764EA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六个动量信号分别是：</w:t>
      </w:r>
    </w:p>
    <w:p w14:paraId="2F97B7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plcHide m:val="1"/>
            </m:mPr>
            <m:mr>
              <m:e>
                <m:sSubSup>
                  <m:sSubSupPr/>
                  <m:e>
                    <m:r>
                      <m:rPr/>
                      <w:rPr>
                        <w:rFonts w:ascii="Cambria Math" w:hAnsi="Cambria Math" w:eastAsia="Cambria Math" w:cs="Cambria Math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</w:rPr>
                      <m:t>i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</w:rPr>
                      <m:t>(h)</m:t>
                    </m:r>
                  </m:sup>
                </m:sSubSup>
              </m:e>
              <m:e>
                <m:r>
                  <m:rPr/>
                  <w:rPr>
                    <w:rFonts w:ascii="Cambria Math" w:hAnsi="Cambria Math" w:eastAsia="Cambria Math" w:cs="Cambria Math"/>
                  </w:rPr>
                  <m:t>=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</w:rPr>
                          <m:t>P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</w:rPr>
                          <m:t>i,t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</w:rPr>
                          <m:t>P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</w:rPr>
                          <m:t>i,t−h</m:t>
                        </m:r>
                      </m:sub>
                    </m:sSub>
                  </m:den>
                </m:f>
                <m:r>
                  <m:rPr/>
                  <w:rPr>
                    <w:rFonts w:ascii="Cambria Math" w:hAnsi="Cambria Math" w:eastAsia="Cambria Math" w:cs="Cambria Math"/>
                  </w:rPr>
                  <m:t>−1</m:t>
                </m: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</w:rPr>
                  <m:t>S</m:t>
                </m:r>
                <m:sSubSup>
                  <m:sSubSupPr/>
                  <m:e>
                    <m:r>
                      <m:rPr/>
                      <w:rPr>
                        <w:rFonts w:ascii="Cambria Math" w:hAnsi="Cambria Math" w:eastAsia="Cambria Math" w:cs="Cambria Math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</w:rPr>
                      <m:t>i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</w:rPr>
                      <m:t>(h)</m:t>
                    </m:r>
                  </m:sup>
                </m:sSubSup>
              </m:e>
              <m:e>
                <m:r>
                  <m:rPr/>
                  <w:rPr>
                    <w:rFonts w:ascii="Cambria Math" w:hAnsi="Cambria Math" w:eastAsia="Cambria Math" w:cs="Cambria Math"/>
                  </w:rPr>
                  <m:t>=</m:t>
                </m:r>
                <m:f>
                  <m:fPr/>
                  <m:num>
                    <m:sSubSup>
                      <m:sSubSupPr/>
                      <m:e>
                        <m:limUpp>
                          <m:limUp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</w:rPr>
                              <m:t>r</m:t>
                            </m:r>
                          </m:e>
                          <m:lim>
                            <m:r>
                              <m:rPr/>
                              <w:rPr>
                                <w:rFonts w:ascii="Cambria Math" w:hAnsi="Cambria Math" w:eastAsia="Cambria Math" w:cs="Cambria Math"/>
                              </w:rPr>
                              <m:t>¯</m:t>
                            </m:r>
                          </m:lim>
                        </m:limUpp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</w:rPr>
                          <m:t>i</m:t>
                        </m:r>
                      </m:sub>
                      <m:sup>
                        <m:r>
                          <m:rPr/>
                          <w:rPr>
                            <w:rFonts w:ascii="Cambria Math" w:hAnsi="Cambria Math" w:eastAsia="Cambria Math" w:cs="Cambria Math"/>
                          </w:rPr>
                          <m:t>(h)</m:t>
                        </m:r>
                      </m:sup>
                    </m:sSubSup>
                  </m:num>
                  <m:den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</w:rPr>
                          <m:t>σ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</w:rPr>
                          <m:t>i</m:t>
                        </m:r>
                      </m:sub>
                      <m:sup>
                        <m:r>
                          <m:rPr/>
                          <w:rPr>
                            <w:rFonts w:ascii="Cambria Math" w:hAnsi="Cambria Math" w:eastAsia="Cambria Math" w:cs="Cambria Math"/>
                          </w:rPr>
                          <m:t>(h)</m:t>
                        </m:r>
                      </m:sup>
                    </m:sSubSup>
                  </m:den>
                </m:f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Cambria Math" w:cs="Cambria Math"/>
                      </w:rPr>
                      <m:t>252</m:t>
                    </m:r>
                  </m:e>
                </m:rad>
              </m:e>
            </m:mr>
          </m:m>
        </m:oMath>
      </m:oMathPara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2499"/>
        <w:gridCol w:w="2131"/>
        <w:gridCol w:w="2131"/>
      </w:tblGrid>
      <w:tr w14:paraId="2EDDC571">
        <w:tc>
          <w:tcPr>
            <w:tcW w:w="1761" w:type="dxa"/>
          </w:tcPr>
          <w:p w14:paraId="41FE51C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动量信号类型</w:t>
            </w:r>
          </w:p>
        </w:tc>
        <w:tc>
          <w:tcPr>
            <w:tcW w:w="2499" w:type="dxa"/>
          </w:tcPr>
          <w:p w14:paraId="774D6C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动量信号</w:t>
            </w:r>
          </w:p>
        </w:tc>
        <w:tc>
          <w:tcPr>
            <w:tcW w:w="2131" w:type="dxa"/>
          </w:tcPr>
          <w:p w14:paraId="71ED86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变量定义</w:t>
            </w:r>
          </w:p>
        </w:tc>
        <w:tc>
          <w:tcPr>
            <w:tcW w:w="2131" w:type="dxa"/>
          </w:tcPr>
          <w:p w14:paraId="32706B6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99043E1">
        <w:tc>
          <w:tcPr>
            <w:tcW w:w="1761" w:type="dxa"/>
            <w:vMerge w:val="restart"/>
          </w:tcPr>
          <w:p w14:paraId="5CC8B39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  <w:r>
              <w:t>短期绝对收益</w:t>
            </w:r>
          </w:p>
        </w:tc>
        <w:tc>
          <w:tcPr>
            <w:tcW w:w="2499" w:type="dxa"/>
          </w:tcPr>
          <w:p w14:paraId="17AB9F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20个交易日绝对收益</w:t>
            </w:r>
          </w:p>
        </w:tc>
        <w:tc>
          <w:tcPr>
            <w:tcW w:w="2131" w:type="dxa"/>
          </w:tcPr>
          <w:p w14:paraId="044B81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  <m:oMathPara>
              <m:oMath>
                <m:sSubSup>
                  <m:sSubSupPr/>
                  <m:e>
                    <m:r>
                      <m:rPr/>
                      <w:rPr>
                        <w:rFonts w:ascii="Cambria Math" w:hAnsi="Cambria Math" w:eastAsia="Cambria Math" w:cs="Cambria Math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</w:rPr>
                      <m:t>i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</w:rPr>
                      <m:t>(</m:t>
                    </m:r>
                    <m:r>
                      <m:rPr/>
                      <w:rPr>
                        <w:rFonts w:hint="default" w:ascii="DejaVu Math TeX Gyre" w:hAnsi="DejaVu Math TeX Gyre" w:eastAsia="宋体" w:cs="Cambria Math"/>
                        <w:lang w:val="en-US" w:eastAsia="zh-CN"/>
                      </w:rPr>
                      <m:t>20</m:t>
                    </m:r>
                    <m:r>
                      <m:rPr/>
                      <w:rPr>
                        <w:rFonts w:ascii="Cambria Math" w:hAnsi="Cambria Math" w:eastAsia="Cambria Math" w:cs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2131" w:type="dxa"/>
          </w:tcPr>
          <w:p w14:paraId="3FA4226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</w:p>
        </w:tc>
      </w:tr>
      <w:tr w14:paraId="1E0B3A2E">
        <w:tc>
          <w:tcPr>
            <w:tcW w:w="1761" w:type="dxa"/>
            <w:vMerge w:val="continue"/>
          </w:tcPr>
          <w:p w14:paraId="1E0811D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</w:p>
        </w:tc>
        <w:tc>
          <w:tcPr>
            <w:tcW w:w="2499" w:type="dxa"/>
          </w:tcPr>
          <w:p w14:paraId="1EDC7B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60个交易日绝对收益</w:t>
            </w:r>
          </w:p>
        </w:tc>
        <w:tc>
          <w:tcPr>
            <w:tcW w:w="2131" w:type="dxa"/>
          </w:tcPr>
          <w:p w14:paraId="7F0950A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  <m:oMathPara>
              <m:oMath>
                <m:sSubSup>
                  <m:sSubSupPr/>
                  <m:e>
                    <m:r>
                      <m:rPr/>
                      <w:rPr>
                        <w:rFonts w:ascii="Cambria Math" w:hAnsi="Cambria Math" w:eastAsia="Cambria Math" w:cs="Cambria Math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</w:rPr>
                      <m:t>i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</w:rPr>
                      <m:t>(</m:t>
                    </m:r>
                    <m:r>
                      <m:rPr/>
                      <w:rPr>
                        <w:rFonts w:hint="default" w:ascii="DejaVu Math TeX Gyre" w:hAnsi="DejaVu Math TeX Gyre" w:eastAsia="宋体" w:cs="Cambria Math"/>
                        <w:lang w:val="en-US" w:eastAsia="zh-CN"/>
                      </w:rPr>
                      <m:t>60</m:t>
                    </m:r>
                    <m:r>
                      <m:rPr/>
                      <w:rPr>
                        <w:rFonts w:ascii="Cambria Math" w:hAnsi="Cambria Math" w:eastAsia="Cambria Math" w:cs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2131" w:type="dxa"/>
          </w:tcPr>
          <w:p w14:paraId="3437BBC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</w:p>
        </w:tc>
      </w:tr>
      <w:tr w14:paraId="58832C08">
        <w:tc>
          <w:tcPr>
            <w:tcW w:w="1761" w:type="dxa"/>
            <w:vMerge w:val="restart"/>
          </w:tcPr>
          <w:p w14:paraId="4A451B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短期sharp</w:t>
            </w:r>
          </w:p>
        </w:tc>
        <w:tc>
          <w:tcPr>
            <w:tcW w:w="2499" w:type="dxa"/>
          </w:tcPr>
          <w:p w14:paraId="057D9B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20个交易日sharp</w:t>
            </w:r>
          </w:p>
        </w:tc>
        <w:tc>
          <w:tcPr>
            <w:tcW w:w="2131" w:type="dxa"/>
          </w:tcPr>
          <w:p w14:paraId="3285A8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S</m:t>
                </m:r>
                <m:sSubSup>
                  <m:sSubSupPr/>
                  <m:e>
                    <m:r>
                      <m:rPr/>
                      <w:rPr>
                        <w:rFonts w:ascii="Cambria Math" w:hAnsi="Cambria Math" w:eastAsia="Cambria Math" w:cs="Cambria Math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</w:rPr>
                      <m:t>i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</w:rPr>
                      <m:t>(</m:t>
                    </m:r>
                    <m:r>
                      <m:rPr/>
                      <w:rPr>
                        <w:rFonts w:hint="default" w:ascii="DejaVu Math TeX Gyre" w:hAnsi="DejaVu Math TeX Gyre" w:eastAsia="宋体" w:cs="Cambria Math"/>
                        <w:lang w:val="en-US" w:eastAsia="zh-CN"/>
                      </w:rPr>
                      <m:t>20</m:t>
                    </m:r>
                    <m:r>
                      <m:rPr/>
                      <w:rPr>
                        <w:rFonts w:ascii="Cambria Math" w:hAnsi="Cambria Math" w:eastAsia="Cambria Math" w:cs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2131" w:type="dxa"/>
          </w:tcPr>
          <w:p w14:paraId="280FBFE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</w:p>
        </w:tc>
      </w:tr>
      <w:tr w14:paraId="6B0EC94F">
        <w:tc>
          <w:tcPr>
            <w:tcW w:w="1761" w:type="dxa"/>
            <w:vMerge w:val="continue"/>
          </w:tcPr>
          <w:p w14:paraId="785249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eastAsia"/>
                <w:vertAlign w:val="baseline"/>
              </w:rPr>
            </w:pPr>
          </w:p>
        </w:tc>
        <w:tc>
          <w:tcPr>
            <w:tcW w:w="2499" w:type="dxa"/>
          </w:tcPr>
          <w:p w14:paraId="60DACB5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60个交易日sharp</w:t>
            </w:r>
          </w:p>
        </w:tc>
        <w:tc>
          <w:tcPr>
            <w:tcW w:w="2131" w:type="dxa"/>
          </w:tcPr>
          <w:p w14:paraId="7B5CC13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S</m:t>
                </m:r>
                <m:sSubSup>
                  <m:sSubSupPr/>
                  <m:e>
                    <m:r>
                      <m:rPr/>
                      <w:rPr>
                        <w:rFonts w:ascii="Cambria Math" w:hAnsi="Cambria Math" w:eastAsia="Cambria Math" w:cs="Cambria Math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</w:rPr>
                      <m:t>i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</w:rPr>
                      <m:t>(</m:t>
                    </m:r>
                    <m:r>
                      <m:rPr/>
                      <w:rPr>
                        <w:rFonts w:hint="default" w:ascii="DejaVu Math TeX Gyre" w:hAnsi="DejaVu Math TeX Gyre" w:eastAsia="宋体" w:cs="Cambria Math"/>
                        <w:lang w:val="en-US" w:eastAsia="zh-CN"/>
                      </w:rPr>
                      <m:t>60</m:t>
                    </m:r>
                    <m:r>
                      <m:rPr/>
                      <w:rPr>
                        <w:rFonts w:ascii="Cambria Math" w:hAnsi="Cambria Math" w:eastAsia="Cambria Math" w:cs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2131" w:type="dxa"/>
          </w:tcPr>
          <w:p w14:paraId="581454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</w:p>
        </w:tc>
      </w:tr>
      <w:tr w14:paraId="5F123602">
        <w:tc>
          <w:tcPr>
            <w:tcW w:w="1761" w:type="dxa"/>
          </w:tcPr>
          <w:p w14:paraId="68FBDED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长期绝对收益</w:t>
            </w:r>
          </w:p>
        </w:tc>
        <w:tc>
          <w:tcPr>
            <w:tcW w:w="2499" w:type="dxa"/>
          </w:tcPr>
          <w:p w14:paraId="0A531C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240个交易日绝对收益</w:t>
            </w:r>
          </w:p>
        </w:tc>
        <w:tc>
          <w:tcPr>
            <w:tcW w:w="2131" w:type="dxa"/>
          </w:tcPr>
          <w:p w14:paraId="5A5E4BA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  <m:oMathPara>
              <m:oMath>
                <m:sSubSup>
                  <m:sSubSupPr/>
                  <m:e>
                    <m:r>
                      <m:rPr/>
                      <w:rPr>
                        <w:rFonts w:ascii="Cambria Math" w:hAnsi="Cambria Math" w:eastAsia="Cambria Math" w:cs="Cambria Math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</w:rPr>
                      <m:t>i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</w:rPr>
                      <m:t>(</m:t>
                    </m:r>
                    <m:r>
                      <m:rPr/>
                      <w:rPr>
                        <w:rFonts w:hint="default" w:ascii="DejaVu Math TeX Gyre" w:hAnsi="DejaVu Math TeX Gyre" w:eastAsia="宋体" w:cs="Cambria Math"/>
                        <w:lang w:val="en-US" w:eastAsia="zh-CN"/>
                      </w:rPr>
                      <m:t>240</m:t>
                    </m:r>
                    <m:r>
                      <m:rPr/>
                      <w:rPr>
                        <w:rFonts w:ascii="Cambria Math" w:hAnsi="Cambria Math" w:eastAsia="Cambria Math" w:cs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2131" w:type="dxa"/>
          </w:tcPr>
          <w:p w14:paraId="476376D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</w:p>
        </w:tc>
      </w:tr>
      <w:tr w14:paraId="31BB67ED">
        <w:tc>
          <w:tcPr>
            <w:tcW w:w="1761" w:type="dxa"/>
          </w:tcPr>
          <w:p w14:paraId="0B14A9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长期sharp</w:t>
            </w:r>
          </w:p>
        </w:tc>
        <w:tc>
          <w:tcPr>
            <w:tcW w:w="2499" w:type="dxa"/>
          </w:tcPr>
          <w:p w14:paraId="05E38F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240个交易日sharp</w:t>
            </w:r>
          </w:p>
        </w:tc>
        <w:tc>
          <w:tcPr>
            <w:tcW w:w="2131" w:type="dxa"/>
          </w:tcPr>
          <w:p w14:paraId="3372C48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S</m:t>
                </m:r>
                <m:sSubSup>
                  <m:sSubSupPr/>
                  <m:e>
                    <m:r>
                      <m:rPr/>
                      <w:rPr>
                        <w:rFonts w:ascii="Cambria Math" w:hAnsi="Cambria Math" w:eastAsia="Cambria Math" w:cs="Cambria Math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</w:rPr>
                      <m:t>i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</w:rPr>
                      <m:t>(</m:t>
                    </m:r>
                    <m:r>
                      <m:rPr/>
                      <w:rPr>
                        <w:rFonts w:hint="default" w:ascii="DejaVu Math TeX Gyre" w:hAnsi="DejaVu Math TeX Gyre" w:eastAsia="宋体" w:cs="Cambria Math"/>
                        <w:lang w:val="en-US" w:eastAsia="zh-CN"/>
                      </w:rPr>
                      <m:t>240</m:t>
                    </m:r>
                    <m:r>
                      <m:rPr/>
                      <w:rPr>
                        <w:rFonts w:ascii="Cambria Math" w:hAnsi="Cambria Math" w:eastAsia="Cambria Math" w:cs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2131" w:type="dxa"/>
          </w:tcPr>
          <w:p w14:paraId="617E7A8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vertAlign w:val="baseline"/>
              </w:rPr>
            </w:pPr>
          </w:p>
        </w:tc>
      </w:tr>
    </w:tbl>
    <w:p w14:paraId="3CD7CDB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对第一步的资产进行这六个动量信号的计算，并对每个动量信号进行排名。然后算每个资产的6个动量信号排名的平均排名。利用盖平均排名进行资产筛选。</w:t>
      </w:r>
    </w:p>
    <w:p w14:paraId="68D8547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三、风险预算配置</w:t>
      </w:r>
    </w:p>
    <w:p w14:paraId="3DBCF44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风险平价理论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17166BD">
      <w:pPr>
        <w:pStyle w:val="4"/>
        <w:bidi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1、忽略资产相关性</w:t>
      </w:r>
    </w:p>
    <w:p w14:paraId="38B71F5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权重为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风险预算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波动率倒数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</w:p>
    <w:p w14:paraId="661BD2DD">
      <w:pPr>
        <w:pStyle w:val="4"/>
        <w:bidi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2、月初初始配置</w:t>
      </w:r>
    </w:p>
    <w:p w14:paraId="57FC24BE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三个资产策略组合每月月初将权重等权分配到各类资产下的标的。三类每类先分到1/3，再在每类资产内部进行分配。</w:t>
      </w:r>
    </w:p>
    <w:p w14:paraId="3AEE7931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不做归一化，允许名义杠杆大于 100%。</w:t>
      </w:r>
    </w:p>
    <w:p w14:paraId="65170E3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在每类资产内部：</w:t>
      </w:r>
    </w:p>
    <w:p w14:paraId="5E23B2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（1）先分风险预算，风险预算等权分配</w:t>
      </w:r>
    </w:p>
    <w:p w14:paraId="0A5B7A8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单个资产风险预算=大类资产风险预算/该类资产个数</w:t>
      </w:r>
    </w:p>
    <w:p w14:paraId="7F59A42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单个资产波动率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】（参数2，可以考虑这个是多少天的波动率）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，得到风险预算权重，即最终资金权重</w:t>
      </w:r>
    </w:p>
    <w:p w14:paraId="66DCF36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单个资产风险预算权重=单个资产风险预算/单个资产波动率</w:t>
      </w:r>
    </w:p>
    <w:p w14:paraId="359657BD">
      <w:pPr>
        <w:pStyle w:val="4"/>
        <w:bidi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3、单资产波动率控制</w:t>
      </w:r>
    </w:p>
    <w:p w14:paraId="7C4B624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资产波动率提升时，风险预算分配可以有针对性地降低波动率变化较大的资产权重。</w:t>
      </w:r>
    </w:p>
    <w:p w14:paraId="6E79B0C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具体操作：【单资产短期波动率】（参数3）超过【长期波动率】（参数4）的90%分位数时权重减去【50%】（参数5）；</w:t>
      </w:r>
    </w:p>
    <w:p w14:paraId="0BB8FB6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例如，V_20D&gt;V_240D的90%分位数时，权重减去50%。</w:t>
      </w:r>
    </w:p>
    <w:p w14:paraId="65EF6761">
      <w:pPr>
        <w:pStyle w:val="4"/>
        <w:bidi w:val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月中风险再平衡</w:t>
      </w:r>
    </w:p>
    <w:p w14:paraId="08B0E18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持续监控指数每日截面持仓的波动率水平， 并计算指数理论最优杠杆值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；</w:t>
      </w:r>
    </w:p>
    <w:p w14:paraId="7DFBE2D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若目标权重和当前持仓权重差异的绝对值之和大于【20%】（参数6） 则将于次日调仓，以避免在低波动的市场环境中发生不必要的调仓。</w:t>
      </w:r>
    </w:p>
    <w:p w14:paraId="498A3DAA">
      <w:pPr>
        <w:pStyle w:val="3"/>
        <w:bidi w:val="0"/>
      </w:pPr>
      <w:r>
        <w:rPr>
          <w:rFonts w:hint="eastAsia"/>
          <w:lang w:val="en-US" w:eastAsia="zh-CN"/>
        </w:rPr>
        <w:t>四、</w:t>
      </w:r>
      <w:r>
        <w:t>10%组合波动率控制</w:t>
      </w:r>
    </w:p>
    <w:p w14:paraId="6B4C75A5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根据指数点位的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实现波动率（Realized Volatility）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进行整体加减仓以维持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10%波动率水平】（参数7）， 最多加减仓50%。“等比例降低/增加各资产风险预算权重”。 </w:t>
      </w:r>
      <w:bookmarkStart w:id="0" w:name="_GoBack"/>
      <w:bookmarkEnd w:id="0"/>
    </w:p>
    <w:p w14:paraId="7F63F484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DAF01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2522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CC0B5C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9DC6D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6C63F0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7DF913"/>
    <w:rsid w:val="1F9FDE4F"/>
    <w:rsid w:val="2FCBB948"/>
    <w:rsid w:val="32FF8BB5"/>
    <w:rsid w:val="37F753A4"/>
    <w:rsid w:val="3EB71155"/>
    <w:rsid w:val="3FDA1465"/>
    <w:rsid w:val="3FF9D60A"/>
    <w:rsid w:val="47DEF18F"/>
    <w:rsid w:val="4D966DA3"/>
    <w:rsid w:val="55FA8145"/>
    <w:rsid w:val="5AFEA591"/>
    <w:rsid w:val="5B7F3721"/>
    <w:rsid w:val="5BFA0143"/>
    <w:rsid w:val="5DFD9AFD"/>
    <w:rsid w:val="5E19CB3A"/>
    <w:rsid w:val="5EF530C7"/>
    <w:rsid w:val="5F1F7B1E"/>
    <w:rsid w:val="5FFB365A"/>
    <w:rsid w:val="676D04A9"/>
    <w:rsid w:val="6DE23AB0"/>
    <w:rsid w:val="6FD7CC82"/>
    <w:rsid w:val="6FFFCC0D"/>
    <w:rsid w:val="729E0B41"/>
    <w:rsid w:val="737BF626"/>
    <w:rsid w:val="73FFEB1B"/>
    <w:rsid w:val="75FB0186"/>
    <w:rsid w:val="762FEAB1"/>
    <w:rsid w:val="76FE2BD2"/>
    <w:rsid w:val="79EDBD49"/>
    <w:rsid w:val="7AA78B77"/>
    <w:rsid w:val="7BEE2630"/>
    <w:rsid w:val="7BFFE458"/>
    <w:rsid w:val="7C0B5A8E"/>
    <w:rsid w:val="7D764A16"/>
    <w:rsid w:val="7D7F4B7E"/>
    <w:rsid w:val="7DE4309E"/>
    <w:rsid w:val="7E67AC8F"/>
    <w:rsid w:val="7E7F796B"/>
    <w:rsid w:val="7EDA0F21"/>
    <w:rsid w:val="7F3D23B8"/>
    <w:rsid w:val="7F7B93C8"/>
    <w:rsid w:val="7F8F6348"/>
    <w:rsid w:val="7F9F447B"/>
    <w:rsid w:val="7FBDC245"/>
    <w:rsid w:val="7FDF36CA"/>
    <w:rsid w:val="7FFF7744"/>
    <w:rsid w:val="9EC345A6"/>
    <w:rsid w:val="9F7FB0ED"/>
    <w:rsid w:val="AEFB1BE2"/>
    <w:rsid w:val="B7E7EB7E"/>
    <w:rsid w:val="B8D8FBDE"/>
    <w:rsid w:val="BDC63009"/>
    <w:rsid w:val="BEBACEBC"/>
    <w:rsid w:val="CBB2C5EB"/>
    <w:rsid w:val="CDB92390"/>
    <w:rsid w:val="CFEFF523"/>
    <w:rsid w:val="CFFFC7F8"/>
    <w:rsid w:val="D656B839"/>
    <w:rsid w:val="D6E5BCC6"/>
    <w:rsid w:val="D7FE418A"/>
    <w:rsid w:val="DBFAC31D"/>
    <w:rsid w:val="DD7E4C5E"/>
    <w:rsid w:val="DDD53F63"/>
    <w:rsid w:val="DDFDF7CD"/>
    <w:rsid w:val="DEFBB868"/>
    <w:rsid w:val="E8B78759"/>
    <w:rsid w:val="EEFFE3AD"/>
    <w:rsid w:val="EF6F6010"/>
    <w:rsid w:val="F76F1BA5"/>
    <w:rsid w:val="F77FACE0"/>
    <w:rsid w:val="F7B990CE"/>
    <w:rsid w:val="F7BFB2BA"/>
    <w:rsid w:val="F7DD4253"/>
    <w:rsid w:val="F7EE0436"/>
    <w:rsid w:val="FA77A963"/>
    <w:rsid w:val="FAAE1CB8"/>
    <w:rsid w:val="FB5F1DD5"/>
    <w:rsid w:val="FB7C80AC"/>
    <w:rsid w:val="FB7DF913"/>
    <w:rsid w:val="FDE594A1"/>
    <w:rsid w:val="FE77A78C"/>
    <w:rsid w:val="FE933F51"/>
    <w:rsid w:val="FFDB2BBA"/>
    <w:rsid w:val="FFFEF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60" w:after="450" w:line="578" w:lineRule="auto"/>
      <w:jc w:val="center"/>
      <w:outlineLvl w:val="0"/>
    </w:pPr>
    <w:rPr>
      <w:rFonts w:eastAsia="黑体" w:asciiTheme="minorAscii" w:hAnsiTheme="minorAscii"/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font81"/>
    <w:basedOn w:val="8"/>
    <w:uiPriority w:val="0"/>
    <w:rPr>
      <w:rFonts w:ascii="宋体" w:hAnsi="宋体" w:eastAsia="宋体" w:cs="宋体"/>
      <w:b/>
      <w:bCs/>
      <w:color w:val="FFFFFF"/>
      <w:sz w:val="22"/>
      <w:szCs w:val="22"/>
      <w:u w:val="none"/>
    </w:rPr>
  </w:style>
  <w:style w:type="character" w:customStyle="1" w:styleId="10">
    <w:name w:val="font91"/>
    <w:basedOn w:val="8"/>
    <w:uiPriority w:val="0"/>
    <w:rPr>
      <w:rFonts w:ascii="宋体" w:hAnsi="宋体" w:eastAsia="宋体" w:cs="宋体"/>
      <w:color w:val="FFFFFF"/>
      <w:sz w:val="22"/>
      <w:szCs w:val="22"/>
      <w:u w:val="none"/>
    </w:rPr>
  </w:style>
  <w:style w:type="character" w:customStyle="1" w:styleId="11">
    <w:name w:val="font101"/>
    <w:basedOn w:val="8"/>
    <w:uiPriority w:val="0"/>
    <w:rPr>
      <w:rFonts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2026-10-01T08:29:00Z</dcterms:created>
  <dc:creator>lijiayi</dc:creator>
  <cp:lastModifiedBy>图南</cp:lastModifiedBy>
  <dcterms:modified xsi:type="dcterms:W3CDTF">2026-10-12T10:23:16Z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0B69B82E2EDCDDC74EC8BC6A8716CF39_41</vt:lpwstr>
  </property>
</Properties>
</file>