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 w:before="0" w:after="120"/>
        <w:jc w:val="both"/>
        <w:rPr>
          <w:sz w:val="18"/>
          <w:szCs w:val="18"/>
        </w:rPr>
      </w:pPr>
      <w:r>
        <w:rPr>
          <w:b/>
          <w:bCs/>
          <w:sz w:val="18"/>
          <w:szCs w:val="18"/>
        </w:rPr>
        <w:t>Table S</w:t>
      </w:r>
      <w:r>
        <w:rPr>
          <w:b/>
          <w:bCs/>
          <w:sz w:val="18"/>
          <w:szCs w:val="18"/>
        </w:rPr>
        <w:t>3</w:t>
      </w:r>
      <w:r>
        <w:rPr>
          <w:b/>
          <w:bCs/>
          <w:sz w:val="18"/>
          <w:szCs w:val="18"/>
        </w:rPr>
        <w:t xml:space="preserve">. Additional gene prediction and functional annotation statistics of the </w:t>
      </w:r>
      <w:r>
        <w:rPr>
          <w:b/>
          <w:bCs/>
          <w:i/>
          <w:iCs/>
          <w:sz w:val="18"/>
          <w:szCs w:val="18"/>
        </w:rPr>
        <w:t>Exaiptasia diaphana</w:t>
      </w:r>
      <w:r>
        <w:rPr>
          <w:b/>
          <w:bCs/>
          <w:sz w:val="18"/>
          <w:szCs w:val="18"/>
        </w:rPr>
        <w:t xml:space="preserve"> (Aiptasia) strain F003 genome assembly. </w:t>
      </w:r>
      <w:r>
        <w:rPr>
          <w:sz w:val="18"/>
          <w:szCs w:val="18"/>
        </w:rPr>
        <w:t>Summary of general annotation statistics, including functional annotations, as well as features of coding sequences (CDS), exons, introns, and untranslated regions (UTRs).</w:t>
      </w:r>
    </w:p>
    <w:tbl>
      <w:tblPr>
        <w:tblStyle w:val="Table1"/>
        <w:tblW w:w="734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822"/>
        <w:gridCol w:w="3520"/>
      </w:tblGrid>
      <w:tr>
        <w:trPr/>
        <w:tc>
          <w:tcPr>
            <w:tcW w:w="7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Gene prediction and functional annotation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 of protein-coding genes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29,589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 of mRNAs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30,323</w:t>
            </w:r>
          </w:p>
        </w:tc>
      </w:tr>
      <w:tr>
        <w:trPr>
          <w:trHeight w:val="273" w:hRule="atLeast"/>
        </w:trPr>
        <w:tc>
          <w:tcPr>
            <w:tcW w:w="7342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UTR statistics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 of mRNAs with UTRs on both sides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7,411 (~ 24.44% of mRNAs)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 of mRNAs with at least one UTR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11,249 (~ 37.09% of mRNAs)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 of 5’ UTRs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11,156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 of 3’ UTRs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9,528</w:t>
            </w:r>
          </w:p>
        </w:tc>
      </w:tr>
      <w:tr>
        <w:trPr>
          <w:trHeight w:val="273" w:hRule="atLeast"/>
        </w:trPr>
        <w:tc>
          <w:tcPr>
            <w:tcW w:w="7342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Exon and intron features 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 number of exons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192,046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Mean number of exons per gene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6.3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 number of introns in CDS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159,653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Mean number of introns per CDS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5.3</w:t>
            </w:r>
          </w:p>
        </w:tc>
      </w:tr>
      <w:tr>
        <w:trPr>
          <w:trHeight w:val="273" w:hRule="atLeast"/>
        </w:trPr>
        <w:tc>
          <w:tcPr>
            <w:tcW w:w="7342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Lengths</w:t>
            </w:r>
          </w:p>
        </w:tc>
      </w:tr>
      <w:tr>
        <w:trPr>
          <w:trHeight w:val="273" w:hRule="atLeast"/>
        </w:trPr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Longest gene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66,488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Mean gene length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3,617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Longest mRNA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66,488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Longest CDS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57,912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Mean CDS length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1,302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Mean exon length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238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Longest exon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20,574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Mean intron in CDS length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407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Longest intron in CDS (bp)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9,263</w:t>
            </w:r>
          </w:p>
        </w:tc>
      </w:tr>
      <w:tr>
        <w:trPr/>
        <w:tc>
          <w:tcPr>
            <w:tcW w:w="7342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Protein functional annotation statistics 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eggNOG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22,214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InterProScan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22,007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Pfam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18,779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GO terms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16,423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COG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20,368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Phobius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7,053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SingalP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3,147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BUSCO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991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MEROPS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1,157</w:t>
            </w:r>
          </w:p>
        </w:tc>
      </w:tr>
      <w:tr>
        <w:trPr/>
        <w:tc>
          <w:tcPr>
            <w:tcW w:w="3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CAZYme</w:t>
            </w:r>
          </w:p>
        </w:tc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445</w:t>
            </w:r>
          </w:p>
        </w:tc>
      </w:tr>
    </w:tbl>
    <w:p>
      <w:pPr>
        <w:pStyle w:val="normal1"/>
        <w:spacing w:lineRule="auto" w:line="276" w:before="0" w:after="120"/>
        <w:jc w:val="both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192</Words>
  <Characters>1014</Characters>
  <CharactersWithSpaces>1144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2026-07-27T14:24:21Z</dcterms:modified>
  <cp:revision>1</cp:revision>
  <dc:subject/>
  <dc:title/>
</cp:coreProperties>
</file>