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jc w:val="both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S1. Repeat content of the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Exaiptasia diaphana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(Aiptasia) strain F003 genome assembly. </w:t>
      </w:r>
      <w:r w:rsidDel="00000000" w:rsidR="00000000" w:rsidRPr="00000000">
        <w:rPr>
          <w:sz w:val="18"/>
          <w:szCs w:val="18"/>
          <w:rtl w:val="0"/>
        </w:rPr>
        <w:t xml:space="preserve">A total of 78.07 Mb (32.89%) of the genome assembly consists of repetitive sequences.</w:t>
      </w:r>
      <w:r w:rsidDel="00000000" w:rsidR="00000000" w:rsidRPr="00000000">
        <w:rPr>
          <w:rtl w:val="0"/>
        </w:rPr>
      </w:r>
    </w:p>
    <w:tbl>
      <w:tblPr>
        <w:tblStyle w:val="Table1"/>
        <w:tblW w:w="81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0"/>
        <w:gridCol w:w="1950"/>
        <w:gridCol w:w="2490"/>
        <w:tblGridChange w:id="0">
          <w:tblGrid>
            <w:gridCol w:w="3750"/>
            <w:gridCol w:w="1950"/>
            <w:gridCol w:w="249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gridSpan w:val="3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="276" w:lineRule="auto"/>
              <w:ind w:right="-139.1338582677156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Repetitive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Group, repeat type, and subtype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Number of elements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 occupied (Mb)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Interspersed repeats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420,779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73.73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DNA transposons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155,013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20.14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Tc1-IS630-Pogo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8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hobo-Activator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Tourist/Harbinger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 (Mirage, P-element, Transib)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Retroelements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10.42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19,128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7.31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Gypsy/DIRS1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BEL/Pao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Ty1/Copia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1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Retroviral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2"/>
              </w:numPr>
              <w:spacing w:after="40" w:before="40" w:line="276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L2/CR1/Rex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RTE/Bov-B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R2/R4/NeSL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3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CRE/SLACS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repeats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52,465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complexity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Rolling-circles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Satellites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Unclassified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236,055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43.18</w:t>
            </w:r>
          </w:p>
        </w:tc>
      </w:tr>
    </w:tbl>
    <w:p w:rsidR="00000000" w:rsidDel="00000000" w:rsidP="00000000" w:rsidRDefault="00000000" w:rsidRPr="00000000" w14:paraId="0000004A">
      <w:pPr>
        <w:spacing w:after="120"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