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76" w:lineRule="auto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Table S2. Additional gene prediction and functional annotation statistics of the </w:t>
      </w:r>
      <w:r w:rsidDel="00000000" w:rsidR="00000000" w:rsidRPr="00000000">
        <w:rPr>
          <w:b w:val="1"/>
          <w:bCs w:val="1"/>
          <w:i w:val="1"/>
          <w:iCs w:val="1"/>
          <w:sz w:val="18"/>
          <w:szCs w:val="18"/>
          <w:rtl w:val="0"/>
        </w:rPr>
        <w:t xml:space="preserve">Exaiptasia diaphana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(Aiptasia) strain F003 genome assembly. </w:t>
      </w:r>
      <w:r w:rsidDel="00000000" w:rsidR="00000000" w:rsidRPr="00000000">
        <w:rPr>
          <w:sz w:val="18"/>
          <w:szCs w:val="18"/>
          <w:rtl w:val="0"/>
        </w:rPr>
        <w:t xml:space="preserve">Summary of general annotation statistics, including functional annotations, as well as features of coding sequences (CDS), exons, introns, and untranslated regions (UTRs).</w:t>
      </w:r>
    </w:p>
    <w:tbl>
      <w:tblPr>
        <w:tblStyle w:val="Table1"/>
        <w:tblW w:w="7343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823"/>
        <w:gridCol w:w="3520"/>
        <w:tblGridChange w:id="0">
          <w:tblGrid>
            <w:gridCol w:w="3823"/>
            <w:gridCol w:w="352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2">
            <w:pPr>
              <w:spacing w:after="40" w:before="40" w:line="276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Gene prediction and functional annotation</w:t>
            </w:r>
          </w:p>
        </w:tc>
      </w:tr>
      <w:tr>
        <w:trPr>
          <w:cantSplit w:val="0"/>
          <w:trHeight w:val="273.0297851562500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Number of protein-coding genes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29,589</w:t>
            </w:r>
          </w:p>
        </w:tc>
      </w:tr>
      <w:tr>
        <w:trPr>
          <w:cantSplit w:val="0"/>
          <w:trHeight w:val="273.0297851562500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Number of mRNAs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30,323</w:t>
            </w:r>
          </w:p>
        </w:tc>
      </w:tr>
      <w:tr>
        <w:trPr>
          <w:cantSplit w:val="0"/>
          <w:trHeight w:val="273.02978515625006" w:hRule="atLeast"/>
          <w:tblHeader w:val="0"/>
        </w:trPr>
        <w:tc>
          <w:tcPr>
            <w:gridSpan w:val="2"/>
            <w:tcBorders>
              <w:top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40" w:before="40" w:line="276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UTR statistics</w:t>
            </w:r>
          </w:p>
        </w:tc>
      </w:tr>
      <w:tr>
        <w:trPr>
          <w:cantSplit w:val="0"/>
          <w:trHeight w:val="273.0297851562500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Number of mRNAs with UTRs on both sides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7,411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(~ 24.44% of mRNAs)</w:t>
            </w:r>
          </w:p>
        </w:tc>
      </w:tr>
      <w:tr>
        <w:trPr>
          <w:cantSplit w:val="0"/>
          <w:trHeight w:val="273.0297851562500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Number of mRNAs with at least one UTR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1,249 (~ 37.09% of mR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NAs)</w:t>
            </w:r>
          </w:p>
        </w:tc>
      </w:tr>
      <w:tr>
        <w:trPr>
          <w:cantSplit w:val="0"/>
          <w:trHeight w:val="273.0297851562500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Number of 5’ UTRs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11,156</w:t>
            </w:r>
          </w:p>
        </w:tc>
      </w:tr>
      <w:tr>
        <w:trPr>
          <w:cantSplit w:val="0"/>
          <w:trHeight w:val="273.02978515625006" w:hRule="atLeast"/>
          <w:tblHeader w:val="0"/>
        </w:trPr>
        <w:tc>
          <w:tcPr>
            <w:tcBorders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Number of 3’ UTRs</w:t>
            </w:r>
          </w:p>
        </w:tc>
        <w:tc>
          <w:tcPr>
            <w:tcBorders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9,528</w:t>
            </w:r>
          </w:p>
        </w:tc>
      </w:tr>
      <w:tr>
        <w:trPr>
          <w:cantSplit w:val="0"/>
          <w:trHeight w:val="273.02978515625006" w:hRule="atLeast"/>
          <w:tblHeader w:val="0"/>
        </w:trPr>
        <w:tc>
          <w:tcPr>
            <w:gridSpan w:val="2"/>
            <w:tcBorders>
              <w:top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40" w:before="40" w:line="276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Exon and intron features </w:t>
            </w:r>
          </w:p>
        </w:tc>
      </w:tr>
      <w:tr>
        <w:trPr>
          <w:cantSplit w:val="0"/>
          <w:trHeight w:val="273.0297851562500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Total number of exons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192,046</w:t>
            </w:r>
          </w:p>
        </w:tc>
      </w:tr>
      <w:tr>
        <w:trPr>
          <w:cantSplit w:val="0"/>
          <w:trHeight w:val="273.0297851562500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Mean number of exons per gene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6.3</w:t>
            </w:r>
          </w:p>
        </w:tc>
      </w:tr>
      <w:tr>
        <w:trPr>
          <w:cantSplit w:val="0"/>
          <w:trHeight w:val="273.0297851562500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Total number of introns in CDS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159,653</w:t>
            </w:r>
          </w:p>
        </w:tc>
      </w:tr>
      <w:tr>
        <w:trPr>
          <w:cantSplit w:val="0"/>
          <w:trHeight w:val="273.02978515625006" w:hRule="atLeast"/>
          <w:tblHeader w:val="0"/>
        </w:trPr>
        <w:tc>
          <w:tcPr>
            <w:tcBorders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Mean number of introns per CDS</w:t>
            </w:r>
          </w:p>
        </w:tc>
        <w:tc>
          <w:tcPr>
            <w:tcBorders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5.3</w:t>
            </w:r>
          </w:p>
        </w:tc>
      </w:tr>
      <w:tr>
        <w:trPr>
          <w:cantSplit w:val="0"/>
          <w:trHeight w:val="273.02978515625006" w:hRule="atLeast"/>
          <w:tblHeader w:val="0"/>
        </w:trPr>
        <w:tc>
          <w:tcPr>
            <w:gridSpan w:val="2"/>
            <w:tcBorders>
              <w:top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40" w:before="40" w:line="276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Lengths</w:t>
            </w:r>
          </w:p>
        </w:tc>
      </w:tr>
      <w:tr>
        <w:trPr>
          <w:cantSplit w:val="0"/>
          <w:trHeight w:val="273.0297851562500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Longest gene (bp)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66,488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Mean gene length (bp)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3,617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Longest mRNA (bp)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66,488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Longest CDS (bp)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57,912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Mean CDS length (bp)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1,302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8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Mean exon length (bp)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238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A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Longest exon (bp)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20,574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Mean intron in CDS length (bp)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407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E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Longest intron in CDS (bp)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9,263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spacing w:after="40" w:before="40" w:line="276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Protein functional annotation statistics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eggNOG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22,214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InterProScan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22,007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Pfam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18,779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GO terms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16,423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20,368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Phobius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7,053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spacing w:after="40" w:before="4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SingalP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3,147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BUSCO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991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2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MEROPS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1,157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CAZYme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40" w:before="40"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445</w:t>
            </w:r>
          </w:p>
        </w:tc>
      </w:tr>
    </w:tbl>
    <w:p w:rsidR="00000000" w:rsidDel="00000000" w:rsidP="00000000" w:rsidRDefault="00000000" w:rsidRPr="00000000" w14:paraId="00000046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