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>
  <w:body>
    <w:p>
      <w:r>
        <w:rPr>
          <w:b/>
          <w:sz w:val="40"/>
          <w:color w:val="7645BC"/>
        </w:rPr>
        <w:t>Flux sample document</w:t>
      </w:r>
    </w:p>
    <w:p>
      <w:r>
        <w:t>This fictional file demonstrates local conversion. </w:t>
      </w:r>
      <w:r>
        <w:rPr>
          <w:i/>
        </w:rPr>
        <w:t>Original files remain unchanged.</w:t>
      </w:r>
    </w:p>
    <w:tbl>
      <w:tr>
        <w:tc>
          <w:p>
            <w:r>
              <w:t>Example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Synthetic record</w:t>
            </w:r>
          </w:p>
        </w:tc>
        <w:tc>
          <w:p>
            <w:r>
              <w:t>42</w:t>
            </w:r>
          </w:p>
        </w:tc>
      </w:tr>
    </w:tbl>
    <w:p>
      <w:r>
        <w:drawing>
          <wp:inline>
            <wp:extent cx="2438400" cy="1219200"/>
            <a:graphic>
              <a:blip r:embed="image1"/>
            </a:graphic>
          </wp:inline>
        </w:drawing>
      </w:r>
    </w:p>
    <w:sectPr>
      <w:pgSz w:w="12240" w:h="15840"/>
      <w:pgMar w:top="720" w:right="720" w:bottom="720" w:left="720"/>
    </w:sectPr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image.png"/></Relationships>
</file>